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hint="eastAsia" w:ascii="黑体" w:hAnsi="黑体" w:eastAsia="黑体" w:cs="黑体"/>
          <w:b/>
          <w:sz w:val="36"/>
          <w:szCs w:val="36"/>
        </w:rPr>
      </w:pPr>
      <w:bookmarkStart w:id="2" w:name="_GoBack"/>
      <w:r>
        <w:rPr>
          <w:rFonts w:hint="eastAsia" w:ascii="黑体" w:hAnsi="黑体" w:eastAsia="黑体" w:cs="黑体"/>
          <w:b/>
          <w:sz w:val="36"/>
          <w:szCs w:val="36"/>
        </w:rPr>
        <w:t>安徽省芜湖经济技术开发区人民法院</w:t>
      </w:r>
    </w:p>
    <w:p>
      <w:pPr>
        <w:spacing w:line="500" w:lineRule="exact"/>
        <w:jc w:val="center"/>
        <w:rPr>
          <w:rFonts w:ascii="仿宋" w:hAnsi="仿宋" w:eastAsia="仿宋"/>
          <w:b/>
          <w:sz w:val="30"/>
          <w:szCs w:val="30"/>
        </w:rPr>
      </w:pPr>
      <w:r>
        <w:rPr>
          <w:rFonts w:hint="eastAsia" w:ascii="黑体" w:hAnsi="黑体" w:eastAsia="黑体" w:cs="黑体"/>
          <w:b/>
          <w:sz w:val="36"/>
          <w:szCs w:val="36"/>
        </w:rPr>
        <w:t>行 政 判 决 书</w:t>
      </w:r>
      <w:bookmarkEnd w:id="2"/>
    </w:p>
    <w:p>
      <w:pPr>
        <w:spacing w:line="500" w:lineRule="exact"/>
        <w:ind w:right="420" w:rightChars="200" w:firstLine="600" w:firstLineChars="200"/>
        <w:rPr>
          <w:rFonts w:ascii="仿宋" w:hAnsi="仿宋" w:eastAsia="仿宋"/>
          <w:sz w:val="30"/>
          <w:szCs w:val="30"/>
        </w:rPr>
      </w:pPr>
      <w:r>
        <w:rPr>
          <w:rFonts w:hint="eastAsia" w:ascii="仿宋" w:hAnsi="仿宋" w:eastAsia="仿宋"/>
          <w:sz w:val="30"/>
          <w:szCs w:val="30"/>
        </w:rPr>
        <w:t xml:space="preserve">                    </w:t>
      </w:r>
    </w:p>
    <w:p>
      <w:pPr>
        <w:spacing w:line="500" w:lineRule="exact"/>
        <w:ind w:right="420" w:rightChars="200" w:firstLine="600" w:firstLineChars="200"/>
        <w:jc w:val="right"/>
        <w:rPr>
          <w:rFonts w:ascii="仿宋" w:hAnsi="仿宋" w:eastAsia="仿宋"/>
          <w:sz w:val="30"/>
          <w:szCs w:val="30"/>
        </w:rPr>
      </w:pPr>
      <w:r>
        <w:rPr>
          <w:rFonts w:hint="eastAsia" w:ascii="仿宋" w:hAnsi="仿宋" w:eastAsia="仿宋"/>
          <w:sz w:val="30"/>
          <w:szCs w:val="30"/>
        </w:rPr>
        <w:t>（2022）皖0291行初11号</w:t>
      </w:r>
    </w:p>
    <w:p>
      <w:pPr>
        <w:spacing w:line="500" w:lineRule="exact"/>
        <w:ind w:right="420" w:rightChars="200" w:firstLine="600" w:firstLineChars="200"/>
        <w:jc w:val="right"/>
        <w:rPr>
          <w:rFonts w:ascii="仿宋" w:hAnsi="仿宋" w:eastAsia="仿宋"/>
          <w:sz w:val="30"/>
          <w:szCs w:val="30"/>
        </w:rPr>
      </w:pPr>
    </w:p>
    <w:p>
      <w:pPr>
        <w:spacing w:line="500" w:lineRule="exact"/>
        <w:ind w:firstLine="600" w:firstLineChars="200"/>
        <w:rPr>
          <w:rFonts w:ascii="仿宋" w:hAnsi="仿宋" w:eastAsia="仿宋"/>
          <w:sz w:val="30"/>
          <w:szCs w:val="30"/>
        </w:rPr>
      </w:pPr>
      <w:r>
        <w:rPr>
          <w:rFonts w:hint="eastAsia" w:ascii="仿宋" w:hAnsi="仿宋" w:eastAsia="仿宋"/>
          <w:bCs/>
          <w:sz w:val="30"/>
          <w:szCs w:val="30"/>
        </w:rPr>
        <w:t>原告：</w:t>
      </w:r>
      <w:r>
        <w:rPr>
          <w:rFonts w:hint="eastAsia" w:ascii="仿宋" w:hAnsi="仿宋" w:eastAsia="仿宋"/>
          <w:sz w:val="30"/>
          <w:szCs w:val="30"/>
        </w:rPr>
        <w:t>汕头市可若夕雨化妆品有限公司，住所地广东省汕头市潮南区胪岗二片工业区二幢6号，统一社会信用代码 91440514MA52LAND2W。</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法定代表人：吕天隆，该公司总经理。</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委托诉讼代理人：傅作龙，安徽深蓝（芜湖）律师事务所律师。</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委托诉讼代理人：曹勇前，安徽深蓝（芜湖）律师事务所律师。</w:t>
      </w:r>
    </w:p>
    <w:p>
      <w:pPr>
        <w:spacing w:line="500" w:lineRule="exact"/>
        <w:ind w:firstLine="600" w:firstLineChars="200"/>
        <w:rPr>
          <w:rFonts w:ascii="仿宋" w:hAnsi="仿宋" w:eastAsia="仿宋"/>
          <w:sz w:val="30"/>
          <w:szCs w:val="30"/>
        </w:rPr>
      </w:pPr>
      <w:r>
        <w:rPr>
          <w:rFonts w:hint="eastAsia" w:ascii="仿宋" w:hAnsi="仿宋" w:eastAsia="仿宋"/>
          <w:bCs/>
          <w:sz w:val="30"/>
          <w:szCs w:val="30"/>
        </w:rPr>
        <w:t>被告：</w:t>
      </w:r>
      <w:r>
        <w:rPr>
          <w:rFonts w:hint="eastAsia" w:ascii="仿宋" w:hAnsi="仿宋" w:eastAsia="仿宋"/>
          <w:sz w:val="30"/>
          <w:szCs w:val="30"/>
        </w:rPr>
        <w:t>芜湖市市场监督管理局，住所地安徽省芜湖市万春西路20号，统一社会信用代码 11340200MB1960441R。</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法定代表人：唐诚，该局局长。</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出庭负责人：钟敏，该局副局长。</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委托诉讼代理人：陆在春，上海金茂凯德（芜湖）律师事务所律师。</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被告：芜湖市人民政府，住所地安徽省芜湖市鸠江区政通路66号，统一社会信用代码11340200003010829G。</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法定代表人：宁波，市长。</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委托诉讼代理人：肖梦涵，芜湖市司法局工作人员。</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委托诉讼代理人：石晶晶，芜湖市司法局工作人员。</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原告汕头市可若夕雨化妆品有限公司（以下简称可若夕雨公司）不服被告芜湖市市场监督管理局作出的芜市监市罚〔2021〕11-61号《行政处罚决定书》和芜湖市人民政府作出的芜市行复〔2022〕15号《行政复议决定书》，于2022年6月9日向芜湖市鸠江区人民法院提起行政诉讼。2022年7月4日，芜湖市中级人民法院裁定该案由本院审理。2022年8月1日，本院立案受理，后依法向两被告送达了起诉书副本及应诉通知书，并组成合议庭于2022年9月13日公开开庭进行了审理。原告可若夕雨公司的委托诉讼代理人傅作龙，被告芜湖市市场监督管理局的副局长钟敏及该局委托诉讼代理人陆在春，被告芜湖市人民政府的委托诉讼代理人肖梦涵到庭参加诉讼。本案现已审理终结。</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被告芜湖市市场监督管理局于2021年12月22日作出芜市监市罚〔2021〕11-61号《行政处罚决定书》，认为芜湖和联购物中心有限公司违反了《中华人民共和国反不正当竞争法》第六条第</w:t>
      </w:r>
      <w:r>
        <w:rPr>
          <w:rFonts w:ascii="仿宋" w:hAnsi="仿宋" w:eastAsia="仿宋"/>
          <w:sz w:val="30"/>
          <w:szCs w:val="30"/>
        </w:rPr>
        <w:t>(</w:t>
      </w:r>
      <w:r>
        <w:rPr>
          <w:rFonts w:hint="eastAsia" w:ascii="仿宋" w:hAnsi="仿宋" w:eastAsia="仿宋"/>
          <w:sz w:val="30"/>
          <w:szCs w:val="30"/>
        </w:rPr>
        <w:t>一</w:t>
      </w:r>
      <w:r>
        <w:rPr>
          <w:rFonts w:ascii="仿宋" w:hAnsi="仿宋" w:eastAsia="仿宋"/>
          <w:sz w:val="30"/>
          <w:szCs w:val="30"/>
        </w:rPr>
        <w:t>)</w:t>
      </w:r>
      <w:r>
        <w:rPr>
          <w:rFonts w:hint="eastAsia" w:ascii="仿宋" w:hAnsi="仿宋" w:eastAsia="仿宋"/>
          <w:sz w:val="30"/>
          <w:szCs w:val="30"/>
        </w:rPr>
        <w:t>项“经营者不得实施下列混淆行为，引人误认为是他人商品或者与他人存在特定联系：（一）擅自使用与他人有一定影响的商品名称、包装、装潢等相同或者近似的标识”的规定，对芜湖和联购物中心有限公司处以“没收卡迪欧洗发乳液</w:t>
      </w:r>
      <w:r>
        <w:rPr>
          <w:rFonts w:ascii="仿宋" w:hAnsi="仿宋" w:eastAsia="仿宋"/>
          <w:sz w:val="30"/>
          <w:szCs w:val="30"/>
        </w:rPr>
        <w:t>1140</w:t>
      </w:r>
      <w:r>
        <w:rPr>
          <w:rFonts w:hint="eastAsia" w:ascii="仿宋" w:hAnsi="仿宋" w:eastAsia="仿宋"/>
          <w:sz w:val="30"/>
          <w:szCs w:val="30"/>
        </w:rPr>
        <w:t>瓶；没收销售款</w:t>
      </w:r>
      <w:r>
        <w:rPr>
          <w:rFonts w:ascii="仿宋" w:hAnsi="仿宋" w:eastAsia="仿宋"/>
          <w:sz w:val="30"/>
          <w:szCs w:val="30"/>
        </w:rPr>
        <w:t>294</w:t>
      </w:r>
      <w:r>
        <w:rPr>
          <w:rFonts w:hint="eastAsia" w:ascii="仿宋" w:hAnsi="仿宋" w:eastAsia="仿宋"/>
          <w:sz w:val="30"/>
          <w:szCs w:val="30"/>
        </w:rPr>
        <w:t>元；罚款人民币</w:t>
      </w:r>
      <w:r>
        <w:rPr>
          <w:rFonts w:ascii="仿宋" w:hAnsi="仿宋" w:eastAsia="仿宋"/>
          <w:sz w:val="30"/>
          <w:szCs w:val="30"/>
        </w:rPr>
        <w:t>20280</w:t>
      </w:r>
      <w:r>
        <w:rPr>
          <w:rFonts w:hint="eastAsia" w:ascii="仿宋" w:hAnsi="仿宋" w:eastAsia="仿宋"/>
          <w:sz w:val="30"/>
          <w:szCs w:val="30"/>
        </w:rPr>
        <w:t>元”的处罚决定。卡迪欧洗发乳液的生产者即原告可若夕雨公司对处罚决定不服，向被告芜湖市人民政府提起行政复议，被告芜湖市人民政府于</w:t>
      </w:r>
      <w:r>
        <w:rPr>
          <w:rFonts w:ascii="仿宋" w:hAnsi="仿宋" w:eastAsia="仿宋"/>
          <w:sz w:val="30"/>
          <w:szCs w:val="30"/>
        </w:rPr>
        <w:t>2022</w:t>
      </w:r>
      <w:r>
        <w:rPr>
          <w:rFonts w:hint="eastAsia" w:ascii="仿宋" w:hAnsi="仿宋" w:eastAsia="仿宋"/>
          <w:sz w:val="30"/>
          <w:szCs w:val="30"/>
        </w:rPr>
        <w:t>年</w:t>
      </w:r>
      <w:r>
        <w:rPr>
          <w:rFonts w:ascii="仿宋" w:hAnsi="仿宋" w:eastAsia="仿宋"/>
          <w:sz w:val="30"/>
          <w:szCs w:val="30"/>
        </w:rPr>
        <w:t>5</w:t>
      </w:r>
      <w:r>
        <w:rPr>
          <w:rFonts w:hint="eastAsia" w:ascii="仿宋" w:hAnsi="仿宋" w:eastAsia="仿宋"/>
          <w:sz w:val="30"/>
          <w:szCs w:val="30"/>
        </w:rPr>
        <w:t>月</w:t>
      </w:r>
      <w:r>
        <w:rPr>
          <w:rFonts w:ascii="仿宋" w:hAnsi="仿宋" w:eastAsia="仿宋"/>
          <w:sz w:val="30"/>
          <w:szCs w:val="30"/>
        </w:rPr>
        <w:t>26</w:t>
      </w:r>
      <w:r>
        <w:rPr>
          <w:rFonts w:hint="eastAsia" w:ascii="仿宋" w:hAnsi="仿宋" w:eastAsia="仿宋"/>
          <w:sz w:val="30"/>
          <w:szCs w:val="30"/>
        </w:rPr>
        <w:t>日作出芜市行复字〔2022〕</w:t>
      </w:r>
      <w:r>
        <w:rPr>
          <w:rFonts w:ascii="仿宋" w:hAnsi="仿宋" w:eastAsia="仿宋"/>
          <w:sz w:val="30"/>
          <w:szCs w:val="30"/>
        </w:rPr>
        <w:t>15</w:t>
      </w:r>
      <w:r>
        <w:rPr>
          <w:rFonts w:hint="eastAsia" w:ascii="仿宋" w:hAnsi="仿宋" w:eastAsia="仿宋"/>
          <w:sz w:val="30"/>
          <w:szCs w:val="30"/>
        </w:rPr>
        <w:t>号《行政复议决定书》，对上述《行政处罚决定书》予以维持。</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原告可若夕雨公司向本院提出诉讼请求为：1.撤销被告芜湖市市场监督管理局作出的芜市监市罚〔2021〕11-61号《行政处罚决定书》；2、撤销被告芜湖市人民政府作出的芜市行复〔2022〕15号《行政复议决定书》；3、本案诉讼费由两被告负担。事实和理由：</w:t>
      </w:r>
      <w:r>
        <w:rPr>
          <w:rFonts w:ascii="仿宋" w:hAnsi="仿宋" w:eastAsia="仿宋"/>
          <w:sz w:val="30"/>
          <w:szCs w:val="30"/>
        </w:rPr>
        <w:t>2021</w:t>
      </w:r>
      <w:r>
        <w:rPr>
          <w:rFonts w:hint="eastAsia" w:ascii="仿宋" w:hAnsi="仿宋" w:eastAsia="仿宋"/>
          <w:sz w:val="30"/>
          <w:szCs w:val="30"/>
        </w:rPr>
        <w:t>年</w:t>
      </w:r>
      <w:r>
        <w:rPr>
          <w:rFonts w:ascii="仿宋" w:hAnsi="仿宋" w:eastAsia="仿宋"/>
          <w:sz w:val="30"/>
          <w:szCs w:val="30"/>
        </w:rPr>
        <w:t>12</w:t>
      </w:r>
      <w:r>
        <w:rPr>
          <w:rFonts w:hint="eastAsia" w:ascii="仿宋" w:hAnsi="仿宋" w:eastAsia="仿宋"/>
          <w:sz w:val="30"/>
          <w:szCs w:val="30"/>
        </w:rPr>
        <w:t>月</w:t>
      </w:r>
      <w:r>
        <w:rPr>
          <w:rFonts w:ascii="仿宋" w:hAnsi="仿宋" w:eastAsia="仿宋"/>
          <w:sz w:val="30"/>
          <w:szCs w:val="30"/>
        </w:rPr>
        <w:t>22</w:t>
      </w:r>
      <w:r>
        <w:rPr>
          <w:rFonts w:hint="eastAsia" w:ascii="仿宋" w:hAnsi="仿宋" w:eastAsia="仿宋"/>
          <w:sz w:val="30"/>
          <w:szCs w:val="30"/>
        </w:rPr>
        <w:t>日</w:t>
      </w:r>
      <w:r>
        <w:rPr>
          <w:rFonts w:ascii="仿宋" w:hAnsi="仿宋" w:eastAsia="仿宋"/>
          <w:sz w:val="30"/>
          <w:szCs w:val="30"/>
        </w:rPr>
        <w:t>，</w:t>
      </w:r>
      <w:r>
        <w:rPr>
          <w:rFonts w:hint="eastAsia" w:ascii="仿宋" w:hAnsi="仿宋" w:eastAsia="仿宋"/>
          <w:sz w:val="30"/>
          <w:szCs w:val="30"/>
        </w:rPr>
        <w:t>被告芜湖市市场监督管理局</w:t>
      </w:r>
      <w:r>
        <w:rPr>
          <w:rFonts w:hint="eastAsia" w:ascii="仿宋" w:hAnsi="仿宋" w:eastAsia="仿宋" w:cs="华文宋体"/>
          <w:kern w:val="0"/>
          <w:sz w:val="30"/>
          <w:szCs w:val="30"/>
        </w:rPr>
        <w:t>以芜湖和联购物中心有限公司违反《中华人民共和国反不正当竞争法》第六条第</w:t>
      </w:r>
      <w:r>
        <w:rPr>
          <w:rFonts w:ascii="仿宋" w:hAnsi="仿宋" w:eastAsia="仿宋" w:cs="华文宋体"/>
          <w:kern w:val="0"/>
          <w:sz w:val="30"/>
          <w:szCs w:val="30"/>
        </w:rPr>
        <w:t>(</w:t>
      </w:r>
      <w:r>
        <w:rPr>
          <w:rFonts w:hint="eastAsia" w:ascii="仿宋" w:hAnsi="仿宋" w:eastAsia="仿宋" w:cs="华文宋体"/>
          <w:kern w:val="0"/>
          <w:sz w:val="30"/>
          <w:szCs w:val="30"/>
        </w:rPr>
        <w:t>一</w:t>
      </w:r>
      <w:r>
        <w:rPr>
          <w:rFonts w:ascii="仿宋" w:hAnsi="仿宋" w:eastAsia="仿宋" w:cs="华文宋体"/>
          <w:kern w:val="0"/>
          <w:sz w:val="30"/>
          <w:szCs w:val="30"/>
        </w:rPr>
        <w:t>)</w:t>
      </w:r>
      <w:r>
        <w:rPr>
          <w:rFonts w:hint="eastAsia" w:ascii="仿宋" w:hAnsi="仿宋" w:eastAsia="仿宋" w:cs="华文宋体"/>
          <w:kern w:val="0"/>
          <w:sz w:val="30"/>
          <w:szCs w:val="30"/>
        </w:rPr>
        <w:t>项的规定</w:t>
      </w:r>
      <w:r>
        <w:rPr>
          <w:rFonts w:ascii="仿宋" w:hAnsi="仿宋" w:eastAsia="仿宋" w:cs="华文宋体"/>
          <w:kern w:val="0"/>
          <w:sz w:val="30"/>
          <w:szCs w:val="30"/>
        </w:rPr>
        <w:t>，</w:t>
      </w:r>
      <w:r>
        <w:rPr>
          <w:rFonts w:hint="eastAsia" w:ascii="仿宋" w:hAnsi="仿宋" w:eastAsia="仿宋" w:cs="华文宋体"/>
          <w:kern w:val="0"/>
          <w:sz w:val="30"/>
          <w:szCs w:val="30"/>
        </w:rPr>
        <w:t>对其处以“没收卡迪欧洗发乳液</w:t>
      </w:r>
      <w:r>
        <w:rPr>
          <w:rFonts w:ascii="仿宋" w:hAnsi="仿宋" w:eastAsia="仿宋" w:cs="华文宋体"/>
          <w:kern w:val="0"/>
          <w:sz w:val="30"/>
          <w:szCs w:val="30"/>
        </w:rPr>
        <w:t>1140</w:t>
      </w:r>
      <w:r>
        <w:rPr>
          <w:rFonts w:hint="eastAsia" w:ascii="仿宋" w:hAnsi="仿宋" w:eastAsia="仿宋" w:cs="华文宋体"/>
          <w:kern w:val="0"/>
          <w:sz w:val="30"/>
          <w:szCs w:val="30"/>
        </w:rPr>
        <w:t>瓶</w:t>
      </w:r>
      <w:r>
        <w:rPr>
          <w:rFonts w:ascii="仿宋" w:hAnsi="仿宋" w:eastAsia="仿宋" w:cs="华文宋体"/>
          <w:kern w:val="0"/>
          <w:sz w:val="30"/>
          <w:szCs w:val="30"/>
        </w:rPr>
        <w:t>;</w:t>
      </w:r>
      <w:r>
        <w:rPr>
          <w:rFonts w:hint="eastAsia" w:ascii="仿宋" w:hAnsi="仿宋" w:eastAsia="仿宋" w:cs="华文宋体"/>
          <w:kern w:val="0"/>
          <w:sz w:val="30"/>
          <w:szCs w:val="30"/>
        </w:rPr>
        <w:t>没收销售款</w:t>
      </w:r>
      <w:r>
        <w:rPr>
          <w:rFonts w:ascii="仿宋" w:hAnsi="仿宋" w:eastAsia="仿宋" w:cs="华文宋体"/>
          <w:kern w:val="0"/>
          <w:sz w:val="30"/>
          <w:szCs w:val="30"/>
        </w:rPr>
        <w:t>294</w:t>
      </w:r>
      <w:r>
        <w:rPr>
          <w:rFonts w:hint="eastAsia" w:ascii="仿宋" w:hAnsi="仿宋" w:eastAsia="仿宋" w:cs="华文宋体"/>
          <w:kern w:val="0"/>
          <w:sz w:val="30"/>
          <w:szCs w:val="30"/>
        </w:rPr>
        <w:t>元</w:t>
      </w:r>
      <w:r>
        <w:rPr>
          <w:rFonts w:ascii="仿宋" w:hAnsi="仿宋" w:eastAsia="仿宋" w:cs="华文宋体"/>
          <w:kern w:val="0"/>
          <w:sz w:val="30"/>
          <w:szCs w:val="30"/>
        </w:rPr>
        <w:t>;</w:t>
      </w:r>
      <w:r>
        <w:rPr>
          <w:rFonts w:hint="eastAsia" w:ascii="仿宋" w:hAnsi="仿宋" w:eastAsia="仿宋" w:cs="华文宋体"/>
          <w:kern w:val="0"/>
          <w:sz w:val="30"/>
          <w:szCs w:val="30"/>
        </w:rPr>
        <w:t>罚款</w:t>
      </w:r>
      <w:r>
        <w:rPr>
          <w:rFonts w:ascii="仿宋" w:hAnsi="仿宋" w:eastAsia="仿宋" w:cs="华文宋体"/>
          <w:kern w:val="0"/>
          <w:sz w:val="30"/>
          <w:szCs w:val="30"/>
        </w:rPr>
        <w:t>20280</w:t>
      </w:r>
      <w:r>
        <w:rPr>
          <w:rFonts w:hint="eastAsia" w:ascii="仿宋" w:hAnsi="仿宋" w:eastAsia="仿宋" w:cs="华文宋体"/>
          <w:kern w:val="0"/>
          <w:sz w:val="30"/>
          <w:szCs w:val="30"/>
        </w:rPr>
        <w:t>元”的处罚决定。</w:t>
      </w:r>
      <w:r>
        <w:rPr>
          <w:rFonts w:ascii="仿宋" w:hAnsi="仿宋" w:eastAsia="仿宋" w:cs="华文宋体"/>
          <w:kern w:val="0"/>
          <w:sz w:val="30"/>
          <w:szCs w:val="30"/>
        </w:rPr>
        <w:t>2022</w:t>
      </w:r>
      <w:r>
        <w:rPr>
          <w:rFonts w:hint="eastAsia" w:ascii="仿宋" w:hAnsi="仿宋" w:eastAsia="仿宋" w:cs="华文宋体"/>
          <w:kern w:val="0"/>
          <w:sz w:val="30"/>
          <w:szCs w:val="30"/>
        </w:rPr>
        <w:t>年</w:t>
      </w:r>
      <w:r>
        <w:rPr>
          <w:rFonts w:ascii="仿宋" w:hAnsi="仿宋" w:eastAsia="仿宋" w:cs="华文宋体"/>
          <w:kern w:val="0"/>
          <w:sz w:val="30"/>
          <w:szCs w:val="30"/>
        </w:rPr>
        <w:t>2</w:t>
      </w:r>
      <w:r>
        <w:rPr>
          <w:rFonts w:hint="eastAsia" w:ascii="仿宋" w:hAnsi="仿宋" w:eastAsia="仿宋" w:cs="华文宋体"/>
          <w:kern w:val="0"/>
          <w:sz w:val="30"/>
          <w:szCs w:val="30"/>
        </w:rPr>
        <w:t>月</w:t>
      </w:r>
      <w:r>
        <w:rPr>
          <w:rFonts w:ascii="仿宋" w:hAnsi="仿宋" w:eastAsia="仿宋" w:cs="华文宋体"/>
          <w:kern w:val="0"/>
          <w:sz w:val="30"/>
          <w:szCs w:val="30"/>
        </w:rPr>
        <w:t>17</w:t>
      </w:r>
      <w:r>
        <w:rPr>
          <w:rFonts w:hint="eastAsia" w:ascii="仿宋" w:hAnsi="仿宋" w:eastAsia="仿宋" w:cs="华文宋体"/>
          <w:kern w:val="0"/>
          <w:sz w:val="30"/>
          <w:szCs w:val="30"/>
        </w:rPr>
        <w:t>日</w:t>
      </w:r>
      <w:r>
        <w:rPr>
          <w:rFonts w:ascii="仿宋" w:hAnsi="仿宋" w:eastAsia="仿宋" w:cs="华文宋体"/>
          <w:kern w:val="0"/>
          <w:sz w:val="30"/>
          <w:szCs w:val="30"/>
        </w:rPr>
        <w:t>，</w:t>
      </w:r>
      <w:r>
        <w:rPr>
          <w:rFonts w:hint="eastAsia" w:ascii="仿宋" w:hAnsi="仿宋" w:eastAsia="仿宋" w:cs="华文宋体"/>
          <w:kern w:val="0"/>
          <w:sz w:val="30"/>
          <w:szCs w:val="30"/>
        </w:rPr>
        <w:t>原告作为生产厂家向被告</w:t>
      </w:r>
      <w:r>
        <w:rPr>
          <w:rFonts w:hint="eastAsia" w:ascii="仿宋" w:hAnsi="仿宋" w:eastAsia="仿宋"/>
          <w:sz w:val="30"/>
          <w:szCs w:val="30"/>
        </w:rPr>
        <w:t>芜湖市人民政府</w:t>
      </w:r>
      <w:r>
        <w:rPr>
          <w:rFonts w:hint="eastAsia" w:ascii="仿宋" w:hAnsi="仿宋" w:eastAsia="仿宋" w:cs="华文宋体"/>
          <w:kern w:val="0"/>
          <w:sz w:val="30"/>
          <w:szCs w:val="30"/>
        </w:rPr>
        <w:t>提出行政复议</w:t>
      </w:r>
      <w:r>
        <w:rPr>
          <w:rFonts w:ascii="仿宋" w:hAnsi="仿宋" w:eastAsia="仿宋" w:cs="华文宋体"/>
          <w:kern w:val="0"/>
          <w:sz w:val="30"/>
          <w:szCs w:val="30"/>
        </w:rPr>
        <w:t>，</w:t>
      </w:r>
      <w:r>
        <w:rPr>
          <w:rFonts w:hint="eastAsia" w:ascii="仿宋" w:hAnsi="仿宋" w:eastAsia="仿宋" w:cs="华文宋体"/>
          <w:kern w:val="0"/>
          <w:sz w:val="30"/>
          <w:szCs w:val="30"/>
        </w:rPr>
        <w:t>要求撤销芜市监市罚</w:t>
      </w:r>
      <w:r>
        <w:rPr>
          <w:rFonts w:hint="eastAsia" w:ascii="仿宋" w:hAnsi="仿宋" w:eastAsia="仿宋"/>
          <w:sz w:val="30"/>
          <w:szCs w:val="30"/>
        </w:rPr>
        <w:t>〔2021〕</w:t>
      </w:r>
      <w:r>
        <w:rPr>
          <w:rFonts w:ascii="仿宋" w:hAnsi="仿宋" w:eastAsia="仿宋" w:cs="华文宋体"/>
          <w:kern w:val="0"/>
          <w:sz w:val="30"/>
          <w:szCs w:val="30"/>
        </w:rPr>
        <w:t>11-61</w:t>
      </w:r>
      <w:r>
        <w:rPr>
          <w:rFonts w:hint="eastAsia" w:ascii="仿宋" w:hAnsi="仿宋" w:eastAsia="仿宋" w:cs="华文宋体"/>
          <w:kern w:val="0"/>
          <w:sz w:val="30"/>
          <w:szCs w:val="30"/>
        </w:rPr>
        <w:t>号</w:t>
      </w:r>
      <w:r>
        <w:rPr>
          <w:rFonts w:hint="eastAsia" w:ascii="仿宋" w:hAnsi="仿宋" w:eastAsia="仿宋"/>
          <w:sz w:val="30"/>
          <w:szCs w:val="30"/>
        </w:rPr>
        <w:t>《行政处罚决定书》</w:t>
      </w:r>
      <w:r>
        <w:rPr>
          <w:rFonts w:hint="eastAsia" w:ascii="仿宋" w:hAnsi="仿宋" w:eastAsia="仿宋" w:cs="华文宋体"/>
          <w:kern w:val="0"/>
          <w:sz w:val="30"/>
          <w:szCs w:val="30"/>
        </w:rPr>
        <w:t>。</w:t>
      </w:r>
      <w:r>
        <w:rPr>
          <w:rFonts w:ascii="仿宋" w:hAnsi="仿宋" w:eastAsia="仿宋" w:cs="华文宋体"/>
          <w:kern w:val="0"/>
          <w:sz w:val="30"/>
          <w:szCs w:val="30"/>
        </w:rPr>
        <w:t>2022</w:t>
      </w:r>
      <w:r>
        <w:rPr>
          <w:rFonts w:hint="eastAsia" w:ascii="仿宋" w:hAnsi="仿宋" w:eastAsia="仿宋" w:cs="华文宋体"/>
          <w:kern w:val="0"/>
          <w:sz w:val="30"/>
          <w:szCs w:val="30"/>
        </w:rPr>
        <w:t>年</w:t>
      </w:r>
      <w:r>
        <w:rPr>
          <w:rFonts w:ascii="仿宋" w:hAnsi="仿宋" w:eastAsia="仿宋" w:cs="华文宋体"/>
          <w:kern w:val="0"/>
          <w:sz w:val="30"/>
          <w:szCs w:val="30"/>
        </w:rPr>
        <w:t>5</w:t>
      </w:r>
      <w:r>
        <w:rPr>
          <w:rFonts w:hint="eastAsia" w:ascii="仿宋" w:hAnsi="仿宋" w:eastAsia="仿宋" w:cs="华文宋体"/>
          <w:kern w:val="0"/>
          <w:sz w:val="30"/>
          <w:szCs w:val="30"/>
        </w:rPr>
        <w:t>月</w:t>
      </w:r>
      <w:r>
        <w:rPr>
          <w:rFonts w:ascii="仿宋" w:hAnsi="仿宋" w:eastAsia="仿宋" w:cs="华文宋体"/>
          <w:kern w:val="0"/>
          <w:sz w:val="30"/>
          <w:szCs w:val="30"/>
        </w:rPr>
        <w:t>26</w:t>
      </w:r>
      <w:r>
        <w:rPr>
          <w:rFonts w:hint="eastAsia" w:ascii="仿宋" w:hAnsi="仿宋" w:eastAsia="仿宋" w:cs="华文宋体"/>
          <w:kern w:val="0"/>
          <w:sz w:val="30"/>
          <w:szCs w:val="30"/>
        </w:rPr>
        <w:t>日</w:t>
      </w:r>
      <w:r>
        <w:rPr>
          <w:rFonts w:ascii="仿宋" w:hAnsi="仿宋" w:eastAsia="仿宋" w:cs="华文宋体"/>
          <w:kern w:val="0"/>
          <w:sz w:val="30"/>
          <w:szCs w:val="30"/>
        </w:rPr>
        <w:t>，</w:t>
      </w:r>
      <w:r>
        <w:rPr>
          <w:rFonts w:hint="eastAsia" w:ascii="仿宋" w:hAnsi="仿宋" w:eastAsia="仿宋" w:cs="华文宋体"/>
          <w:kern w:val="0"/>
          <w:sz w:val="30"/>
          <w:szCs w:val="30"/>
        </w:rPr>
        <w:t>原告收到被告</w:t>
      </w:r>
      <w:r>
        <w:rPr>
          <w:rFonts w:hint="eastAsia" w:ascii="仿宋" w:hAnsi="仿宋" w:eastAsia="仿宋"/>
          <w:sz w:val="30"/>
          <w:szCs w:val="30"/>
        </w:rPr>
        <w:t>芜湖市人民政府</w:t>
      </w:r>
      <w:r>
        <w:rPr>
          <w:rFonts w:hint="eastAsia" w:ascii="仿宋" w:hAnsi="仿宋" w:eastAsia="仿宋" w:cs="华文宋体"/>
          <w:kern w:val="0"/>
          <w:sz w:val="30"/>
          <w:szCs w:val="30"/>
        </w:rPr>
        <w:t>作出的</w:t>
      </w:r>
      <w:r>
        <w:rPr>
          <w:rFonts w:hint="eastAsia" w:ascii="仿宋" w:hAnsi="仿宋" w:eastAsia="仿宋"/>
          <w:sz w:val="30"/>
          <w:szCs w:val="30"/>
        </w:rPr>
        <w:t>芜市行复〔2022〕15号《行政复议决定书》</w:t>
      </w:r>
      <w:r>
        <w:rPr>
          <w:rFonts w:ascii="仿宋" w:hAnsi="仿宋" w:eastAsia="仿宋" w:cs="华文宋体"/>
          <w:kern w:val="0"/>
          <w:sz w:val="30"/>
          <w:szCs w:val="30"/>
        </w:rPr>
        <w:t>，</w:t>
      </w:r>
      <w:r>
        <w:rPr>
          <w:rFonts w:hint="eastAsia" w:ascii="仿宋" w:hAnsi="仿宋" w:eastAsia="仿宋" w:cs="华文宋体"/>
          <w:kern w:val="0"/>
          <w:sz w:val="30"/>
          <w:szCs w:val="30"/>
        </w:rPr>
        <w:t>该决定书驳回了原告的复议申请。原告认为</w:t>
      </w:r>
      <w:r>
        <w:rPr>
          <w:rFonts w:ascii="仿宋" w:hAnsi="仿宋" w:eastAsia="仿宋" w:cs="华文宋体"/>
          <w:kern w:val="0"/>
          <w:sz w:val="30"/>
          <w:szCs w:val="30"/>
        </w:rPr>
        <w:t>，</w:t>
      </w:r>
      <w:r>
        <w:rPr>
          <w:rFonts w:hint="eastAsia" w:ascii="仿宋" w:hAnsi="仿宋" w:eastAsia="仿宋" w:cs="华文宋体"/>
          <w:kern w:val="0"/>
          <w:sz w:val="30"/>
          <w:szCs w:val="30"/>
        </w:rPr>
        <w:t>芜市监市罚</w:t>
      </w:r>
      <w:r>
        <w:rPr>
          <w:rFonts w:hint="eastAsia" w:ascii="仿宋" w:hAnsi="仿宋" w:eastAsia="仿宋"/>
          <w:sz w:val="30"/>
          <w:szCs w:val="30"/>
        </w:rPr>
        <w:t>〔2021〕</w:t>
      </w:r>
      <w:r>
        <w:rPr>
          <w:rFonts w:ascii="仿宋" w:hAnsi="仿宋" w:eastAsia="仿宋" w:cs="华文宋体"/>
          <w:kern w:val="0"/>
          <w:sz w:val="30"/>
          <w:szCs w:val="30"/>
        </w:rPr>
        <w:t>11-61</w:t>
      </w:r>
      <w:r>
        <w:rPr>
          <w:rFonts w:hint="eastAsia" w:ascii="仿宋" w:hAnsi="仿宋" w:eastAsia="仿宋" w:cs="华文宋体"/>
          <w:kern w:val="0"/>
          <w:sz w:val="30"/>
          <w:szCs w:val="30"/>
        </w:rPr>
        <w:t>号</w:t>
      </w:r>
      <w:r>
        <w:rPr>
          <w:rFonts w:hint="eastAsia" w:ascii="仿宋" w:hAnsi="仿宋" w:eastAsia="仿宋"/>
          <w:sz w:val="30"/>
          <w:szCs w:val="30"/>
        </w:rPr>
        <w:t>《行政处罚决定书》</w:t>
      </w:r>
      <w:r>
        <w:rPr>
          <w:rFonts w:hint="eastAsia" w:ascii="仿宋" w:hAnsi="仿宋" w:eastAsia="仿宋" w:cs="华文宋体"/>
          <w:kern w:val="0"/>
          <w:sz w:val="30"/>
          <w:szCs w:val="30"/>
        </w:rPr>
        <w:t>事实认定不清</w:t>
      </w:r>
      <w:r>
        <w:rPr>
          <w:rFonts w:ascii="仿宋" w:hAnsi="仿宋" w:eastAsia="仿宋" w:cs="华文宋体"/>
          <w:kern w:val="0"/>
          <w:sz w:val="30"/>
          <w:szCs w:val="30"/>
        </w:rPr>
        <w:t>，</w:t>
      </w:r>
      <w:r>
        <w:rPr>
          <w:rFonts w:hint="eastAsia" w:ascii="仿宋" w:hAnsi="仿宋" w:eastAsia="仿宋" w:cs="华文宋体"/>
          <w:kern w:val="0"/>
          <w:sz w:val="30"/>
          <w:szCs w:val="30"/>
        </w:rPr>
        <w:t>适用法律错误</w:t>
      </w:r>
      <w:r>
        <w:rPr>
          <w:rFonts w:ascii="仿宋" w:hAnsi="仿宋" w:eastAsia="仿宋" w:cs="华文宋体"/>
          <w:kern w:val="0"/>
          <w:sz w:val="30"/>
          <w:szCs w:val="30"/>
        </w:rPr>
        <w:t>，</w:t>
      </w:r>
      <w:r>
        <w:rPr>
          <w:rFonts w:hint="eastAsia" w:ascii="仿宋" w:hAnsi="仿宋" w:eastAsia="仿宋" w:cs="华文宋体"/>
          <w:kern w:val="0"/>
          <w:sz w:val="30"/>
          <w:szCs w:val="30"/>
        </w:rPr>
        <w:t>芜市行复字</w:t>
      </w:r>
      <w:r>
        <w:rPr>
          <w:rFonts w:hint="eastAsia" w:ascii="仿宋" w:hAnsi="仿宋" w:eastAsia="仿宋"/>
          <w:sz w:val="30"/>
          <w:szCs w:val="30"/>
        </w:rPr>
        <w:t>〔2022〕15号《行政复议决定书》</w:t>
      </w:r>
      <w:r>
        <w:rPr>
          <w:rFonts w:hint="eastAsia" w:ascii="仿宋" w:hAnsi="仿宋" w:eastAsia="仿宋" w:cs="华文宋体"/>
          <w:kern w:val="0"/>
          <w:sz w:val="30"/>
          <w:szCs w:val="30"/>
        </w:rPr>
        <w:t>维持上述行政处罚的决定错误</w:t>
      </w:r>
      <w:r>
        <w:rPr>
          <w:rFonts w:ascii="仿宋" w:hAnsi="仿宋" w:eastAsia="仿宋" w:cs="华文宋体"/>
          <w:kern w:val="0"/>
          <w:sz w:val="30"/>
          <w:szCs w:val="30"/>
        </w:rPr>
        <w:t>，</w:t>
      </w:r>
      <w:r>
        <w:rPr>
          <w:rFonts w:hint="eastAsia" w:ascii="仿宋" w:hAnsi="仿宋" w:eastAsia="仿宋" w:cs="华文宋体"/>
          <w:kern w:val="0"/>
          <w:sz w:val="30"/>
          <w:szCs w:val="30"/>
        </w:rPr>
        <w:t>应予以纠正。具体理由如下</w:t>
      </w:r>
      <w:r>
        <w:rPr>
          <w:rFonts w:ascii="仿宋" w:hAnsi="仿宋" w:eastAsia="仿宋" w:cs="华文宋体"/>
          <w:kern w:val="0"/>
          <w:sz w:val="30"/>
          <w:szCs w:val="30"/>
        </w:rPr>
        <w:t>:</w:t>
      </w:r>
    </w:p>
    <w:p>
      <w:pPr>
        <w:spacing w:line="500" w:lineRule="exact"/>
        <w:ind w:firstLine="600" w:firstLineChars="200"/>
        <w:rPr>
          <w:rFonts w:ascii="仿宋" w:hAnsi="仿宋" w:eastAsia="仿宋" w:cs="华文宋体"/>
          <w:kern w:val="0"/>
          <w:sz w:val="30"/>
          <w:szCs w:val="30"/>
        </w:rPr>
      </w:pPr>
      <w:r>
        <w:rPr>
          <w:rFonts w:hint="eastAsia" w:ascii="仿宋" w:hAnsi="仿宋" w:eastAsia="仿宋" w:cs="华文宋体"/>
          <w:kern w:val="0"/>
          <w:sz w:val="30"/>
          <w:szCs w:val="30"/>
        </w:rPr>
        <w:t>一、卡迪欧洗发乳液上的标识与“阿道夫”商标不构成近似，亦不会造成消费者的混淆和误认。</w:t>
      </w:r>
      <w:r>
        <w:rPr>
          <w:rFonts w:ascii="仿宋" w:hAnsi="仿宋" w:eastAsia="仿宋" w:cs="华文宋体"/>
          <w:kern w:val="0"/>
          <w:sz w:val="30"/>
          <w:szCs w:val="30"/>
        </w:rPr>
        <w:t>1</w:t>
      </w:r>
      <w:r>
        <w:rPr>
          <w:rFonts w:hint="eastAsia" w:ascii="仿宋" w:hAnsi="仿宋" w:eastAsia="仿宋" w:cs="华文宋体"/>
          <w:kern w:val="0"/>
          <w:sz w:val="30"/>
          <w:szCs w:val="30"/>
        </w:rPr>
        <w:t>.芜湖和联购物中心有限公司销售的卡迪欧洗发乳液上的商标是由一个女性图像和中文拼音“</w:t>
      </w:r>
      <w:r>
        <w:rPr>
          <w:rFonts w:ascii="仿宋" w:hAnsi="仿宋" w:eastAsia="仿宋" w:cs="华文宋体"/>
          <w:kern w:val="0"/>
          <w:sz w:val="30"/>
          <w:szCs w:val="30"/>
        </w:rPr>
        <w:t>KAD10U</w:t>
      </w:r>
      <w:r>
        <w:rPr>
          <w:rFonts w:hint="eastAsia" w:ascii="仿宋" w:hAnsi="仿宋" w:eastAsia="仿宋" w:cs="华文宋体"/>
          <w:kern w:val="0"/>
          <w:sz w:val="30"/>
          <w:szCs w:val="30"/>
        </w:rPr>
        <w:t>”组成</w:t>
      </w:r>
      <w:r>
        <w:rPr>
          <w:rFonts w:ascii="仿宋" w:hAnsi="仿宋" w:eastAsia="仿宋" w:cs="华文宋体"/>
          <w:kern w:val="0"/>
          <w:sz w:val="30"/>
          <w:szCs w:val="30"/>
        </w:rPr>
        <w:t>，</w:t>
      </w:r>
      <w:r>
        <w:rPr>
          <w:rFonts w:hint="eastAsia" w:ascii="仿宋" w:hAnsi="仿宋" w:eastAsia="仿宋" w:cs="华文宋体"/>
          <w:kern w:val="0"/>
          <w:sz w:val="30"/>
          <w:szCs w:val="30"/>
        </w:rPr>
        <w:t>下方有“卡迪欧”汉字。而“阿道夫”商标是由一人物剪影和拼音“</w:t>
      </w:r>
      <w:r>
        <w:rPr>
          <w:rFonts w:ascii="仿宋" w:hAnsi="仿宋" w:eastAsia="仿宋" w:cs="华文宋体"/>
          <w:kern w:val="0"/>
          <w:sz w:val="30"/>
          <w:szCs w:val="30"/>
        </w:rPr>
        <w:t>AD0LH</w:t>
      </w:r>
      <w:r>
        <w:rPr>
          <w:rFonts w:hint="eastAsia" w:ascii="仿宋" w:hAnsi="仿宋" w:eastAsia="仿宋" w:cs="华文宋体"/>
          <w:kern w:val="0"/>
          <w:sz w:val="30"/>
          <w:szCs w:val="30"/>
        </w:rPr>
        <w:t>”组成</w:t>
      </w:r>
      <w:r>
        <w:rPr>
          <w:rFonts w:ascii="仿宋" w:hAnsi="仿宋" w:eastAsia="仿宋" w:cs="华文宋体"/>
          <w:kern w:val="0"/>
          <w:sz w:val="30"/>
          <w:szCs w:val="30"/>
        </w:rPr>
        <w:t>，</w:t>
      </w:r>
      <w:r>
        <w:rPr>
          <w:rFonts w:hint="eastAsia" w:ascii="仿宋" w:hAnsi="仿宋" w:eastAsia="仿宋" w:cs="华文宋体"/>
          <w:kern w:val="0"/>
          <w:sz w:val="30"/>
          <w:szCs w:val="30"/>
        </w:rPr>
        <w:t>下方是“阿道夫”汉字</w:t>
      </w:r>
      <w:r>
        <w:rPr>
          <w:rFonts w:ascii="仿宋" w:hAnsi="仿宋" w:eastAsia="仿宋" w:cs="华文宋体"/>
          <w:kern w:val="0"/>
          <w:sz w:val="30"/>
          <w:szCs w:val="30"/>
        </w:rPr>
        <w:t>，</w:t>
      </w:r>
      <w:r>
        <w:rPr>
          <w:rFonts w:hint="eastAsia" w:ascii="仿宋" w:hAnsi="仿宋" w:eastAsia="仿宋" w:cs="华文宋体"/>
          <w:kern w:val="0"/>
          <w:sz w:val="30"/>
          <w:szCs w:val="30"/>
        </w:rPr>
        <w:t>二者区别十分明显。</w:t>
      </w:r>
      <w:r>
        <w:rPr>
          <w:rFonts w:ascii="仿宋" w:hAnsi="仿宋" w:eastAsia="仿宋" w:cs="华文宋体"/>
          <w:kern w:val="0"/>
          <w:sz w:val="30"/>
          <w:szCs w:val="30"/>
        </w:rPr>
        <w:t>2</w:t>
      </w:r>
      <w:r>
        <w:rPr>
          <w:rFonts w:hint="eastAsia" w:ascii="仿宋" w:hAnsi="仿宋" w:eastAsia="仿宋" w:cs="华文宋体"/>
          <w:kern w:val="0"/>
          <w:sz w:val="30"/>
          <w:szCs w:val="30"/>
        </w:rPr>
        <w:t>.客观上</w:t>
      </w:r>
      <w:r>
        <w:rPr>
          <w:rFonts w:ascii="仿宋" w:hAnsi="仿宋" w:eastAsia="仿宋" w:cs="华文宋体"/>
          <w:kern w:val="0"/>
          <w:sz w:val="30"/>
          <w:szCs w:val="30"/>
        </w:rPr>
        <w:t>，</w:t>
      </w:r>
      <w:r>
        <w:rPr>
          <w:rFonts w:hint="eastAsia" w:ascii="仿宋" w:hAnsi="仿宋" w:eastAsia="仿宋" w:cs="华文宋体"/>
          <w:kern w:val="0"/>
          <w:sz w:val="30"/>
          <w:szCs w:val="30"/>
        </w:rPr>
        <w:t>作为一个理性的中国消费者</w:t>
      </w:r>
      <w:r>
        <w:rPr>
          <w:rFonts w:ascii="仿宋" w:hAnsi="仿宋" w:eastAsia="仿宋" w:cs="华文宋体"/>
          <w:kern w:val="0"/>
          <w:sz w:val="30"/>
          <w:szCs w:val="30"/>
        </w:rPr>
        <w:t>，</w:t>
      </w:r>
      <w:r>
        <w:rPr>
          <w:rFonts w:hint="eastAsia" w:ascii="仿宋" w:hAnsi="仿宋" w:eastAsia="仿宋" w:cs="华文宋体"/>
          <w:kern w:val="0"/>
          <w:sz w:val="30"/>
          <w:szCs w:val="30"/>
        </w:rPr>
        <w:t>在对一个商标进行分辨和确认时</w:t>
      </w:r>
      <w:r>
        <w:rPr>
          <w:rFonts w:ascii="仿宋" w:hAnsi="仿宋" w:eastAsia="仿宋" w:cs="华文宋体"/>
          <w:kern w:val="0"/>
          <w:sz w:val="30"/>
          <w:szCs w:val="30"/>
        </w:rPr>
        <w:t>，</w:t>
      </w:r>
      <w:r>
        <w:rPr>
          <w:rFonts w:hint="eastAsia" w:ascii="仿宋" w:hAnsi="仿宋" w:eastAsia="仿宋" w:cs="华文宋体"/>
          <w:kern w:val="0"/>
          <w:sz w:val="30"/>
          <w:szCs w:val="30"/>
        </w:rPr>
        <w:t>不会过多地去在意图形是方形还是圆形</w:t>
      </w:r>
      <w:r>
        <w:rPr>
          <w:rFonts w:ascii="仿宋" w:hAnsi="仿宋" w:eastAsia="仿宋" w:cs="华文宋体"/>
          <w:kern w:val="0"/>
          <w:sz w:val="30"/>
          <w:szCs w:val="30"/>
        </w:rPr>
        <w:t>，</w:t>
      </w:r>
      <w:r>
        <w:rPr>
          <w:rFonts w:hint="eastAsia" w:ascii="仿宋" w:hAnsi="仿宋" w:eastAsia="仿宋" w:cs="华文宋体"/>
          <w:kern w:val="0"/>
          <w:sz w:val="30"/>
          <w:szCs w:val="30"/>
        </w:rPr>
        <w:t>排列是横向还是竖向。消费者接触一种商品的出发点不可能是刻意将其与其他商品去做比较</w:t>
      </w:r>
      <w:r>
        <w:rPr>
          <w:rFonts w:ascii="仿宋" w:hAnsi="仿宋" w:eastAsia="仿宋" w:cs="华文宋体"/>
          <w:kern w:val="0"/>
          <w:sz w:val="30"/>
          <w:szCs w:val="30"/>
        </w:rPr>
        <w:t>，</w:t>
      </w:r>
      <w:r>
        <w:rPr>
          <w:rFonts w:hint="eastAsia" w:ascii="仿宋" w:hAnsi="仿宋" w:eastAsia="仿宋" w:cs="华文宋体"/>
          <w:kern w:val="0"/>
          <w:sz w:val="30"/>
          <w:szCs w:val="30"/>
        </w:rPr>
        <w:t>而是单纯地去认知这个商品。而作为认知的第一步</w:t>
      </w:r>
      <w:r>
        <w:rPr>
          <w:rFonts w:ascii="仿宋" w:hAnsi="仿宋" w:eastAsia="仿宋" w:cs="华文宋体"/>
          <w:kern w:val="0"/>
          <w:sz w:val="30"/>
          <w:szCs w:val="30"/>
        </w:rPr>
        <w:t>，</w:t>
      </w:r>
      <w:r>
        <w:rPr>
          <w:rFonts w:hint="eastAsia" w:ascii="仿宋" w:hAnsi="仿宋" w:eastAsia="仿宋" w:cs="华文宋体"/>
          <w:kern w:val="0"/>
          <w:sz w:val="30"/>
          <w:szCs w:val="30"/>
        </w:rPr>
        <w:t>理应是对商标上的汉字进行阅读，“卡迪欧”与“阿道夫”六个汉字在音、形、义三个方面没有一个字是相同或类似的。</w:t>
      </w:r>
      <w:r>
        <w:rPr>
          <w:rFonts w:ascii="仿宋" w:hAnsi="仿宋" w:eastAsia="仿宋" w:cs="华文宋体"/>
          <w:kern w:val="0"/>
          <w:sz w:val="30"/>
          <w:szCs w:val="30"/>
        </w:rPr>
        <w:t>3</w:t>
      </w:r>
      <w:r>
        <w:rPr>
          <w:rFonts w:hint="eastAsia" w:ascii="仿宋" w:hAnsi="仿宋" w:eastAsia="仿宋" w:cs="华文宋体"/>
          <w:kern w:val="0"/>
          <w:sz w:val="30"/>
          <w:szCs w:val="30"/>
        </w:rPr>
        <w:t>.《商标法》第八条规定“任何能够将自然人、法人或者其他组织的商品与他人的商品区别开的可视性标志</w:t>
      </w:r>
      <w:r>
        <w:rPr>
          <w:rFonts w:ascii="仿宋" w:hAnsi="仿宋" w:eastAsia="仿宋" w:cs="华文宋体"/>
          <w:kern w:val="0"/>
          <w:sz w:val="30"/>
          <w:szCs w:val="30"/>
        </w:rPr>
        <w:t>，</w:t>
      </w:r>
      <w:r>
        <w:rPr>
          <w:rFonts w:hint="eastAsia" w:ascii="仿宋" w:hAnsi="仿宋" w:eastAsia="仿宋" w:cs="华文宋体"/>
          <w:kern w:val="0"/>
          <w:sz w:val="30"/>
          <w:szCs w:val="30"/>
        </w:rPr>
        <w:t>包括文字、图形、字母、数字、三维标志和颜色组合</w:t>
      </w:r>
      <w:r>
        <w:rPr>
          <w:rFonts w:ascii="仿宋" w:hAnsi="仿宋" w:eastAsia="仿宋" w:cs="华文宋体"/>
          <w:kern w:val="0"/>
          <w:sz w:val="30"/>
          <w:szCs w:val="30"/>
        </w:rPr>
        <w:t>，</w:t>
      </w:r>
      <w:r>
        <w:rPr>
          <w:rFonts w:hint="eastAsia" w:ascii="仿宋" w:hAnsi="仿宋" w:eastAsia="仿宋" w:cs="华文宋体"/>
          <w:kern w:val="0"/>
          <w:sz w:val="30"/>
          <w:szCs w:val="30"/>
        </w:rPr>
        <w:t>以及上述要素的组合</w:t>
      </w:r>
      <w:r>
        <w:rPr>
          <w:rFonts w:ascii="仿宋" w:hAnsi="仿宋" w:eastAsia="仿宋" w:cs="华文宋体"/>
          <w:kern w:val="0"/>
          <w:sz w:val="30"/>
          <w:szCs w:val="30"/>
        </w:rPr>
        <w:t>，</w:t>
      </w:r>
      <w:r>
        <w:rPr>
          <w:rFonts w:hint="eastAsia" w:ascii="仿宋" w:hAnsi="仿宋" w:eastAsia="仿宋" w:cs="华文宋体"/>
          <w:kern w:val="0"/>
          <w:sz w:val="30"/>
          <w:szCs w:val="30"/>
        </w:rPr>
        <w:t>均可以作为商标申请注册”</w:t>
      </w:r>
      <w:r>
        <w:rPr>
          <w:rFonts w:ascii="仿宋" w:hAnsi="仿宋" w:eastAsia="仿宋" w:cs="华文宋体"/>
          <w:kern w:val="0"/>
          <w:sz w:val="30"/>
          <w:szCs w:val="30"/>
        </w:rPr>
        <w:t>，</w:t>
      </w:r>
      <w:r>
        <w:rPr>
          <w:rFonts w:hint="eastAsia" w:ascii="仿宋" w:hAnsi="仿宋" w:eastAsia="仿宋" w:cs="华文宋体"/>
          <w:kern w:val="0"/>
          <w:sz w:val="30"/>
          <w:szCs w:val="30"/>
        </w:rPr>
        <w:t>由此可知</w:t>
      </w:r>
      <w:r>
        <w:rPr>
          <w:rFonts w:ascii="仿宋" w:hAnsi="仿宋" w:eastAsia="仿宋" w:cs="华文宋体"/>
          <w:kern w:val="0"/>
          <w:sz w:val="30"/>
          <w:szCs w:val="30"/>
        </w:rPr>
        <w:t>，</w:t>
      </w:r>
      <w:r>
        <w:rPr>
          <w:rFonts w:hint="eastAsia" w:ascii="仿宋" w:hAnsi="仿宋" w:eastAsia="仿宋" w:cs="华文宋体"/>
          <w:kern w:val="0"/>
          <w:sz w:val="30"/>
          <w:szCs w:val="30"/>
        </w:rPr>
        <w:t>原告的商标并无不妥。从外观上看，“卡迪欧”与“阿道夫”，不论是从图形、汉字字形、读音还是中文拼音都有显著区别，而这区别为人之普通注意可轻易察觉，所以认定两商标构成近似根本没有根据。此外，商标的真正主体是文字和读音部分。消费者不会仅以图形相似而丝毫不注意文字、中文拼音之区别，就判断一种商品为另外一种商品。所以，在隔离状态下，以普通人之注意，即使考虑到引证商标的知名度，并存于类似或不相类似的商品上，均不会混淆此两种商标，且原告的经销商</w:t>
      </w:r>
      <w:r>
        <w:rPr>
          <w:rFonts w:hint="eastAsia" w:ascii="仿宋" w:hAnsi="仿宋" w:eastAsia="仿宋"/>
          <w:sz w:val="30"/>
          <w:szCs w:val="30"/>
        </w:rPr>
        <w:t>芜湖和联购物中心有限公司</w:t>
      </w:r>
      <w:r>
        <w:rPr>
          <w:rFonts w:hint="eastAsia" w:ascii="仿宋" w:hAnsi="仿宋" w:eastAsia="仿宋" w:cs="华文宋体"/>
          <w:kern w:val="0"/>
          <w:sz w:val="30"/>
          <w:szCs w:val="30"/>
        </w:rPr>
        <w:t>销售该批卡迪欧洗发乳液与广州阿道夫个人护理用品有限公司在客观上不存在任何联系。4.根据国家工商行政管理总局《关于禁止仿冒知名商品特有的名称、包装、装潢的不正当竞争行为的若干规定》第五条第一款规定</w:t>
      </w:r>
      <w:r>
        <w:rPr>
          <w:rFonts w:ascii="仿宋" w:hAnsi="仿宋" w:eastAsia="仿宋" w:cs="华文宋体"/>
          <w:kern w:val="0"/>
          <w:sz w:val="30"/>
          <w:szCs w:val="30"/>
        </w:rPr>
        <w:t>，</w:t>
      </w:r>
      <w:r>
        <w:rPr>
          <w:rFonts w:hint="eastAsia" w:ascii="仿宋" w:hAnsi="仿宋" w:eastAsia="仿宋" w:cs="华文宋体"/>
          <w:kern w:val="0"/>
          <w:sz w:val="30"/>
          <w:szCs w:val="30"/>
        </w:rPr>
        <w:t>对使用与知名商品近似的名称、包装、装潢</w:t>
      </w:r>
      <w:r>
        <w:rPr>
          <w:rFonts w:ascii="仿宋" w:hAnsi="仿宋" w:eastAsia="仿宋" w:cs="华文宋体"/>
          <w:kern w:val="0"/>
          <w:sz w:val="30"/>
          <w:szCs w:val="30"/>
        </w:rPr>
        <w:t>，</w:t>
      </w:r>
      <w:r>
        <w:rPr>
          <w:rFonts w:hint="eastAsia" w:ascii="仿宋" w:hAnsi="仿宋" w:eastAsia="仿宋" w:cs="华文宋体"/>
          <w:kern w:val="0"/>
          <w:sz w:val="30"/>
          <w:szCs w:val="30"/>
        </w:rPr>
        <w:t>可以根据主要部分和整体印象相近</w:t>
      </w:r>
      <w:r>
        <w:rPr>
          <w:rFonts w:ascii="仿宋" w:hAnsi="仿宋" w:eastAsia="仿宋" w:cs="华文宋体"/>
          <w:kern w:val="0"/>
          <w:sz w:val="30"/>
          <w:szCs w:val="30"/>
        </w:rPr>
        <w:t>，</w:t>
      </w:r>
      <w:r>
        <w:rPr>
          <w:rFonts w:hint="eastAsia" w:ascii="仿宋" w:hAnsi="仿宋" w:eastAsia="仿宋" w:cs="华文宋体"/>
          <w:kern w:val="0"/>
          <w:sz w:val="30"/>
          <w:szCs w:val="30"/>
        </w:rPr>
        <w:t>一般购买者施以普通注意力会发生误认等综合分析认定。据此</w:t>
      </w:r>
      <w:r>
        <w:rPr>
          <w:rFonts w:ascii="仿宋" w:hAnsi="仿宋" w:eastAsia="仿宋" w:cs="华文宋体"/>
          <w:kern w:val="0"/>
          <w:sz w:val="30"/>
          <w:szCs w:val="30"/>
        </w:rPr>
        <w:t>，</w:t>
      </w:r>
      <w:r>
        <w:rPr>
          <w:rFonts w:hint="eastAsia" w:ascii="仿宋" w:hAnsi="仿宋" w:eastAsia="仿宋" w:cs="华文宋体"/>
          <w:kern w:val="0"/>
          <w:sz w:val="30"/>
          <w:szCs w:val="30"/>
        </w:rPr>
        <w:t>判断产品的包装、装潢是否构成近似、造成混淆的主体</w:t>
      </w:r>
      <w:r>
        <w:rPr>
          <w:rFonts w:ascii="仿宋" w:hAnsi="仿宋" w:eastAsia="仿宋" w:cs="华文宋体"/>
          <w:kern w:val="0"/>
          <w:sz w:val="30"/>
          <w:szCs w:val="30"/>
        </w:rPr>
        <w:t>，</w:t>
      </w:r>
      <w:r>
        <w:rPr>
          <w:rFonts w:hint="eastAsia" w:ascii="仿宋" w:hAnsi="仿宋" w:eastAsia="仿宋" w:cs="华文宋体"/>
          <w:kern w:val="0"/>
          <w:sz w:val="30"/>
          <w:szCs w:val="30"/>
        </w:rPr>
        <w:t>应当为一般购买者</w:t>
      </w:r>
      <w:r>
        <w:rPr>
          <w:rFonts w:ascii="仿宋" w:hAnsi="仿宋" w:eastAsia="仿宋" w:cs="华文宋体"/>
          <w:kern w:val="0"/>
          <w:sz w:val="30"/>
          <w:szCs w:val="30"/>
        </w:rPr>
        <w:t>，</w:t>
      </w:r>
      <w:r>
        <w:rPr>
          <w:rFonts w:hint="eastAsia" w:ascii="仿宋" w:hAnsi="仿宋" w:eastAsia="仿宋" w:cs="华文宋体"/>
          <w:kern w:val="0"/>
          <w:sz w:val="30"/>
          <w:szCs w:val="30"/>
        </w:rPr>
        <w:t>这里的购买者</w:t>
      </w:r>
      <w:r>
        <w:rPr>
          <w:rFonts w:ascii="仿宋" w:hAnsi="仿宋" w:eastAsia="仿宋" w:cs="华文宋体"/>
          <w:kern w:val="0"/>
          <w:sz w:val="30"/>
          <w:szCs w:val="30"/>
        </w:rPr>
        <w:t>，</w:t>
      </w:r>
      <w:r>
        <w:rPr>
          <w:rFonts w:hint="eastAsia" w:ascii="仿宋" w:hAnsi="仿宋" w:eastAsia="仿宋" w:cs="华文宋体"/>
          <w:kern w:val="0"/>
          <w:sz w:val="30"/>
          <w:szCs w:val="30"/>
        </w:rPr>
        <w:t>既非行政执法人员</w:t>
      </w:r>
      <w:r>
        <w:rPr>
          <w:rFonts w:ascii="仿宋" w:hAnsi="仿宋" w:eastAsia="仿宋" w:cs="华文宋体"/>
          <w:kern w:val="0"/>
          <w:sz w:val="30"/>
          <w:szCs w:val="30"/>
        </w:rPr>
        <w:t>，</w:t>
      </w:r>
      <w:r>
        <w:rPr>
          <w:rFonts w:hint="eastAsia" w:ascii="仿宋" w:hAnsi="仿宋" w:eastAsia="仿宋" w:cs="华文宋体"/>
          <w:kern w:val="0"/>
          <w:sz w:val="30"/>
          <w:szCs w:val="30"/>
        </w:rPr>
        <w:t>也非司法工作人员或者具有专业知识的人员，但被告</w:t>
      </w:r>
      <w:r>
        <w:rPr>
          <w:rFonts w:hint="eastAsia" w:ascii="仿宋" w:hAnsi="仿宋" w:eastAsia="仿宋"/>
          <w:sz w:val="30"/>
          <w:szCs w:val="30"/>
        </w:rPr>
        <w:t>芜湖市市场监督管理局</w:t>
      </w:r>
      <w:r>
        <w:rPr>
          <w:rFonts w:hint="eastAsia" w:ascii="仿宋" w:hAnsi="仿宋" w:eastAsia="仿宋" w:cs="华文宋体"/>
          <w:kern w:val="0"/>
          <w:sz w:val="30"/>
          <w:szCs w:val="30"/>
        </w:rPr>
        <w:t>并未作此项调查</w:t>
      </w:r>
      <w:r>
        <w:rPr>
          <w:rFonts w:ascii="仿宋" w:hAnsi="仿宋" w:eastAsia="仿宋" w:cs="华文宋体"/>
          <w:kern w:val="0"/>
          <w:sz w:val="30"/>
          <w:szCs w:val="30"/>
        </w:rPr>
        <w:t>，</w:t>
      </w:r>
      <w:r>
        <w:rPr>
          <w:rFonts w:hint="eastAsia" w:ascii="仿宋" w:hAnsi="仿宋" w:eastAsia="仿宋" w:cs="华文宋体"/>
          <w:kern w:val="0"/>
          <w:sz w:val="30"/>
          <w:szCs w:val="30"/>
        </w:rPr>
        <w:t>而是仅凭执法人员的认定作出“混淆”结论</w:t>
      </w:r>
      <w:r>
        <w:rPr>
          <w:rFonts w:ascii="仿宋" w:hAnsi="仿宋" w:eastAsia="仿宋" w:cs="华文宋体"/>
          <w:kern w:val="0"/>
          <w:sz w:val="30"/>
          <w:szCs w:val="30"/>
        </w:rPr>
        <w:t>，</w:t>
      </w:r>
      <w:r>
        <w:rPr>
          <w:rFonts w:hint="eastAsia" w:ascii="仿宋" w:hAnsi="仿宋" w:eastAsia="仿宋" w:cs="华文宋体"/>
          <w:kern w:val="0"/>
          <w:sz w:val="30"/>
          <w:szCs w:val="30"/>
        </w:rPr>
        <w:t>没有尽到举证责任</w:t>
      </w:r>
      <w:r>
        <w:rPr>
          <w:rFonts w:ascii="仿宋" w:hAnsi="仿宋" w:eastAsia="仿宋" w:cs="华文宋体"/>
          <w:kern w:val="0"/>
          <w:sz w:val="30"/>
          <w:szCs w:val="30"/>
        </w:rPr>
        <w:t>，</w:t>
      </w:r>
      <w:r>
        <w:rPr>
          <w:rFonts w:hint="eastAsia" w:ascii="仿宋" w:hAnsi="仿宋" w:eastAsia="仿宋" w:cs="华文宋体"/>
          <w:kern w:val="0"/>
          <w:sz w:val="30"/>
          <w:szCs w:val="30"/>
        </w:rPr>
        <w:t>作出的行政处罚也不符合法律规定。</w:t>
      </w:r>
    </w:p>
    <w:p>
      <w:pPr>
        <w:autoSpaceDE w:val="0"/>
        <w:autoSpaceDN w:val="0"/>
        <w:spacing w:line="500" w:lineRule="exact"/>
        <w:ind w:firstLine="600" w:firstLineChars="200"/>
        <w:rPr>
          <w:rFonts w:ascii="仿宋" w:hAnsi="仿宋" w:eastAsia="仿宋" w:cs="华文宋体"/>
          <w:kern w:val="0"/>
          <w:sz w:val="30"/>
          <w:szCs w:val="30"/>
        </w:rPr>
      </w:pPr>
      <w:r>
        <w:rPr>
          <w:rFonts w:hint="eastAsia" w:ascii="仿宋" w:hAnsi="仿宋" w:eastAsia="仿宋" w:cs="华文宋体"/>
          <w:kern w:val="0"/>
          <w:sz w:val="30"/>
          <w:szCs w:val="30"/>
        </w:rPr>
        <w:t>二、</w:t>
      </w:r>
      <w:r>
        <w:rPr>
          <w:rFonts w:hint="eastAsia" w:ascii="仿宋" w:hAnsi="仿宋" w:eastAsia="仿宋"/>
          <w:sz w:val="30"/>
          <w:szCs w:val="30"/>
        </w:rPr>
        <w:t>芜湖和联购物中心有限公司</w:t>
      </w:r>
      <w:r>
        <w:rPr>
          <w:rFonts w:hint="eastAsia" w:ascii="仿宋" w:hAnsi="仿宋" w:eastAsia="仿宋" w:cs="华文宋体"/>
          <w:kern w:val="0"/>
          <w:sz w:val="30"/>
          <w:szCs w:val="30"/>
        </w:rPr>
        <w:t>的销售行为是正当的</w:t>
      </w:r>
      <w:r>
        <w:rPr>
          <w:rFonts w:ascii="仿宋" w:hAnsi="仿宋" w:eastAsia="仿宋" w:cs="华文宋体"/>
          <w:kern w:val="0"/>
          <w:sz w:val="30"/>
          <w:szCs w:val="30"/>
        </w:rPr>
        <w:t>，</w:t>
      </w:r>
      <w:r>
        <w:rPr>
          <w:rFonts w:hint="eastAsia" w:ascii="仿宋" w:hAnsi="仿宋" w:eastAsia="仿宋" w:cs="华文宋体"/>
          <w:kern w:val="0"/>
          <w:sz w:val="30"/>
          <w:szCs w:val="30"/>
        </w:rPr>
        <w:t>没有违反《反不正当竞争法》的规定。《最高人民法院关于适用＜中华人民共和国反不正当竞争法＞若干问题的解释》第十二条规定</w:t>
      </w:r>
      <w:r>
        <w:rPr>
          <w:rFonts w:ascii="仿宋" w:hAnsi="仿宋" w:eastAsia="仿宋" w:cs="华文宋体"/>
          <w:kern w:val="0"/>
          <w:sz w:val="30"/>
          <w:szCs w:val="30"/>
        </w:rPr>
        <w:t>，</w:t>
      </w:r>
      <w:r>
        <w:rPr>
          <w:rFonts w:hint="eastAsia" w:ascii="仿宋" w:hAnsi="仿宋" w:eastAsia="仿宋" w:cs="华文宋体"/>
          <w:kern w:val="0"/>
          <w:sz w:val="30"/>
          <w:szCs w:val="30"/>
        </w:rPr>
        <w:t>人民法院认定与反不正当竞争法第六条规定的“有一定影响”标识相同或者近似</w:t>
      </w:r>
      <w:r>
        <w:rPr>
          <w:rFonts w:ascii="仿宋" w:hAnsi="仿宋" w:eastAsia="仿宋" w:cs="华文宋体"/>
          <w:kern w:val="0"/>
          <w:sz w:val="30"/>
          <w:szCs w:val="30"/>
        </w:rPr>
        <w:t>，</w:t>
      </w:r>
      <w:r>
        <w:rPr>
          <w:rFonts w:hint="eastAsia" w:ascii="仿宋" w:hAnsi="仿宋" w:eastAsia="仿宋" w:cs="华文宋体"/>
          <w:kern w:val="0"/>
          <w:sz w:val="30"/>
          <w:szCs w:val="30"/>
        </w:rPr>
        <w:t>可以参照商标相同或者近似的判断原则和方法；反不正当竞争法第六条规定的“引人误认为是他人商品或者与他人存在特定联系”包括误认为与他人具有商业联合</w:t>
      </w:r>
      <w:r>
        <w:rPr>
          <w:rFonts w:ascii="仿宋" w:hAnsi="仿宋" w:eastAsia="仿宋" w:cs="华文宋体"/>
          <w:kern w:val="0"/>
          <w:sz w:val="30"/>
          <w:szCs w:val="30"/>
        </w:rPr>
        <w:t>，</w:t>
      </w:r>
      <w:r>
        <w:rPr>
          <w:rFonts w:hint="eastAsia" w:ascii="仿宋" w:hAnsi="仿宋" w:eastAsia="仿宋" w:cs="华文宋体"/>
          <w:kern w:val="0"/>
          <w:sz w:val="30"/>
          <w:szCs w:val="30"/>
        </w:rPr>
        <w:t>许可使用、商业冠名、广告代言等特定联系；在相同商品上使用相同或视觉上基本无差别的商品名称、包装装潢等标识</w:t>
      </w:r>
      <w:r>
        <w:rPr>
          <w:rFonts w:ascii="仿宋" w:hAnsi="仿宋" w:eastAsia="仿宋" w:cs="华文宋体"/>
          <w:kern w:val="0"/>
          <w:sz w:val="30"/>
          <w:szCs w:val="30"/>
        </w:rPr>
        <w:t>，</w:t>
      </w:r>
      <w:r>
        <w:rPr>
          <w:rFonts w:hint="eastAsia" w:ascii="仿宋" w:hAnsi="仿宋" w:eastAsia="仿宋" w:cs="华文宋体"/>
          <w:kern w:val="0"/>
          <w:sz w:val="30"/>
          <w:szCs w:val="30"/>
        </w:rPr>
        <w:t>应当视为足以造成与他人有一定影响的标识相混淆。本案中</w:t>
      </w:r>
      <w:r>
        <w:rPr>
          <w:rFonts w:ascii="仿宋" w:hAnsi="仿宋" w:eastAsia="仿宋" w:cs="华文宋体"/>
          <w:kern w:val="0"/>
          <w:sz w:val="30"/>
          <w:szCs w:val="30"/>
        </w:rPr>
        <w:t>，</w:t>
      </w:r>
      <w:r>
        <w:rPr>
          <w:rFonts w:hint="eastAsia" w:ascii="仿宋" w:hAnsi="仿宋" w:eastAsia="仿宋" w:cs="华文宋体"/>
          <w:kern w:val="0"/>
          <w:sz w:val="30"/>
          <w:szCs w:val="30"/>
        </w:rPr>
        <w:t>卡迪欧洗发乳液的名称、包装、装潢构成要件中的任何一个要件与广州阿道夫个人护理用品均不具备上述规定</w:t>
      </w:r>
      <w:r>
        <w:rPr>
          <w:rFonts w:ascii="仿宋" w:hAnsi="仿宋" w:eastAsia="仿宋" w:cs="华文宋体"/>
          <w:kern w:val="0"/>
          <w:sz w:val="30"/>
          <w:szCs w:val="30"/>
        </w:rPr>
        <w:t>，</w:t>
      </w:r>
      <w:r>
        <w:rPr>
          <w:rFonts w:hint="eastAsia" w:ascii="仿宋" w:hAnsi="仿宋" w:eastAsia="仿宋" w:cs="华文宋体"/>
          <w:kern w:val="0"/>
          <w:sz w:val="30"/>
          <w:szCs w:val="30"/>
        </w:rPr>
        <w:t>为此</w:t>
      </w:r>
      <w:r>
        <w:rPr>
          <w:rFonts w:ascii="仿宋" w:hAnsi="仿宋" w:eastAsia="仿宋" w:cs="华文宋体"/>
          <w:kern w:val="0"/>
          <w:sz w:val="30"/>
          <w:szCs w:val="30"/>
        </w:rPr>
        <w:t>，</w:t>
      </w:r>
      <w:r>
        <w:rPr>
          <w:rFonts w:hint="eastAsia" w:ascii="仿宋" w:hAnsi="仿宋" w:eastAsia="仿宋"/>
          <w:sz w:val="30"/>
          <w:szCs w:val="30"/>
        </w:rPr>
        <w:t>芜湖和联购物中心有限公司</w:t>
      </w:r>
      <w:r>
        <w:rPr>
          <w:rFonts w:hint="eastAsia" w:ascii="仿宋" w:hAnsi="仿宋" w:eastAsia="仿宋" w:cs="华文宋体"/>
          <w:kern w:val="0"/>
          <w:sz w:val="30"/>
          <w:szCs w:val="30"/>
        </w:rPr>
        <w:t>的销售行为没有违反反不正当竞争法。</w:t>
      </w:r>
    </w:p>
    <w:p>
      <w:pPr>
        <w:autoSpaceDE w:val="0"/>
        <w:autoSpaceDN w:val="0"/>
        <w:spacing w:line="500" w:lineRule="exact"/>
        <w:ind w:firstLine="600" w:firstLineChars="200"/>
        <w:rPr>
          <w:rFonts w:ascii="仿宋" w:hAnsi="仿宋" w:eastAsia="仿宋" w:cs="华文宋体"/>
          <w:kern w:val="0"/>
          <w:sz w:val="30"/>
          <w:szCs w:val="30"/>
        </w:rPr>
      </w:pPr>
      <w:r>
        <w:rPr>
          <w:rFonts w:hint="eastAsia" w:ascii="仿宋" w:hAnsi="仿宋" w:eastAsia="仿宋" w:cs="华文宋体"/>
          <w:kern w:val="0"/>
          <w:sz w:val="30"/>
          <w:szCs w:val="30"/>
        </w:rPr>
        <w:t>三、被告</w:t>
      </w:r>
      <w:r>
        <w:rPr>
          <w:rFonts w:hint="eastAsia" w:ascii="仿宋" w:hAnsi="仿宋" w:eastAsia="仿宋"/>
          <w:sz w:val="30"/>
          <w:szCs w:val="30"/>
        </w:rPr>
        <w:t>芜湖市市场监督管理局</w:t>
      </w:r>
      <w:r>
        <w:rPr>
          <w:rFonts w:hint="eastAsia" w:ascii="仿宋" w:hAnsi="仿宋" w:eastAsia="仿宋" w:cs="华文宋体"/>
          <w:kern w:val="0"/>
          <w:sz w:val="30"/>
          <w:szCs w:val="30"/>
        </w:rPr>
        <w:t>认定</w:t>
      </w:r>
      <w:r>
        <w:rPr>
          <w:rFonts w:hint="eastAsia" w:ascii="仿宋" w:hAnsi="仿宋" w:eastAsia="仿宋"/>
          <w:sz w:val="30"/>
          <w:szCs w:val="30"/>
        </w:rPr>
        <w:t>芜湖和联购物中心有限公司</w:t>
      </w:r>
      <w:r>
        <w:rPr>
          <w:rFonts w:hint="eastAsia" w:ascii="仿宋" w:hAnsi="仿宋" w:eastAsia="仿宋" w:cs="华文宋体"/>
          <w:kern w:val="0"/>
          <w:sz w:val="30"/>
          <w:szCs w:val="30"/>
        </w:rPr>
        <w:t>构成不正当竞争属于适用法律错误。</w:t>
      </w:r>
      <w:r>
        <w:rPr>
          <w:rFonts w:ascii="仿宋" w:hAnsi="仿宋" w:eastAsia="仿宋" w:cs="华文宋体"/>
          <w:kern w:val="0"/>
          <w:sz w:val="30"/>
          <w:szCs w:val="30"/>
        </w:rPr>
        <w:t>1</w:t>
      </w:r>
      <w:r>
        <w:rPr>
          <w:rFonts w:hint="eastAsia" w:ascii="仿宋" w:hAnsi="仿宋" w:eastAsia="仿宋" w:cs="华文宋体"/>
          <w:kern w:val="0"/>
          <w:sz w:val="30"/>
          <w:szCs w:val="30"/>
        </w:rPr>
        <w:t>.</w:t>
      </w:r>
      <w:r>
        <w:rPr>
          <w:rFonts w:ascii="仿宋" w:hAnsi="仿宋" w:eastAsia="仿宋" w:cs="华文宋体"/>
          <w:kern w:val="0"/>
          <w:sz w:val="30"/>
          <w:szCs w:val="30"/>
        </w:rPr>
        <w:t>2020</w:t>
      </w:r>
      <w:r>
        <w:rPr>
          <w:rFonts w:hint="eastAsia" w:ascii="仿宋" w:hAnsi="仿宋" w:eastAsia="仿宋" w:cs="华文宋体"/>
          <w:kern w:val="0"/>
          <w:sz w:val="30"/>
          <w:szCs w:val="30"/>
        </w:rPr>
        <w:t>年</w:t>
      </w:r>
      <w:r>
        <w:rPr>
          <w:rFonts w:ascii="仿宋" w:hAnsi="仿宋" w:eastAsia="仿宋" w:cs="华文宋体"/>
          <w:kern w:val="0"/>
          <w:sz w:val="30"/>
          <w:szCs w:val="30"/>
        </w:rPr>
        <w:t>4</w:t>
      </w:r>
      <w:r>
        <w:rPr>
          <w:rFonts w:hint="eastAsia" w:ascii="仿宋" w:hAnsi="仿宋" w:eastAsia="仿宋" w:cs="华文宋体"/>
          <w:kern w:val="0"/>
          <w:sz w:val="30"/>
          <w:szCs w:val="30"/>
        </w:rPr>
        <w:t>月</w:t>
      </w:r>
      <w:r>
        <w:rPr>
          <w:rFonts w:ascii="仿宋" w:hAnsi="仿宋" w:eastAsia="仿宋" w:cs="华文宋体"/>
          <w:kern w:val="0"/>
          <w:sz w:val="30"/>
          <w:szCs w:val="30"/>
        </w:rPr>
        <w:t>20</w:t>
      </w:r>
      <w:r>
        <w:rPr>
          <w:rFonts w:hint="eastAsia" w:ascii="仿宋" w:hAnsi="仿宋" w:eastAsia="仿宋" w:cs="华文宋体"/>
          <w:kern w:val="0"/>
          <w:sz w:val="30"/>
          <w:szCs w:val="30"/>
        </w:rPr>
        <w:t>日</w:t>
      </w:r>
      <w:r>
        <w:rPr>
          <w:rFonts w:ascii="仿宋" w:hAnsi="仿宋" w:eastAsia="仿宋" w:cs="华文宋体"/>
          <w:kern w:val="0"/>
          <w:sz w:val="30"/>
          <w:szCs w:val="30"/>
        </w:rPr>
        <w:t>，</w:t>
      </w:r>
      <w:r>
        <w:rPr>
          <w:rFonts w:hint="eastAsia" w:ascii="仿宋" w:hAnsi="仿宋" w:eastAsia="仿宋" w:cs="华文宋体"/>
          <w:kern w:val="0"/>
          <w:sz w:val="30"/>
          <w:szCs w:val="30"/>
        </w:rPr>
        <w:t>原告就对“卡迪欧”商标进行了注册</w:t>
      </w:r>
      <w:r>
        <w:rPr>
          <w:rFonts w:ascii="仿宋" w:hAnsi="仿宋" w:eastAsia="仿宋" w:cs="华文宋体"/>
          <w:kern w:val="0"/>
          <w:sz w:val="30"/>
          <w:szCs w:val="30"/>
        </w:rPr>
        <w:t>，</w:t>
      </w:r>
      <w:r>
        <w:rPr>
          <w:rFonts w:hint="eastAsia" w:ascii="仿宋" w:hAnsi="仿宋" w:eastAsia="仿宋" w:cs="华文宋体"/>
          <w:kern w:val="0"/>
          <w:sz w:val="30"/>
          <w:szCs w:val="30"/>
        </w:rPr>
        <w:t>并在</w:t>
      </w:r>
      <w:r>
        <w:rPr>
          <w:rFonts w:ascii="仿宋" w:hAnsi="仿宋" w:eastAsia="仿宋" w:cs="华文宋体"/>
          <w:kern w:val="0"/>
          <w:sz w:val="30"/>
          <w:szCs w:val="30"/>
        </w:rPr>
        <w:t>2020</w:t>
      </w:r>
      <w:r>
        <w:rPr>
          <w:rFonts w:hint="eastAsia" w:ascii="仿宋" w:hAnsi="仿宋" w:eastAsia="仿宋" w:cs="华文宋体"/>
          <w:kern w:val="0"/>
          <w:sz w:val="30"/>
          <w:szCs w:val="30"/>
        </w:rPr>
        <w:t>年</w:t>
      </w:r>
      <w:r>
        <w:rPr>
          <w:rFonts w:ascii="仿宋" w:hAnsi="仿宋" w:eastAsia="仿宋" w:cs="华文宋体"/>
          <w:kern w:val="0"/>
          <w:sz w:val="30"/>
          <w:szCs w:val="30"/>
        </w:rPr>
        <w:t>7</w:t>
      </w:r>
      <w:r>
        <w:rPr>
          <w:rFonts w:hint="eastAsia" w:ascii="仿宋" w:hAnsi="仿宋" w:eastAsia="仿宋" w:cs="华文宋体"/>
          <w:kern w:val="0"/>
          <w:sz w:val="30"/>
          <w:szCs w:val="30"/>
        </w:rPr>
        <w:t>月</w:t>
      </w:r>
      <w:r>
        <w:rPr>
          <w:rFonts w:ascii="仿宋" w:hAnsi="仿宋" w:eastAsia="仿宋" w:cs="华文宋体"/>
          <w:kern w:val="0"/>
          <w:sz w:val="30"/>
          <w:szCs w:val="30"/>
        </w:rPr>
        <w:t>5</w:t>
      </w:r>
      <w:r>
        <w:rPr>
          <w:rFonts w:hint="eastAsia" w:ascii="仿宋" w:hAnsi="仿宋" w:eastAsia="仿宋" w:cs="华文宋体"/>
          <w:kern w:val="0"/>
          <w:sz w:val="30"/>
          <w:szCs w:val="30"/>
        </w:rPr>
        <w:t>日取得“化妆品生产许可证”</w:t>
      </w:r>
      <w:r>
        <w:rPr>
          <w:rFonts w:ascii="仿宋" w:hAnsi="仿宋" w:eastAsia="仿宋" w:cs="华文宋体"/>
          <w:kern w:val="0"/>
          <w:sz w:val="30"/>
          <w:szCs w:val="30"/>
        </w:rPr>
        <w:t>(</w:t>
      </w:r>
      <w:r>
        <w:rPr>
          <w:rFonts w:hint="eastAsia" w:ascii="仿宋" w:hAnsi="仿宋" w:eastAsia="仿宋" w:cs="华文宋体"/>
          <w:kern w:val="0"/>
          <w:sz w:val="30"/>
          <w:szCs w:val="30"/>
        </w:rPr>
        <w:t>编号</w:t>
      </w:r>
      <w:r>
        <w:rPr>
          <w:rFonts w:ascii="仿宋" w:hAnsi="仿宋" w:eastAsia="仿宋" w:cs="华文宋体"/>
          <w:kern w:val="0"/>
          <w:sz w:val="30"/>
          <w:szCs w:val="30"/>
        </w:rPr>
        <w:t>:</w:t>
      </w:r>
      <w:r>
        <w:rPr>
          <w:rFonts w:hint="eastAsia" w:ascii="仿宋" w:hAnsi="仿宋" w:eastAsia="仿宋" w:cs="华文宋体"/>
          <w:kern w:val="0"/>
          <w:sz w:val="30"/>
          <w:szCs w:val="30"/>
        </w:rPr>
        <w:t>粤妆</w:t>
      </w:r>
      <w:r>
        <w:rPr>
          <w:rFonts w:ascii="仿宋" w:hAnsi="仿宋" w:eastAsia="仿宋" w:cs="华文宋体"/>
          <w:kern w:val="0"/>
          <w:sz w:val="30"/>
          <w:szCs w:val="30"/>
        </w:rPr>
        <w:t>20200117)</w:t>
      </w:r>
      <w:r>
        <w:rPr>
          <w:rFonts w:hint="eastAsia" w:ascii="仿宋" w:hAnsi="仿宋" w:eastAsia="仿宋" w:cs="华文宋体"/>
          <w:kern w:val="0"/>
          <w:sz w:val="30"/>
          <w:szCs w:val="30"/>
        </w:rPr>
        <w:t>。另外</w:t>
      </w:r>
      <w:r>
        <w:rPr>
          <w:rFonts w:ascii="仿宋" w:hAnsi="仿宋" w:eastAsia="仿宋" w:cs="华文宋体"/>
          <w:kern w:val="0"/>
          <w:sz w:val="30"/>
          <w:szCs w:val="30"/>
        </w:rPr>
        <w:t>，</w:t>
      </w:r>
      <w:r>
        <w:rPr>
          <w:rFonts w:hint="eastAsia" w:ascii="仿宋" w:hAnsi="仿宋" w:eastAsia="仿宋" w:cs="华文宋体"/>
          <w:kern w:val="0"/>
          <w:sz w:val="30"/>
          <w:szCs w:val="30"/>
        </w:rPr>
        <w:t>卡迪欧洗发乳液商标上的女性图形商标，在</w:t>
      </w:r>
      <w:r>
        <w:rPr>
          <w:rFonts w:ascii="仿宋" w:hAnsi="仿宋" w:eastAsia="仿宋" w:cs="华文宋体"/>
          <w:kern w:val="0"/>
          <w:sz w:val="30"/>
          <w:szCs w:val="30"/>
        </w:rPr>
        <w:t>2010</w:t>
      </w:r>
      <w:r>
        <w:rPr>
          <w:rFonts w:hint="eastAsia" w:ascii="仿宋" w:hAnsi="仿宋" w:eastAsia="仿宋" w:cs="华文宋体"/>
          <w:kern w:val="0"/>
          <w:sz w:val="30"/>
          <w:szCs w:val="30"/>
        </w:rPr>
        <w:t>年</w:t>
      </w:r>
      <w:r>
        <w:rPr>
          <w:rFonts w:ascii="仿宋" w:hAnsi="仿宋" w:eastAsia="仿宋" w:cs="华文宋体"/>
          <w:kern w:val="0"/>
          <w:sz w:val="30"/>
          <w:szCs w:val="30"/>
        </w:rPr>
        <w:t>4</w:t>
      </w:r>
      <w:r>
        <w:rPr>
          <w:rFonts w:hint="eastAsia" w:ascii="仿宋" w:hAnsi="仿宋" w:eastAsia="仿宋" w:cs="华文宋体"/>
          <w:kern w:val="0"/>
          <w:sz w:val="30"/>
          <w:szCs w:val="30"/>
        </w:rPr>
        <w:t>月</w:t>
      </w:r>
      <w:r>
        <w:rPr>
          <w:rFonts w:ascii="仿宋" w:hAnsi="仿宋" w:eastAsia="仿宋" w:cs="华文宋体"/>
          <w:kern w:val="0"/>
          <w:sz w:val="30"/>
          <w:szCs w:val="30"/>
        </w:rPr>
        <w:t>9</w:t>
      </w:r>
      <w:r>
        <w:rPr>
          <w:rFonts w:hint="eastAsia" w:ascii="仿宋" w:hAnsi="仿宋" w:eastAsia="仿宋" w:cs="华文宋体"/>
          <w:kern w:val="0"/>
          <w:sz w:val="30"/>
          <w:szCs w:val="30"/>
        </w:rPr>
        <w:t>日就完成作品创作</w:t>
      </w:r>
      <w:r>
        <w:rPr>
          <w:rFonts w:ascii="仿宋" w:hAnsi="仿宋" w:eastAsia="仿宋" w:cs="华文宋体"/>
          <w:kern w:val="0"/>
          <w:sz w:val="30"/>
          <w:szCs w:val="30"/>
        </w:rPr>
        <w:t>，</w:t>
      </w:r>
      <w:r>
        <w:rPr>
          <w:rFonts w:hint="eastAsia" w:ascii="仿宋" w:hAnsi="仿宋" w:eastAsia="仿宋" w:cs="华文宋体"/>
          <w:kern w:val="0"/>
          <w:sz w:val="30"/>
          <w:szCs w:val="30"/>
        </w:rPr>
        <w:t>且在</w:t>
      </w:r>
      <w:r>
        <w:rPr>
          <w:rFonts w:ascii="仿宋" w:hAnsi="仿宋" w:eastAsia="仿宋" w:cs="华文宋体"/>
          <w:kern w:val="0"/>
          <w:sz w:val="30"/>
          <w:szCs w:val="30"/>
        </w:rPr>
        <w:t>2016</w:t>
      </w:r>
      <w:r>
        <w:rPr>
          <w:rFonts w:hint="eastAsia" w:ascii="仿宋" w:hAnsi="仿宋" w:eastAsia="仿宋" w:cs="华文宋体"/>
          <w:kern w:val="0"/>
          <w:sz w:val="30"/>
          <w:szCs w:val="30"/>
        </w:rPr>
        <w:t>年</w:t>
      </w:r>
      <w:r>
        <w:rPr>
          <w:rFonts w:ascii="仿宋" w:hAnsi="仿宋" w:eastAsia="仿宋" w:cs="华文宋体"/>
          <w:kern w:val="0"/>
          <w:sz w:val="30"/>
          <w:szCs w:val="30"/>
        </w:rPr>
        <w:t>4</w:t>
      </w:r>
      <w:r>
        <w:rPr>
          <w:rFonts w:hint="eastAsia" w:ascii="仿宋" w:hAnsi="仿宋" w:eastAsia="仿宋" w:cs="华文宋体"/>
          <w:kern w:val="0"/>
          <w:sz w:val="30"/>
          <w:szCs w:val="30"/>
        </w:rPr>
        <w:t>月</w:t>
      </w:r>
      <w:r>
        <w:rPr>
          <w:rFonts w:ascii="仿宋" w:hAnsi="仿宋" w:eastAsia="仿宋" w:cs="华文宋体"/>
          <w:kern w:val="0"/>
          <w:sz w:val="30"/>
          <w:szCs w:val="30"/>
        </w:rPr>
        <w:t>10</w:t>
      </w:r>
      <w:r>
        <w:rPr>
          <w:rFonts w:hint="eastAsia" w:ascii="仿宋" w:hAnsi="仿宋" w:eastAsia="仿宋" w:cs="华文宋体"/>
          <w:kern w:val="0"/>
          <w:sz w:val="30"/>
          <w:szCs w:val="30"/>
        </w:rPr>
        <w:t>日进行了发布。被告现以该商标与“阿道夫”注册商标相近似</w:t>
      </w:r>
      <w:r>
        <w:rPr>
          <w:rFonts w:ascii="仿宋" w:hAnsi="仿宋" w:eastAsia="仿宋" w:cs="华文宋体"/>
          <w:kern w:val="0"/>
          <w:sz w:val="30"/>
          <w:szCs w:val="30"/>
        </w:rPr>
        <w:t>，</w:t>
      </w:r>
      <w:r>
        <w:rPr>
          <w:rFonts w:hint="eastAsia" w:ascii="仿宋" w:hAnsi="仿宋" w:eastAsia="仿宋" w:cs="华文宋体"/>
          <w:kern w:val="0"/>
          <w:sz w:val="30"/>
          <w:szCs w:val="30"/>
        </w:rPr>
        <w:t>构成不正当竞争</w:t>
      </w:r>
      <w:r>
        <w:rPr>
          <w:rFonts w:ascii="仿宋" w:hAnsi="仿宋" w:eastAsia="仿宋" w:cs="华文宋体"/>
          <w:kern w:val="0"/>
          <w:sz w:val="30"/>
          <w:szCs w:val="30"/>
        </w:rPr>
        <w:t>，</w:t>
      </w:r>
      <w:r>
        <w:rPr>
          <w:rFonts w:hint="eastAsia" w:ascii="仿宋" w:hAnsi="仿宋" w:eastAsia="仿宋" w:cs="华文宋体"/>
          <w:kern w:val="0"/>
          <w:sz w:val="30"/>
          <w:szCs w:val="30"/>
        </w:rPr>
        <w:t>没有事实和法律依据。</w:t>
      </w:r>
      <w:r>
        <w:rPr>
          <w:rFonts w:ascii="仿宋" w:hAnsi="仿宋" w:eastAsia="仿宋" w:cs="华文宋体"/>
          <w:kern w:val="0"/>
          <w:sz w:val="30"/>
          <w:szCs w:val="30"/>
        </w:rPr>
        <w:t>2</w:t>
      </w:r>
      <w:r>
        <w:rPr>
          <w:rFonts w:hint="eastAsia" w:ascii="仿宋" w:hAnsi="仿宋" w:eastAsia="仿宋" w:cs="华文宋体"/>
          <w:kern w:val="0"/>
          <w:sz w:val="30"/>
          <w:szCs w:val="30"/>
        </w:rPr>
        <w:t>.芜湖和联购物中心有限公司销售的产品具有合法来源</w:t>
      </w:r>
      <w:r>
        <w:rPr>
          <w:rFonts w:ascii="仿宋" w:hAnsi="仿宋" w:eastAsia="仿宋" w:cs="华文宋体"/>
          <w:kern w:val="0"/>
          <w:sz w:val="30"/>
          <w:szCs w:val="30"/>
        </w:rPr>
        <w:t>，</w:t>
      </w:r>
      <w:r>
        <w:rPr>
          <w:rFonts w:hint="eastAsia" w:ascii="仿宋" w:hAnsi="仿宋" w:eastAsia="仿宋" w:cs="华文宋体"/>
          <w:kern w:val="0"/>
          <w:sz w:val="30"/>
          <w:szCs w:val="30"/>
        </w:rPr>
        <w:t>是通过正规合法途径购进</w:t>
      </w:r>
      <w:r>
        <w:rPr>
          <w:rFonts w:ascii="仿宋" w:hAnsi="仿宋" w:eastAsia="仿宋" w:cs="华文宋体"/>
          <w:kern w:val="0"/>
          <w:sz w:val="30"/>
          <w:szCs w:val="30"/>
        </w:rPr>
        <w:t>，</w:t>
      </w:r>
      <w:r>
        <w:rPr>
          <w:rFonts w:hint="eastAsia" w:ascii="仿宋" w:hAnsi="仿宋" w:eastAsia="仿宋" w:cs="华文宋体"/>
          <w:kern w:val="0"/>
          <w:sz w:val="30"/>
          <w:szCs w:val="30"/>
        </w:rPr>
        <w:t>并无侵权之故意。根据《商标法》第六十四条之规定</w:t>
      </w:r>
      <w:r>
        <w:rPr>
          <w:rFonts w:ascii="仿宋" w:hAnsi="仿宋" w:eastAsia="仿宋" w:cs="华文宋体"/>
          <w:kern w:val="0"/>
          <w:sz w:val="30"/>
          <w:szCs w:val="30"/>
        </w:rPr>
        <w:t>:</w:t>
      </w:r>
      <w:r>
        <w:rPr>
          <w:rFonts w:hint="eastAsia" w:ascii="仿宋" w:hAnsi="仿宋" w:eastAsia="仿宋" w:cs="华文宋体"/>
          <w:kern w:val="0"/>
          <w:sz w:val="30"/>
          <w:szCs w:val="30"/>
        </w:rPr>
        <w:t>“销售不知道是侵犯注册商标专用权的商品</w:t>
      </w:r>
      <w:r>
        <w:rPr>
          <w:rFonts w:ascii="仿宋" w:hAnsi="仿宋" w:eastAsia="仿宋" w:cs="华文宋体"/>
          <w:kern w:val="0"/>
          <w:sz w:val="30"/>
          <w:szCs w:val="30"/>
        </w:rPr>
        <w:t>，</w:t>
      </w:r>
      <w:r>
        <w:rPr>
          <w:rFonts w:hint="eastAsia" w:ascii="仿宋" w:hAnsi="仿宋" w:eastAsia="仿宋" w:cs="华文宋体"/>
          <w:kern w:val="0"/>
          <w:sz w:val="30"/>
          <w:szCs w:val="30"/>
        </w:rPr>
        <w:t>能证明该商品是自己合法取得的并说明提供者的</w:t>
      </w:r>
      <w:r>
        <w:rPr>
          <w:rFonts w:ascii="仿宋" w:hAnsi="仿宋" w:eastAsia="仿宋" w:cs="华文宋体"/>
          <w:kern w:val="0"/>
          <w:sz w:val="30"/>
          <w:szCs w:val="30"/>
        </w:rPr>
        <w:t>，</w:t>
      </w:r>
      <w:r>
        <w:rPr>
          <w:rFonts w:hint="eastAsia" w:ascii="仿宋" w:hAnsi="仿宋" w:eastAsia="仿宋" w:cs="华文宋体"/>
          <w:kern w:val="0"/>
          <w:sz w:val="30"/>
          <w:szCs w:val="30"/>
        </w:rPr>
        <w:t>不承担赔偿责任”。另外</w:t>
      </w:r>
      <w:r>
        <w:rPr>
          <w:rFonts w:ascii="仿宋" w:hAnsi="仿宋" w:eastAsia="仿宋" w:cs="华文宋体"/>
          <w:kern w:val="0"/>
          <w:sz w:val="30"/>
          <w:szCs w:val="30"/>
        </w:rPr>
        <w:t>，</w:t>
      </w:r>
      <w:r>
        <w:rPr>
          <w:rFonts w:hint="eastAsia" w:ascii="仿宋" w:hAnsi="仿宋" w:eastAsia="仿宋" w:cs="华文宋体"/>
          <w:kern w:val="0"/>
          <w:sz w:val="30"/>
          <w:szCs w:val="30"/>
        </w:rPr>
        <w:t>《中华人民共和国商标法实施条例》第八十条规定</w:t>
      </w:r>
      <w:r>
        <w:rPr>
          <w:rFonts w:ascii="仿宋" w:hAnsi="仿宋" w:eastAsia="仿宋" w:cs="华文宋体"/>
          <w:kern w:val="0"/>
          <w:sz w:val="30"/>
          <w:szCs w:val="30"/>
        </w:rPr>
        <w:t>，</w:t>
      </w:r>
      <w:r>
        <w:rPr>
          <w:rFonts w:hint="eastAsia" w:ascii="仿宋" w:hAnsi="仿宋" w:eastAsia="仿宋" w:cs="华文宋体"/>
          <w:kern w:val="0"/>
          <w:sz w:val="30"/>
          <w:szCs w:val="30"/>
        </w:rPr>
        <w:t>销售不知道是侵犯注册商标专用权的商品</w:t>
      </w:r>
      <w:r>
        <w:rPr>
          <w:rFonts w:ascii="仿宋" w:hAnsi="仿宋" w:eastAsia="仿宋" w:cs="华文宋体"/>
          <w:kern w:val="0"/>
          <w:sz w:val="30"/>
          <w:szCs w:val="30"/>
        </w:rPr>
        <w:t>，</w:t>
      </w:r>
      <w:r>
        <w:rPr>
          <w:rFonts w:hint="eastAsia" w:ascii="仿宋" w:hAnsi="仿宋" w:eastAsia="仿宋" w:cs="华文宋体"/>
          <w:kern w:val="0"/>
          <w:sz w:val="30"/>
          <w:szCs w:val="30"/>
        </w:rPr>
        <w:t>能证明该商品是自己合法取得并说明提供者的</w:t>
      </w:r>
      <w:r>
        <w:rPr>
          <w:rFonts w:ascii="仿宋" w:hAnsi="仿宋" w:eastAsia="仿宋" w:cs="华文宋体"/>
          <w:kern w:val="0"/>
          <w:sz w:val="30"/>
          <w:szCs w:val="30"/>
        </w:rPr>
        <w:t>，</w:t>
      </w:r>
      <w:r>
        <w:rPr>
          <w:rFonts w:hint="eastAsia" w:ascii="仿宋" w:hAnsi="仿宋" w:eastAsia="仿宋" w:cs="华文宋体"/>
          <w:kern w:val="0"/>
          <w:sz w:val="30"/>
          <w:szCs w:val="30"/>
        </w:rPr>
        <w:t>由工商行政管理部门责令停止销售</w:t>
      </w:r>
      <w:r>
        <w:rPr>
          <w:rFonts w:ascii="仿宋" w:hAnsi="仿宋" w:eastAsia="仿宋" w:cs="华文宋体"/>
          <w:kern w:val="0"/>
          <w:sz w:val="30"/>
          <w:szCs w:val="30"/>
        </w:rPr>
        <w:t>，</w:t>
      </w:r>
      <w:r>
        <w:rPr>
          <w:rFonts w:hint="eastAsia" w:ascii="仿宋" w:hAnsi="仿宋" w:eastAsia="仿宋" w:cs="华文宋体"/>
          <w:kern w:val="0"/>
          <w:sz w:val="30"/>
          <w:szCs w:val="30"/>
        </w:rPr>
        <w:t>并将案件情况通报侵权商品提供者所在地工商行政管理部门。由此可知</w:t>
      </w:r>
      <w:r>
        <w:rPr>
          <w:rFonts w:ascii="仿宋" w:hAnsi="仿宋" w:eastAsia="仿宋" w:cs="华文宋体"/>
          <w:kern w:val="0"/>
          <w:sz w:val="30"/>
          <w:szCs w:val="30"/>
        </w:rPr>
        <w:t>，</w:t>
      </w:r>
      <w:r>
        <w:rPr>
          <w:rFonts w:hint="eastAsia" w:ascii="仿宋" w:hAnsi="仿宋" w:eastAsia="仿宋" w:cs="华文宋体"/>
          <w:kern w:val="0"/>
          <w:sz w:val="30"/>
          <w:szCs w:val="30"/>
        </w:rPr>
        <w:t>被告</w:t>
      </w:r>
      <w:r>
        <w:rPr>
          <w:rFonts w:hint="eastAsia" w:ascii="仿宋" w:hAnsi="仿宋" w:eastAsia="仿宋"/>
          <w:sz w:val="30"/>
          <w:szCs w:val="30"/>
        </w:rPr>
        <w:t>芜湖市市场监督管理局</w:t>
      </w:r>
      <w:r>
        <w:rPr>
          <w:rFonts w:hint="eastAsia" w:ascii="仿宋" w:hAnsi="仿宋" w:eastAsia="仿宋" w:cs="华文宋体"/>
          <w:kern w:val="0"/>
          <w:sz w:val="30"/>
          <w:szCs w:val="30"/>
        </w:rPr>
        <w:t>对该案件以反不正当竞争法对</w:t>
      </w:r>
      <w:r>
        <w:rPr>
          <w:rFonts w:hint="eastAsia" w:ascii="仿宋" w:hAnsi="仿宋" w:eastAsia="仿宋"/>
          <w:sz w:val="30"/>
          <w:szCs w:val="30"/>
        </w:rPr>
        <w:t>芜湖和联购物中心有限公司</w:t>
      </w:r>
      <w:r>
        <w:rPr>
          <w:rFonts w:hint="eastAsia" w:ascii="仿宋" w:hAnsi="仿宋" w:eastAsia="仿宋" w:cs="华文宋体"/>
          <w:kern w:val="0"/>
          <w:sz w:val="30"/>
          <w:szCs w:val="30"/>
        </w:rPr>
        <w:t>作出行政处罚，是滥用行政权力</w:t>
      </w:r>
      <w:r>
        <w:rPr>
          <w:rFonts w:ascii="仿宋" w:hAnsi="仿宋" w:eastAsia="仿宋" w:cs="华文宋体"/>
          <w:kern w:val="0"/>
          <w:sz w:val="30"/>
          <w:szCs w:val="30"/>
        </w:rPr>
        <w:t>，</w:t>
      </w:r>
      <w:r>
        <w:rPr>
          <w:rFonts w:hint="eastAsia" w:ascii="仿宋" w:hAnsi="仿宋" w:eastAsia="仿宋" w:cs="华文宋体"/>
          <w:kern w:val="0"/>
          <w:sz w:val="30"/>
          <w:szCs w:val="30"/>
        </w:rPr>
        <w:t>排除、限制竞争行为。</w:t>
      </w:r>
    </w:p>
    <w:p>
      <w:pPr>
        <w:autoSpaceDE w:val="0"/>
        <w:autoSpaceDN w:val="0"/>
        <w:spacing w:line="500" w:lineRule="exact"/>
        <w:ind w:firstLine="600" w:firstLineChars="200"/>
        <w:rPr>
          <w:rFonts w:ascii="仿宋" w:hAnsi="仿宋" w:eastAsia="仿宋" w:cs="华文宋体"/>
          <w:kern w:val="0"/>
          <w:sz w:val="30"/>
          <w:szCs w:val="30"/>
        </w:rPr>
      </w:pPr>
      <w:r>
        <w:rPr>
          <w:rFonts w:hint="eastAsia" w:ascii="仿宋" w:hAnsi="仿宋" w:eastAsia="仿宋" w:cs="华文宋体"/>
          <w:kern w:val="0"/>
          <w:sz w:val="30"/>
          <w:szCs w:val="30"/>
        </w:rPr>
        <w:t>综上</w:t>
      </w:r>
      <w:r>
        <w:rPr>
          <w:rFonts w:ascii="仿宋" w:hAnsi="仿宋" w:eastAsia="仿宋" w:cs="华文宋体"/>
          <w:kern w:val="0"/>
          <w:sz w:val="30"/>
          <w:szCs w:val="30"/>
        </w:rPr>
        <w:t>，</w:t>
      </w:r>
      <w:r>
        <w:rPr>
          <w:rFonts w:hint="eastAsia" w:ascii="仿宋" w:hAnsi="仿宋" w:eastAsia="仿宋" w:cs="华文宋体"/>
          <w:kern w:val="0"/>
          <w:sz w:val="30"/>
          <w:szCs w:val="30"/>
        </w:rPr>
        <w:t>作为行政机关理应是维护市场公平竞争中的规则引领，强化企业公平竞争意识</w:t>
      </w:r>
      <w:r>
        <w:rPr>
          <w:rFonts w:ascii="仿宋" w:hAnsi="仿宋" w:eastAsia="仿宋" w:cs="华文宋体"/>
          <w:kern w:val="0"/>
          <w:sz w:val="30"/>
          <w:szCs w:val="30"/>
        </w:rPr>
        <w:t>，</w:t>
      </w:r>
      <w:r>
        <w:rPr>
          <w:rFonts w:hint="eastAsia" w:ascii="仿宋" w:hAnsi="仿宋" w:eastAsia="仿宋" w:cs="华文宋体"/>
          <w:kern w:val="0"/>
          <w:sz w:val="30"/>
          <w:szCs w:val="30"/>
        </w:rPr>
        <w:t>引导全社会形成崇尚、保护和促进公平竞争的市场环境</w:t>
      </w:r>
      <w:r>
        <w:rPr>
          <w:rFonts w:ascii="仿宋" w:hAnsi="仿宋" w:eastAsia="仿宋" w:cs="华文宋体"/>
          <w:kern w:val="0"/>
          <w:sz w:val="30"/>
          <w:szCs w:val="30"/>
        </w:rPr>
        <w:t>，</w:t>
      </w:r>
      <w:r>
        <w:rPr>
          <w:rFonts w:hint="eastAsia" w:ascii="仿宋" w:hAnsi="仿宋" w:eastAsia="仿宋" w:cs="华文宋体"/>
          <w:kern w:val="0"/>
          <w:sz w:val="30"/>
          <w:szCs w:val="30"/>
        </w:rPr>
        <w:t>而不应滥用自身行政权力</w:t>
      </w:r>
      <w:r>
        <w:rPr>
          <w:rFonts w:ascii="仿宋" w:hAnsi="仿宋" w:eastAsia="仿宋" w:cs="华文宋体"/>
          <w:kern w:val="0"/>
          <w:sz w:val="30"/>
          <w:szCs w:val="30"/>
        </w:rPr>
        <w:t>，</w:t>
      </w:r>
      <w:r>
        <w:rPr>
          <w:rFonts w:hint="eastAsia" w:ascii="仿宋" w:hAnsi="仿宋" w:eastAsia="仿宋" w:cs="华文宋体"/>
          <w:kern w:val="0"/>
          <w:sz w:val="30"/>
          <w:szCs w:val="30"/>
        </w:rPr>
        <w:t>排除、限制企业之间的竞争。而本案被处罚的主体是末端销售商</w:t>
      </w:r>
      <w:r>
        <w:rPr>
          <w:rFonts w:ascii="仿宋" w:hAnsi="仿宋" w:eastAsia="仿宋" w:cs="华文宋体"/>
          <w:kern w:val="0"/>
          <w:sz w:val="30"/>
          <w:szCs w:val="30"/>
        </w:rPr>
        <w:t>，</w:t>
      </w:r>
      <w:r>
        <w:rPr>
          <w:rFonts w:hint="eastAsia" w:ascii="仿宋" w:hAnsi="仿宋" w:eastAsia="仿宋" w:cs="华文宋体"/>
          <w:kern w:val="0"/>
          <w:sz w:val="30"/>
          <w:szCs w:val="30"/>
        </w:rPr>
        <w:t>且能够提供货物的合法来源。更重要的是，一个商品销售商没有生产能力，没有包装和宣传，因此与另一个商品的生产商根本无法形成竞争，也就谈不上不正当竞争。对于末端销售商的行为，认定对另一家商品生产商的商品构成不当竞争，扩大了不正当竞争的范围，不是市场监管的核心，有失偏颇，应当予以纠正。被告</w:t>
      </w:r>
      <w:r>
        <w:rPr>
          <w:rFonts w:hint="eastAsia" w:ascii="仿宋" w:hAnsi="仿宋" w:eastAsia="仿宋"/>
          <w:sz w:val="30"/>
          <w:szCs w:val="30"/>
        </w:rPr>
        <w:t>芜湖市</w:t>
      </w:r>
      <w:r>
        <w:rPr>
          <w:rFonts w:hint="eastAsia" w:ascii="仿宋" w:hAnsi="仿宋" w:eastAsia="仿宋" w:cs="华文宋体"/>
          <w:kern w:val="0"/>
          <w:sz w:val="30"/>
          <w:szCs w:val="30"/>
        </w:rPr>
        <w:t>市场监督管理作出的行政处罚决定事实不清</w:t>
      </w:r>
      <w:r>
        <w:rPr>
          <w:rFonts w:ascii="仿宋" w:hAnsi="仿宋" w:eastAsia="仿宋" w:cs="华文宋体"/>
          <w:kern w:val="0"/>
          <w:sz w:val="30"/>
          <w:szCs w:val="30"/>
        </w:rPr>
        <w:t>，</w:t>
      </w:r>
      <w:r>
        <w:rPr>
          <w:rFonts w:hint="eastAsia" w:ascii="仿宋" w:hAnsi="仿宋" w:eastAsia="仿宋" w:cs="华文宋体"/>
          <w:kern w:val="0"/>
          <w:sz w:val="30"/>
          <w:szCs w:val="30"/>
        </w:rPr>
        <w:t>适用法律错误。被告芜湖市人民政府维持该行政处罚决定的错误行为</w:t>
      </w:r>
      <w:r>
        <w:rPr>
          <w:rFonts w:ascii="仿宋" w:hAnsi="仿宋" w:eastAsia="仿宋" w:cs="华文宋体"/>
          <w:kern w:val="0"/>
          <w:sz w:val="30"/>
          <w:szCs w:val="30"/>
        </w:rPr>
        <w:t>，</w:t>
      </w:r>
      <w:r>
        <w:rPr>
          <w:rFonts w:hint="eastAsia" w:ascii="仿宋" w:hAnsi="仿宋" w:eastAsia="仿宋" w:cs="华文宋体"/>
          <w:kern w:val="0"/>
          <w:sz w:val="30"/>
          <w:szCs w:val="30"/>
        </w:rPr>
        <w:t>应予以纠正。为维护原告合法权益，提起行政诉讼</w:t>
      </w:r>
      <w:r>
        <w:rPr>
          <w:rFonts w:ascii="仿宋" w:hAnsi="仿宋" w:eastAsia="仿宋" w:cs="华文宋体"/>
          <w:kern w:val="0"/>
          <w:sz w:val="30"/>
          <w:szCs w:val="30"/>
        </w:rPr>
        <w:t>，</w:t>
      </w:r>
      <w:r>
        <w:rPr>
          <w:rFonts w:hint="eastAsia" w:ascii="仿宋" w:hAnsi="仿宋" w:eastAsia="仿宋" w:cs="华文宋体"/>
          <w:kern w:val="0"/>
          <w:sz w:val="30"/>
          <w:szCs w:val="30"/>
        </w:rPr>
        <w:t>望判如所请。</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被告芜湖市市场监督管理局辩称，一、答辩人作出《行政处罚决定书》事实认定清楚、证据确凿、法律适用正确。</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一）“卡迪欧”洗发乳液包装、装潢与“阿道夫”洗发乳液包装、装潢构成“近似的标识”。根据《最高人民法院关于适用〈中华人民共和国反不正当竞争法〉若干问题的解释》第十二条第一款以及《最高人民法院关于审理商标民事纠纷案件适用法律若干问题的解释》第九条、第十条之规定，人民法院认定与反不正当竞争法第六条规定的“有一定影响的”标识相同或者近似，可以参照商标相同或者近似的判断原则和方法，即以相关公众的一般注意力为标准，在比对对象隔离的状态下，既要进行整体比对，又要进行主要部分的比对。视觉上基本无差别的为相同，文字的字形、读音、含义或者图形的构图及颜色，或者其各要素组合后的整体结构相似，或者其立体形状、颜色组合近似，易使相关公众对商品的来源产生误认或者认为其来源与投诉人的商品有特定联系的为近似，同时亦要考虑请求保护商品的显著性和知名度。</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根据阜南县市场监督管理局移送卷中投诉人广州阿道夫个人护理用品有限公司提供的证据材料，“阿道夫”品牌洗护产品的包装、装潢从上到下，包括多个具有显著性的设计元素，与案涉“卡迪欧”洗发乳液对比如下：</w:t>
      </w:r>
    </w:p>
    <w:tbl>
      <w:tblPr>
        <w:tblStyle w:val="11"/>
        <w:tblpPr w:leftFromText="180" w:rightFromText="180" w:vertAnchor="text" w:horzAnchor="margin" w:tblpY="382"/>
        <w:tblOverlap w:val="never"/>
        <w:tblW w:w="8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3587"/>
        <w:gridCol w:w="3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114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bCs/>
                <w:sz w:val="30"/>
                <w:szCs w:val="30"/>
              </w:rPr>
            </w:pPr>
            <w:r>
              <w:rPr>
                <w:rFonts w:hint="eastAsia" w:ascii="仿宋" w:hAnsi="仿宋" w:eastAsia="仿宋" w:cs="仿宋"/>
                <w:bCs/>
                <w:sz w:val="30"/>
                <w:szCs w:val="30"/>
              </w:rPr>
              <w:t>对比项</w:t>
            </w:r>
          </w:p>
        </w:tc>
        <w:tc>
          <w:tcPr>
            <w:tcW w:w="3587"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bCs/>
                <w:sz w:val="30"/>
                <w:szCs w:val="30"/>
              </w:rPr>
            </w:pPr>
            <w:r>
              <w:rPr>
                <w:rFonts w:hint="eastAsia" w:ascii="仿宋" w:hAnsi="仿宋" w:eastAsia="仿宋" w:cs="仿宋"/>
                <w:bCs/>
                <w:sz w:val="30"/>
                <w:szCs w:val="30"/>
              </w:rPr>
              <w:t>“</w:t>
            </w:r>
            <w:bookmarkStart w:id="0" w:name="_Hlk102047387"/>
            <w:r>
              <w:rPr>
                <w:rFonts w:hint="eastAsia" w:ascii="仿宋" w:hAnsi="仿宋" w:eastAsia="仿宋" w:cs="仿宋"/>
                <w:bCs/>
                <w:sz w:val="30"/>
                <w:szCs w:val="30"/>
              </w:rPr>
              <w:t>卡迪欧</w:t>
            </w:r>
            <w:bookmarkEnd w:id="0"/>
            <w:r>
              <w:rPr>
                <w:rFonts w:ascii="Calibri" w:hAnsi="Calibri" w:eastAsia="仿宋" w:cs="Calibri"/>
                <w:bCs/>
                <w:sz w:val="30"/>
                <w:szCs w:val="30"/>
              </w:rPr>
              <w:t>®</w:t>
            </w:r>
            <w:r>
              <w:rPr>
                <w:rFonts w:hint="eastAsia" w:ascii="仿宋" w:hAnsi="仿宋" w:eastAsia="仿宋" w:cs="仿宋"/>
                <w:bCs/>
                <w:sz w:val="30"/>
                <w:szCs w:val="30"/>
              </w:rPr>
              <w:t>”</w:t>
            </w:r>
            <w:bookmarkStart w:id="1" w:name="_Hlk111130831"/>
            <w:r>
              <w:rPr>
                <w:rFonts w:hint="eastAsia" w:ascii="仿宋" w:hAnsi="仿宋" w:eastAsia="仿宋" w:cs="仿宋"/>
                <w:bCs/>
                <w:sz w:val="30"/>
                <w:szCs w:val="30"/>
              </w:rPr>
              <w:t>洗发乳液</w:t>
            </w:r>
            <w:bookmarkEnd w:id="1"/>
          </w:p>
        </w:tc>
        <w:tc>
          <w:tcPr>
            <w:tcW w:w="369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ind w:firstLine="200"/>
              <w:jc w:val="both"/>
              <w:rPr>
                <w:rFonts w:ascii="仿宋" w:hAnsi="仿宋" w:eastAsia="仿宋" w:cs="仿宋"/>
                <w:bCs/>
                <w:sz w:val="30"/>
                <w:szCs w:val="30"/>
              </w:rPr>
            </w:pPr>
            <w:r>
              <w:rPr>
                <w:rFonts w:hint="eastAsia" w:ascii="仿宋" w:hAnsi="仿宋" w:eastAsia="仿宋" w:cs="仿宋"/>
                <w:bCs/>
                <w:sz w:val="30"/>
                <w:szCs w:val="30"/>
              </w:rPr>
              <w:t>“阿道夫”洗发乳液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114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ind w:firstLine="200"/>
              <w:jc w:val="both"/>
              <w:rPr>
                <w:rFonts w:ascii="仿宋" w:hAnsi="仿宋" w:eastAsia="仿宋" w:cs="仿宋"/>
                <w:bCs/>
                <w:sz w:val="30"/>
                <w:szCs w:val="30"/>
              </w:rPr>
            </w:pPr>
            <w:r>
              <w:rPr>
                <w:rFonts w:hint="eastAsia" w:ascii="仿宋" w:hAnsi="仿宋" w:eastAsia="仿宋" w:cs="仿宋"/>
                <w:bCs/>
                <w:sz w:val="30"/>
                <w:szCs w:val="30"/>
              </w:rPr>
              <w:t>颜色</w:t>
            </w:r>
          </w:p>
        </w:tc>
        <w:tc>
          <w:tcPr>
            <w:tcW w:w="3587"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sz w:val="30"/>
                <w:szCs w:val="30"/>
              </w:rPr>
            </w:pPr>
            <w:r>
              <w:rPr>
                <w:rFonts w:hint="eastAsia" w:ascii="仿宋" w:hAnsi="仿宋" w:eastAsia="仿宋" w:cs="仿宋"/>
                <w:sz w:val="30"/>
                <w:szCs w:val="30"/>
              </w:rPr>
              <w:t>瓶身整体为</w:t>
            </w:r>
            <w:r>
              <w:rPr>
                <w:rFonts w:hint="eastAsia" w:ascii="仿宋" w:hAnsi="仿宋" w:eastAsia="仿宋" w:cs="仿宋"/>
                <w:bCs/>
                <w:sz w:val="30"/>
                <w:szCs w:val="30"/>
              </w:rPr>
              <w:t>米色</w:t>
            </w:r>
            <w:r>
              <w:rPr>
                <w:rFonts w:hint="eastAsia" w:ascii="仿宋" w:hAnsi="仿宋" w:eastAsia="仿宋" w:cs="仿宋"/>
                <w:sz w:val="30"/>
                <w:szCs w:val="30"/>
              </w:rPr>
              <w:t>调</w:t>
            </w:r>
          </w:p>
        </w:tc>
        <w:tc>
          <w:tcPr>
            <w:tcW w:w="369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sz w:val="30"/>
                <w:szCs w:val="30"/>
              </w:rPr>
            </w:pPr>
            <w:r>
              <w:rPr>
                <w:rFonts w:hint="eastAsia" w:ascii="仿宋" w:hAnsi="仿宋" w:eastAsia="仿宋" w:cs="仿宋"/>
                <w:sz w:val="30"/>
                <w:szCs w:val="30"/>
              </w:rPr>
              <w:t>瓶身整体颜色为</w:t>
            </w:r>
            <w:r>
              <w:rPr>
                <w:rFonts w:hint="eastAsia" w:ascii="仿宋" w:hAnsi="仿宋" w:eastAsia="仿宋" w:cs="仿宋"/>
                <w:bCs/>
                <w:sz w:val="30"/>
                <w:szCs w:val="30"/>
              </w:rPr>
              <w:t>米色</w:t>
            </w:r>
            <w:r>
              <w:rPr>
                <w:rFonts w:hint="eastAsia" w:ascii="仿宋" w:hAnsi="仿宋" w:eastAsia="仿宋" w:cs="仿宋"/>
                <w:sz w:val="30"/>
                <w:szCs w:val="30"/>
              </w:rPr>
              <w:t>，赋予产品温暖、简约、自然的格调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114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ind w:firstLine="200"/>
              <w:jc w:val="both"/>
              <w:rPr>
                <w:rFonts w:ascii="仿宋" w:hAnsi="仿宋" w:eastAsia="仿宋" w:cs="仿宋"/>
                <w:bCs/>
                <w:sz w:val="30"/>
                <w:szCs w:val="30"/>
              </w:rPr>
            </w:pPr>
            <w:r>
              <w:rPr>
                <w:rFonts w:hint="eastAsia" w:ascii="仿宋" w:hAnsi="仿宋" w:eastAsia="仿宋" w:cs="仿宋"/>
                <w:bCs/>
                <w:sz w:val="30"/>
                <w:szCs w:val="30"/>
              </w:rPr>
              <w:t>上部</w:t>
            </w:r>
          </w:p>
        </w:tc>
        <w:tc>
          <w:tcPr>
            <w:tcW w:w="3587"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sz w:val="30"/>
                <w:szCs w:val="30"/>
              </w:rPr>
            </w:pPr>
            <w:r>
              <w:rPr>
                <w:rFonts w:hint="eastAsia" w:ascii="仿宋" w:hAnsi="仿宋" w:eastAsia="仿宋" w:cs="仿宋"/>
                <w:sz w:val="30"/>
                <w:szCs w:val="30"/>
              </w:rPr>
              <w:t>瓶身</w:t>
            </w:r>
            <w:r>
              <w:rPr>
                <w:rFonts w:hint="eastAsia" w:ascii="仿宋" w:hAnsi="仿宋" w:eastAsia="仿宋" w:cs="仿宋"/>
                <w:bCs/>
                <w:sz w:val="30"/>
                <w:szCs w:val="30"/>
              </w:rPr>
              <w:t>正面右上部</w:t>
            </w:r>
            <w:r>
              <w:rPr>
                <w:rFonts w:hint="eastAsia" w:ascii="仿宋" w:hAnsi="仿宋" w:eastAsia="仿宋" w:cs="仿宋"/>
                <w:sz w:val="30"/>
                <w:szCs w:val="30"/>
              </w:rPr>
              <w:t>有</w:t>
            </w:r>
            <w:r>
              <w:rPr>
                <w:rFonts w:hint="eastAsia" w:ascii="仿宋" w:hAnsi="仿宋" w:eastAsia="仿宋" w:cs="仿宋"/>
                <w:bCs/>
                <w:sz w:val="30"/>
                <w:szCs w:val="30"/>
              </w:rPr>
              <w:t>酒红色短矩形及黑色的长矩形组合</w:t>
            </w:r>
            <w:r>
              <w:rPr>
                <w:rFonts w:hint="eastAsia" w:ascii="仿宋" w:hAnsi="仿宋" w:eastAsia="仿宋" w:cs="仿宋"/>
                <w:sz w:val="30"/>
                <w:szCs w:val="30"/>
              </w:rPr>
              <w:t>的图形</w:t>
            </w:r>
          </w:p>
        </w:tc>
        <w:tc>
          <w:tcPr>
            <w:tcW w:w="369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sz w:val="30"/>
                <w:szCs w:val="30"/>
              </w:rPr>
            </w:pPr>
            <w:r>
              <w:rPr>
                <w:rFonts w:hint="eastAsia" w:ascii="仿宋" w:hAnsi="仿宋" w:eastAsia="仿宋" w:cs="仿宋"/>
                <w:sz w:val="30"/>
                <w:szCs w:val="30"/>
              </w:rPr>
              <w:t>从上到下，瓶身</w:t>
            </w:r>
            <w:r>
              <w:rPr>
                <w:rFonts w:hint="eastAsia" w:ascii="仿宋" w:hAnsi="仿宋" w:eastAsia="仿宋" w:cs="仿宋"/>
                <w:bCs/>
                <w:sz w:val="30"/>
                <w:szCs w:val="30"/>
              </w:rPr>
              <w:t>正面上部</w:t>
            </w:r>
            <w:r>
              <w:rPr>
                <w:rFonts w:hint="eastAsia" w:ascii="仿宋" w:hAnsi="仿宋" w:eastAsia="仿宋" w:cs="仿宋"/>
                <w:sz w:val="30"/>
                <w:szCs w:val="30"/>
              </w:rPr>
              <w:t>为</w:t>
            </w:r>
            <w:r>
              <w:rPr>
                <w:rFonts w:hint="eastAsia" w:ascii="仿宋" w:hAnsi="仿宋" w:eastAsia="仿宋" w:cs="仿宋"/>
                <w:bCs/>
                <w:sz w:val="30"/>
                <w:szCs w:val="30"/>
              </w:rPr>
              <w:t>酒红色短矩形及黑色的长矩形组合</w:t>
            </w:r>
            <w:r>
              <w:rPr>
                <w:rFonts w:hint="eastAsia" w:ascii="仿宋" w:hAnsi="仿宋" w:eastAsia="仿宋" w:cs="仿宋"/>
                <w:sz w:val="30"/>
                <w:szCs w:val="30"/>
              </w:rPr>
              <w:t>的图形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114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bCs/>
                <w:sz w:val="30"/>
                <w:szCs w:val="30"/>
              </w:rPr>
            </w:pPr>
            <w:r>
              <w:rPr>
                <w:rFonts w:hint="eastAsia" w:ascii="仿宋" w:hAnsi="仿宋" w:eastAsia="仿宋" w:cs="仿宋"/>
                <w:bCs/>
                <w:sz w:val="30"/>
                <w:szCs w:val="30"/>
              </w:rPr>
              <w:t>中上部</w:t>
            </w:r>
          </w:p>
        </w:tc>
        <w:tc>
          <w:tcPr>
            <w:tcW w:w="3587"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sz w:val="30"/>
                <w:szCs w:val="30"/>
              </w:rPr>
            </w:pPr>
            <w:r>
              <w:rPr>
                <w:rFonts w:hint="eastAsia" w:ascii="仿宋" w:hAnsi="仿宋" w:eastAsia="仿宋" w:cs="仿宋"/>
                <w:sz w:val="30"/>
                <w:szCs w:val="30"/>
              </w:rPr>
              <w:t>瓶身正面</w:t>
            </w:r>
            <w:r>
              <w:rPr>
                <w:rFonts w:hint="eastAsia" w:ascii="仿宋" w:hAnsi="仿宋" w:eastAsia="仿宋" w:cs="仿宋"/>
                <w:bCs/>
                <w:sz w:val="30"/>
                <w:szCs w:val="30"/>
              </w:rPr>
              <w:t>中上部三排分布的商品类型介绍</w:t>
            </w:r>
            <w:r>
              <w:rPr>
                <w:rFonts w:hint="eastAsia" w:ascii="仿宋" w:hAnsi="仿宋" w:eastAsia="仿宋" w:cs="仿宋"/>
                <w:sz w:val="30"/>
                <w:szCs w:val="30"/>
              </w:rPr>
              <w:t>，其中两排为英文，一排为中文</w:t>
            </w:r>
          </w:p>
        </w:tc>
        <w:tc>
          <w:tcPr>
            <w:tcW w:w="369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sz w:val="30"/>
                <w:szCs w:val="30"/>
              </w:rPr>
            </w:pPr>
            <w:r>
              <w:rPr>
                <w:rFonts w:hint="eastAsia" w:ascii="仿宋" w:hAnsi="仿宋" w:eastAsia="仿宋" w:cs="仿宋"/>
                <w:sz w:val="30"/>
                <w:szCs w:val="30"/>
              </w:rPr>
              <w:t>瓶身</w:t>
            </w:r>
            <w:r>
              <w:rPr>
                <w:rFonts w:hint="eastAsia" w:ascii="仿宋" w:hAnsi="仿宋" w:eastAsia="仿宋" w:cs="仿宋"/>
                <w:bCs/>
                <w:sz w:val="30"/>
                <w:szCs w:val="30"/>
              </w:rPr>
              <w:t>中上部</w:t>
            </w:r>
            <w:r>
              <w:rPr>
                <w:rFonts w:hint="eastAsia" w:ascii="仿宋" w:hAnsi="仿宋" w:eastAsia="仿宋" w:cs="仿宋"/>
                <w:sz w:val="30"/>
                <w:szCs w:val="30"/>
              </w:rPr>
              <w:t>有</w:t>
            </w:r>
            <w:r>
              <w:rPr>
                <w:rFonts w:hint="eastAsia" w:ascii="仿宋" w:hAnsi="仿宋" w:eastAsia="仿宋" w:cs="仿宋"/>
                <w:bCs/>
                <w:sz w:val="30"/>
                <w:szCs w:val="30"/>
              </w:rPr>
              <w:t>两排分布的商品类型英文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14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ind w:firstLine="200"/>
              <w:jc w:val="both"/>
              <w:rPr>
                <w:rFonts w:ascii="仿宋" w:hAnsi="仿宋" w:eastAsia="仿宋" w:cs="仿宋"/>
                <w:bCs/>
                <w:sz w:val="30"/>
                <w:szCs w:val="30"/>
              </w:rPr>
            </w:pPr>
            <w:r>
              <w:rPr>
                <w:rFonts w:hint="eastAsia" w:ascii="仿宋" w:hAnsi="仿宋" w:eastAsia="仿宋" w:cs="仿宋"/>
                <w:bCs/>
                <w:sz w:val="30"/>
                <w:szCs w:val="30"/>
              </w:rPr>
              <w:t>中部</w:t>
            </w:r>
          </w:p>
        </w:tc>
        <w:tc>
          <w:tcPr>
            <w:tcW w:w="3587"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sz w:val="30"/>
                <w:szCs w:val="30"/>
              </w:rPr>
            </w:pPr>
            <w:r>
              <w:rPr>
                <w:rFonts w:hint="eastAsia" w:ascii="仿宋" w:hAnsi="仿宋" w:eastAsia="仿宋" w:cs="仿宋"/>
                <w:sz w:val="30"/>
                <w:szCs w:val="30"/>
              </w:rPr>
              <w:t>瓶身</w:t>
            </w:r>
            <w:r>
              <w:rPr>
                <w:rFonts w:hint="eastAsia" w:ascii="仿宋" w:hAnsi="仿宋" w:eastAsia="仿宋" w:cs="仿宋"/>
                <w:bCs/>
                <w:sz w:val="30"/>
                <w:szCs w:val="30"/>
              </w:rPr>
              <w:t>正面中部有</w:t>
            </w:r>
            <w:r>
              <w:rPr>
                <w:rFonts w:ascii="仿宋" w:hAnsi="仿宋" w:eastAsia="仿宋" w:cs="仿宋"/>
                <w:sz w:val="30"/>
                <w:szCs w:val="30"/>
              </w:rPr>
              <w:drawing>
                <wp:inline distT="0" distB="0" distL="0" distR="0">
                  <wp:extent cx="225425" cy="289560"/>
                  <wp:effectExtent l="19050" t="0" r="3175" b="0"/>
                  <wp:docPr id="6" name="图片 3" descr="1648458668(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3" descr="1648458668(1)"/>
                          <pic:cNvPicPr>
                            <a:picLocks noChangeAspect="true" noChangeArrowheads="true"/>
                          </pic:cNvPicPr>
                        </pic:nvPicPr>
                        <pic:blipFill>
                          <a:blip r:embed="rId7"/>
                          <a:srcRect/>
                          <a:stretch>
                            <a:fillRect/>
                          </a:stretch>
                        </pic:blipFill>
                        <pic:spPr>
                          <a:xfrm>
                            <a:off x="0" y="0"/>
                            <a:ext cx="225425" cy="289560"/>
                          </a:xfrm>
                          <a:prstGeom prst="rect">
                            <a:avLst/>
                          </a:prstGeom>
                          <a:noFill/>
                          <a:ln w="9525">
                            <a:noFill/>
                            <a:miter lim="800000"/>
                            <a:headEnd/>
                            <a:tailEnd/>
                          </a:ln>
                        </pic:spPr>
                      </pic:pic>
                    </a:graphicData>
                  </a:graphic>
                </wp:inline>
              </w:drawing>
            </w:r>
            <w:r>
              <w:rPr>
                <w:rFonts w:hint="eastAsia" w:ascii="仿宋" w:hAnsi="仿宋" w:eastAsia="仿宋" w:cs="仿宋"/>
                <w:bCs/>
                <w:sz w:val="30"/>
                <w:szCs w:val="30"/>
              </w:rPr>
              <w:t>黑色女性剪影图案，图案上斜印有红色“</w:t>
            </w:r>
            <w:r>
              <w:rPr>
                <w:rFonts w:ascii="仿宋" w:hAnsi="仿宋" w:eastAsia="仿宋" w:cs="仿宋"/>
                <w:sz w:val="30"/>
                <w:szCs w:val="30"/>
              </w:rPr>
              <w:drawing>
                <wp:inline distT="0" distB="0" distL="0" distR="0">
                  <wp:extent cx="596265" cy="295275"/>
                  <wp:effectExtent l="19050" t="0" r="0" b="0"/>
                  <wp:docPr id="7" name="图片 4" descr="164845870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4" descr="1648458702(1)"/>
                          <pic:cNvPicPr>
                            <a:picLocks noChangeAspect="true" noChangeArrowheads="true"/>
                          </pic:cNvPicPr>
                        </pic:nvPicPr>
                        <pic:blipFill>
                          <a:blip r:embed="rId8"/>
                          <a:srcRect/>
                          <a:stretch>
                            <a:fillRect/>
                          </a:stretch>
                        </pic:blipFill>
                        <pic:spPr>
                          <a:xfrm>
                            <a:off x="0" y="0"/>
                            <a:ext cx="596265" cy="295275"/>
                          </a:xfrm>
                          <a:prstGeom prst="rect">
                            <a:avLst/>
                          </a:prstGeom>
                          <a:noFill/>
                          <a:ln w="9525">
                            <a:noFill/>
                            <a:miter lim="800000"/>
                            <a:headEnd/>
                            <a:tailEnd/>
                          </a:ln>
                        </pic:spPr>
                      </pic:pic>
                    </a:graphicData>
                  </a:graphic>
                </wp:inline>
              </w:drawing>
            </w:r>
            <w:r>
              <w:rPr>
                <w:rFonts w:hint="eastAsia" w:ascii="仿宋" w:hAnsi="仿宋" w:eastAsia="仿宋" w:cs="仿宋"/>
                <w:bCs/>
                <w:sz w:val="30"/>
                <w:szCs w:val="30"/>
              </w:rPr>
              <w:t>”字样</w:t>
            </w:r>
            <w:r>
              <w:rPr>
                <w:rFonts w:hint="eastAsia" w:ascii="仿宋" w:hAnsi="仿宋" w:eastAsia="仿宋" w:cs="仿宋"/>
                <w:sz w:val="30"/>
                <w:szCs w:val="30"/>
              </w:rPr>
              <w:t>，瓶身背面中央有相同图案，图案下方有卡迪欧商标</w:t>
            </w:r>
          </w:p>
        </w:tc>
        <w:tc>
          <w:tcPr>
            <w:tcW w:w="369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sz w:val="30"/>
                <w:szCs w:val="30"/>
              </w:rPr>
            </w:pPr>
            <w:r>
              <w:rPr>
                <w:rFonts w:hint="eastAsia" w:ascii="仿宋" w:hAnsi="仿宋" w:eastAsia="仿宋" w:cs="仿宋"/>
                <w:sz w:val="30"/>
                <w:szCs w:val="30"/>
              </w:rPr>
              <w:t>瓶身</w:t>
            </w:r>
            <w:r>
              <w:rPr>
                <w:rFonts w:hint="eastAsia" w:ascii="仿宋" w:hAnsi="仿宋" w:eastAsia="仿宋" w:cs="仿宋"/>
                <w:bCs/>
                <w:sz w:val="30"/>
                <w:szCs w:val="30"/>
              </w:rPr>
              <w:t>正面中部</w:t>
            </w:r>
            <w:r>
              <w:rPr>
                <w:rFonts w:hint="eastAsia" w:ascii="仿宋" w:hAnsi="仿宋" w:eastAsia="仿宋" w:cs="仿宋"/>
                <w:sz w:val="30"/>
                <w:szCs w:val="30"/>
              </w:rPr>
              <w:t>单独有一个</w:t>
            </w:r>
            <w:r>
              <w:rPr>
                <w:rFonts w:hint="eastAsia" w:ascii="仿宋" w:hAnsi="仿宋" w:eastAsia="仿宋" w:cs="仿宋"/>
                <w:bCs/>
                <w:sz w:val="30"/>
                <w:szCs w:val="30"/>
              </w:rPr>
              <w:t>黑色的人物剪影，</w:t>
            </w:r>
            <w:r>
              <w:rPr>
                <w:rFonts w:hint="eastAsia" w:ascii="仿宋" w:hAnsi="仿宋" w:eastAsia="仿宋" w:cs="仿宋"/>
                <w:sz w:val="30"/>
                <w:szCs w:val="30"/>
              </w:rPr>
              <w:t>人物剪影占据中部较大比例，视觉效果突出（</w:t>
            </w:r>
            <w:r>
              <w:rPr>
                <w:rFonts w:hint="eastAsia" w:ascii="仿宋" w:hAnsi="仿宋" w:eastAsia="仿宋" w:cs="仿宋"/>
                <w:bCs/>
                <w:sz w:val="30"/>
                <w:szCs w:val="30"/>
              </w:rPr>
              <w:t>图案上斜印有红色“ADOLFH”字样</w:t>
            </w:r>
            <w:r>
              <w:rPr>
                <w:rFonts w:hint="eastAsia" w:ascii="仿宋" w:hAnsi="仿宋" w:eastAsia="仿宋" w:cs="仿宋"/>
                <w:sz w:val="30"/>
                <w:szCs w:val="3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14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ind w:firstLine="200"/>
              <w:jc w:val="both"/>
              <w:rPr>
                <w:rFonts w:ascii="仿宋" w:hAnsi="仿宋" w:eastAsia="仿宋" w:cs="仿宋"/>
                <w:bCs/>
                <w:sz w:val="30"/>
                <w:szCs w:val="30"/>
              </w:rPr>
            </w:pPr>
            <w:r>
              <w:rPr>
                <w:rFonts w:hint="eastAsia" w:ascii="仿宋" w:hAnsi="仿宋" w:eastAsia="仿宋" w:cs="仿宋"/>
                <w:bCs/>
                <w:sz w:val="30"/>
                <w:szCs w:val="30"/>
              </w:rPr>
              <w:t>下部</w:t>
            </w:r>
          </w:p>
        </w:tc>
        <w:tc>
          <w:tcPr>
            <w:tcW w:w="3587"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sz w:val="30"/>
                <w:szCs w:val="30"/>
              </w:rPr>
            </w:pPr>
            <w:r>
              <w:rPr>
                <w:rFonts w:hint="eastAsia" w:ascii="仿宋" w:hAnsi="仿宋" w:eastAsia="仿宋" w:cs="仿宋"/>
                <w:sz w:val="30"/>
                <w:szCs w:val="30"/>
              </w:rPr>
              <w:t>瓶身正面</w:t>
            </w:r>
            <w:r>
              <w:rPr>
                <w:rFonts w:hint="eastAsia" w:ascii="仿宋" w:hAnsi="仿宋" w:eastAsia="仿宋" w:cs="仿宋"/>
                <w:bCs/>
                <w:sz w:val="30"/>
                <w:szCs w:val="30"/>
              </w:rPr>
              <w:t>下部</w:t>
            </w:r>
            <w:r>
              <w:rPr>
                <w:rFonts w:hint="eastAsia" w:ascii="仿宋" w:hAnsi="仿宋" w:eastAsia="仿宋" w:cs="仿宋"/>
                <w:sz w:val="30"/>
                <w:szCs w:val="30"/>
              </w:rPr>
              <w:t>为产品文字介绍，</w:t>
            </w:r>
            <w:r>
              <w:rPr>
                <w:rFonts w:hint="eastAsia" w:ascii="仿宋" w:hAnsi="仿宋" w:eastAsia="仿宋" w:cs="仿宋"/>
                <w:bCs/>
                <w:sz w:val="30"/>
                <w:szCs w:val="30"/>
              </w:rPr>
              <w:t>文字左右分布</w:t>
            </w:r>
            <w:r>
              <w:rPr>
                <w:rFonts w:hint="eastAsia" w:ascii="仿宋" w:hAnsi="仿宋" w:eastAsia="仿宋" w:cs="仿宋"/>
                <w:sz w:val="30"/>
                <w:szCs w:val="30"/>
              </w:rPr>
              <w:t>，其中文字介绍</w:t>
            </w:r>
            <w:r>
              <w:rPr>
                <w:rFonts w:hint="eastAsia" w:ascii="仿宋" w:hAnsi="仿宋" w:eastAsia="仿宋" w:cs="仿宋"/>
                <w:bCs/>
                <w:sz w:val="30"/>
                <w:szCs w:val="30"/>
              </w:rPr>
              <w:t>左边有一列竖向且字体放大的英文“Scented”字样</w:t>
            </w:r>
            <w:r>
              <w:rPr>
                <w:rFonts w:hint="eastAsia" w:ascii="仿宋" w:hAnsi="仿宋" w:eastAsia="仿宋" w:cs="仿宋"/>
                <w:sz w:val="30"/>
                <w:szCs w:val="30"/>
              </w:rPr>
              <w:t>，</w:t>
            </w:r>
            <w:r>
              <w:rPr>
                <w:rFonts w:hint="eastAsia" w:ascii="仿宋" w:hAnsi="仿宋" w:eastAsia="仿宋" w:cs="仿宋"/>
                <w:bCs/>
                <w:sz w:val="30"/>
                <w:szCs w:val="30"/>
              </w:rPr>
              <w:t>右边则为较小的横排中文和英文文字介绍</w:t>
            </w:r>
          </w:p>
        </w:tc>
        <w:tc>
          <w:tcPr>
            <w:tcW w:w="3699" w:type="dxa"/>
            <w:tcBorders>
              <w:top w:val="single" w:color="auto" w:sz="4" w:space="0"/>
              <w:left w:val="single" w:color="auto" w:sz="4" w:space="0"/>
              <w:bottom w:val="single" w:color="auto" w:sz="4" w:space="0"/>
              <w:right w:val="single" w:color="auto" w:sz="4" w:space="0"/>
            </w:tcBorders>
            <w:vAlign w:val="center"/>
          </w:tcPr>
          <w:p>
            <w:pPr>
              <w:pStyle w:val="8"/>
              <w:widowControl/>
              <w:spacing w:line="500" w:lineRule="exact"/>
              <w:jc w:val="both"/>
              <w:rPr>
                <w:rFonts w:ascii="仿宋" w:hAnsi="仿宋" w:eastAsia="仿宋" w:cs="仿宋"/>
                <w:sz w:val="30"/>
                <w:szCs w:val="30"/>
              </w:rPr>
            </w:pPr>
            <w:r>
              <w:rPr>
                <w:rFonts w:hint="eastAsia" w:ascii="仿宋" w:hAnsi="仿宋" w:eastAsia="仿宋" w:cs="仿宋"/>
                <w:sz w:val="30"/>
                <w:szCs w:val="30"/>
              </w:rPr>
              <w:t>瓶身正面</w:t>
            </w:r>
            <w:r>
              <w:rPr>
                <w:rFonts w:hint="eastAsia" w:ascii="仿宋" w:hAnsi="仿宋" w:eastAsia="仿宋" w:cs="仿宋"/>
                <w:bCs/>
                <w:sz w:val="30"/>
                <w:szCs w:val="30"/>
              </w:rPr>
              <w:t>下部</w:t>
            </w:r>
            <w:r>
              <w:rPr>
                <w:rFonts w:hint="eastAsia" w:ascii="仿宋" w:hAnsi="仿宋" w:eastAsia="仿宋" w:cs="仿宋"/>
                <w:sz w:val="30"/>
                <w:szCs w:val="30"/>
              </w:rPr>
              <w:t>为产品文字介绍，</w:t>
            </w:r>
            <w:r>
              <w:rPr>
                <w:rFonts w:hint="eastAsia" w:ascii="仿宋" w:hAnsi="仿宋" w:eastAsia="仿宋" w:cs="仿宋"/>
                <w:bCs/>
                <w:sz w:val="30"/>
                <w:szCs w:val="30"/>
              </w:rPr>
              <w:t>文字左右分布</w:t>
            </w:r>
            <w:r>
              <w:rPr>
                <w:rFonts w:hint="eastAsia" w:ascii="仿宋" w:hAnsi="仿宋" w:eastAsia="仿宋" w:cs="仿宋"/>
                <w:sz w:val="30"/>
                <w:szCs w:val="30"/>
              </w:rPr>
              <w:t>，其中文字介绍</w:t>
            </w:r>
            <w:r>
              <w:rPr>
                <w:rFonts w:hint="eastAsia" w:ascii="仿宋" w:hAnsi="仿宋" w:eastAsia="仿宋" w:cs="仿宋"/>
                <w:bCs/>
                <w:sz w:val="30"/>
                <w:szCs w:val="30"/>
              </w:rPr>
              <w:t>左边有一列竖向且字体放大的英文“Scented”字样，右边则为较小的横排中文和英文文字介绍</w:t>
            </w:r>
          </w:p>
        </w:tc>
      </w:tr>
    </w:tbl>
    <w:p>
      <w:pPr>
        <w:spacing w:line="500" w:lineRule="exact"/>
        <w:ind w:firstLine="600" w:firstLineChars="200"/>
        <w:rPr>
          <w:rFonts w:ascii="仿宋" w:hAnsi="仿宋" w:eastAsia="仿宋"/>
          <w:sz w:val="30"/>
          <w:szCs w:val="30"/>
        </w:rPr>
      </w:pPr>
      <w:r>
        <w:rPr>
          <w:rFonts w:hint="eastAsia" w:ascii="仿宋" w:hAnsi="仿宋" w:eastAsia="仿宋"/>
          <w:sz w:val="30"/>
          <w:szCs w:val="30"/>
        </w:rPr>
        <w:t>经以上比对，“卡迪欧”洗发乳液与“阿道夫”洗发乳液二者均取米色调，正面均分四大部分，正面上部均为酒红色短矩形及黑色长矩形组合；中上部为多排分布的商品类型介绍；中部有黑色人物剪影图案，图案上斜印有红色六个英文字母，且占据比例较大；下部为产品文字介绍，文字左右分布，其中文字介绍左边有一列竖向且字体放大的英文，右边则为较小的横排中文和英文文字介绍。各部分虽有细微区别，但整体布局基本相同。特别是“卡迪欧”洗发乳液瓶身使用的图案与“阿道夫”注册商标的显著部分均为人物背影图，二者在整体上均由人物背影剪影、剪影中部由斜向矩形英文标牌、人物脚侧的阴影组成；二者的矩形均内嵌有六个英文字母，该英文字母的字体相同、字母较小，且排列顺序均为从左向右排列；二者的人物剪影修长，且占整个标识的比例较大，属于标识的主要部分，且前述剪影与斜向标牌的组合显著度高，在隔离状态下相关公众施以一般注意力无法注意到上述区别，故“卡迪欧”洗发乳液与“阿道夫”洗发乳液包装、装潢在整体上呈现近似，易使相关公众对商品的来源产生误认。</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以上，《行政处罚决定书》认定“卡迪欧”洗发乳液与“阿道夫”洗发乳液构成包装、装潢近似，事实认定清楚</w:t>
      </w:r>
      <w:r>
        <w:rPr>
          <w:rFonts w:hint="eastAsia" w:ascii="仿宋" w:hAnsi="仿宋" w:eastAsia="仿宋" w:cs="仿宋"/>
          <w:sz w:val="30"/>
          <w:szCs w:val="30"/>
        </w:rPr>
        <w:t>，亦符合</w:t>
      </w:r>
      <w:r>
        <w:rPr>
          <w:rFonts w:hint="eastAsia" w:ascii="仿宋" w:hAnsi="仿宋" w:eastAsia="仿宋"/>
          <w:sz w:val="30"/>
          <w:szCs w:val="30"/>
        </w:rPr>
        <w:t>司法</w:t>
      </w:r>
      <w:r>
        <w:rPr>
          <w:rFonts w:hint="eastAsia" w:ascii="仿宋" w:hAnsi="仿宋" w:eastAsia="仿宋" w:cs="仿宋"/>
          <w:sz w:val="30"/>
          <w:szCs w:val="30"/>
        </w:rPr>
        <w:t>认定标准。</w:t>
      </w:r>
    </w:p>
    <w:p>
      <w:pPr>
        <w:spacing w:line="500" w:lineRule="exact"/>
        <w:ind w:firstLine="600" w:firstLineChars="200"/>
        <w:rPr>
          <w:rFonts w:ascii="仿宋" w:hAnsi="仿宋" w:eastAsia="仿宋"/>
          <w:sz w:val="30"/>
          <w:szCs w:val="30"/>
        </w:rPr>
      </w:pPr>
      <w:r>
        <w:rPr>
          <w:rFonts w:hint="eastAsia" w:ascii="仿宋" w:hAnsi="仿宋" w:eastAsia="仿宋" w:cs="仿宋"/>
          <w:bCs/>
          <w:sz w:val="30"/>
          <w:szCs w:val="30"/>
        </w:rPr>
        <w:t>（二）“阿道夫”洗护用品属于“有一定影响的商品”。</w:t>
      </w:r>
      <w:r>
        <w:rPr>
          <w:rFonts w:hint="eastAsia" w:ascii="仿宋" w:hAnsi="仿宋" w:eastAsia="仿宋"/>
          <w:sz w:val="30"/>
          <w:szCs w:val="30"/>
        </w:rPr>
        <w:t>《最高人民法院关于适用〈中华人民共和国反不正当竞争法〉若干问题的解释》第四条明确规定，“具有一定的市场知名度并具有区别商品来源的显著特征的标识”属于《反不正当竞争法》第六条规定的“有一定影响的”标识。</w:t>
      </w:r>
    </w:p>
    <w:p>
      <w:pPr>
        <w:spacing w:line="500" w:lineRule="exact"/>
        <w:ind w:firstLine="600" w:firstLineChars="200"/>
        <w:rPr>
          <w:rFonts w:ascii="仿宋" w:hAnsi="仿宋" w:eastAsia="仿宋"/>
          <w:sz w:val="30"/>
          <w:szCs w:val="30"/>
        </w:rPr>
      </w:pPr>
      <w:r>
        <w:rPr>
          <w:rStyle w:val="43"/>
          <w:rFonts w:hint="eastAsia" w:ascii="仿宋" w:hAnsi="仿宋" w:eastAsia="仿宋" w:cs="仿宋"/>
          <w:bCs/>
          <w:sz w:val="30"/>
          <w:szCs w:val="30"/>
          <w:shd w:val="clear" w:color="auto" w:fill="FFFFFF"/>
        </w:rPr>
        <w:t>1.</w:t>
      </w:r>
      <w:r>
        <w:rPr>
          <w:rFonts w:hint="eastAsia" w:ascii="仿宋" w:hAnsi="仿宋" w:eastAsia="仿宋" w:cs="仿宋"/>
          <w:bCs/>
          <w:sz w:val="30"/>
          <w:szCs w:val="30"/>
        </w:rPr>
        <w:t>“阿道夫”洗护用品</w:t>
      </w:r>
      <w:r>
        <w:rPr>
          <w:rStyle w:val="43"/>
          <w:rFonts w:hint="eastAsia" w:ascii="仿宋" w:hAnsi="仿宋" w:eastAsia="仿宋" w:cs="仿宋"/>
          <w:bCs/>
          <w:sz w:val="30"/>
          <w:szCs w:val="30"/>
          <w:shd w:val="clear" w:color="auto" w:fill="FFFFFF"/>
        </w:rPr>
        <w:t>具有一定的市场知名度。</w:t>
      </w:r>
      <w:r>
        <w:rPr>
          <w:rFonts w:hint="eastAsia" w:ascii="仿宋" w:hAnsi="仿宋" w:eastAsia="仿宋"/>
          <w:sz w:val="30"/>
          <w:szCs w:val="30"/>
        </w:rPr>
        <w:t>是否具有一定的市场知名度，应当综合考虑中国境内相关公众的知悉程度、商品销售的时间、区域、数额和对象、宣传的持续时间、程度和地域范围、标识受保护的情况等因素。</w:t>
      </w:r>
      <w:r>
        <w:rPr>
          <w:rFonts w:hint="eastAsia" w:ascii="仿宋" w:hAnsi="仿宋" w:eastAsia="仿宋" w:cs="仿宋"/>
          <w:sz w:val="30"/>
          <w:szCs w:val="30"/>
        </w:rPr>
        <w:t>通过阜南县市场监督管理局移送的广州阿道夫个人护理用品有限公司的举证材料可知，“阿道夫”、“</w:t>
      </w:r>
      <w:r>
        <w:rPr>
          <w:rFonts w:ascii="仿宋" w:hAnsi="仿宋" w:eastAsia="仿宋" w:cs="仿宋"/>
          <w:sz w:val="30"/>
          <w:szCs w:val="30"/>
        </w:rPr>
        <w:drawing>
          <wp:inline distT="0" distB="0" distL="0" distR="0">
            <wp:extent cx="260350" cy="353060"/>
            <wp:effectExtent l="19050" t="0" r="6350" b="0"/>
            <wp:docPr id="8"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true" noChangeArrowheads="true"/>
                    </pic:cNvPicPr>
                  </pic:nvPicPr>
                  <pic:blipFill>
                    <a:blip r:embed="rId9" cstate="print"/>
                    <a:srcRect/>
                    <a:stretch>
                      <a:fillRect/>
                    </a:stretch>
                  </pic:blipFill>
                  <pic:spPr>
                    <a:xfrm>
                      <a:off x="0" y="0"/>
                      <a:ext cx="260350" cy="353060"/>
                    </a:xfrm>
                    <a:prstGeom prst="rect">
                      <a:avLst/>
                    </a:prstGeom>
                    <a:noFill/>
                    <a:ln w="9525">
                      <a:noFill/>
                      <a:miter lim="800000"/>
                      <a:headEnd/>
                      <a:tailEnd/>
                    </a:ln>
                  </pic:spPr>
                </pic:pic>
              </a:graphicData>
            </a:graphic>
          </wp:inline>
        </w:drawing>
      </w:r>
      <w:r>
        <w:rPr>
          <w:rFonts w:hint="eastAsia" w:ascii="仿宋" w:hAnsi="仿宋" w:eastAsia="仿宋" w:cs="仿宋"/>
          <w:sz w:val="30"/>
          <w:szCs w:val="30"/>
        </w:rPr>
        <w:t>”商业标识已</w:t>
      </w:r>
      <w:r>
        <w:rPr>
          <w:rFonts w:hint="eastAsia" w:ascii="仿宋" w:hAnsi="仿宋" w:eastAsia="仿宋"/>
          <w:sz w:val="30"/>
          <w:szCs w:val="30"/>
        </w:rPr>
        <w:t>进行商标注册，“阿道夫”品牌因其持续、广泛的宣传具有了一定的市场知名度，为公众所广泛知悉，其生产、销售的“阿道夫”品牌洗护产品销售时间长、销售区域广、销售额较大，取得了较为可观的销售业绩。通过相关媒体的宣传、推广，也使得该品牌在洗护行业中拥有一定的市场占有率，为相关公众所知悉，其品牌影响力应当覆盖其旗下商品，包括涉案的“阿道夫”洗护产品。</w:t>
      </w:r>
    </w:p>
    <w:p>
      <w:pPr>
        <w:spacing w:line="500" w:lineRule="exact"/>
        <w:ind w:firstLine="600" w:firstLineChars="200"/>
        <w:rPr>
          <w:rFonts w:ascii="仿宋" w:hAnsi="仿宋" w:eastAsia="仿宋" w:cs="仿宋"/>
          <w:sz w:val="30"/>
          <w:szCs w:val="30"/>
        </w:rPr>
      </w:pPr>
      <w:r>
        <w:rPr>
          <w:rStyle w:val="43"/>
          <w:rFonts w:hint="eastAsia" w:ascii="仿宋" w:hAnsi="仿宋" w:eastAsia="仿宋" w:cs="仿宋"/>
          <w:bCs/>
          <w:sz w:val="30"/>
          <w:szCs w:val="30"/>
          <w:shd w:val="clear" w:color="auto" w:fill="FFFFFF"/>
        </w:rPr>
        <w:t>2.</w:t>
      </w:r>
      <w:r>
        <w:rPr>
          <w:rFonts w:hint="eastAsia" w:ascii="仿宋" w:hAnsi="仿宋" w:eastAsia="仿宋" w:cs="仿宋"/>
          <w:bCs/>
          <w:sz w:val="30"/>
          <w:szCs w:val="30"/>
        </w:rPr>
        <w:t>“阿道夫”洗护用品</w:t>
      </w:r>
      <w:r>
        <w:rPr>
          <w:rStyle w:val="43"/>
          <w:rFonts w:hint="eastAsia" w:ascii="仿宋" w:hAnsi="仿宋" w:eastAsia="仿宋" w:cs="仿宋"/>
          <w:bCs/>
          <w:sz w:val="30"/>
          <w:szCs w:val="30"/>
          <w:shd w:val="clear" w:color="auto" w:fill="FFFFFF"/>
        </w:rPr>
        <w:t>标识具有区别商品来源的显著特征。</w:t>
      </w:r>
      <w:r>
        <w:rPr>
          <w:rFonts w:hint="eastAsia" w:ascii="仿宋" w:hAnsi="仿宋" w:eastAsia="仿宋" w:cs="仿宋"/>
          <w:sz w:val="30"/>
          <w:szCs w:val="30"/>
        </w:rPr>
        <w:t>“阿道夫”洗护用品的包装、装潢通过对色彩、文字、图案等设计要素的选择和组合，呈现出了具有一定独特性的视觉效果与显著特征，足以使公众观之即与其商品形成特定的关联，具备了区别商品来源的显著性特征，结合对自身品牌的宣传和实际使用行为，使上述包装、装潢所发挥的商品来源的指示作用得以不断加强。同时，广州阿道夫个人护理用品有限公司所主张的有一定影响的装潢在其经营的多种产品上均有使用，如阿道夫轻柔丝滑洗发液、植萃精华护发素、净澈清爽洗发乳液、植粹精华护发素、滋润修护洗发乳液等，所使用的装潢基本是一致的，仅个别设计元素的位置存在细微差别，多款产品使用几乎相同的装潢设计本身便能够进一步增加商品装潢识别来源的功能。</w:t>
      </w:r>
    </w:p>
    <w:p>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以上，《行政处罚决定书》认定“阿道夫”洗护用品属于“有一定影响的商品”，事实认定清楚，亦符合</w:t>
      </w:r>
      <w:r>
        <w:rPr>
          <w:rFonts w:hint="eastAsia" w:ascii="仿宋" w:hAnsi="仿宋" w:eastAsia="仿宋"/>
          <w:sz w:val="30"/>
          <w:szCs w:val="30"/>
        </w:rPr>
        <w:t>司法</w:t>
      </w:r>
      <w:r>
        <w:rPr>
          <w:rFonts w:hint="eastAsia" w:ascii="仿宋" w:hAnsi="仿宋" w:eastAsia="仿宋" w:cs="仿宋"/>
          <w:sz w:val="30"/>
          <w:szCs w:val="30"/>
        </w:rPr>
        <w:t>认定标准。</w:t>
      </w:r>
    </w:p>
    <w:p>
      <w:pPr>
        <w:spacing w:line="500" w:lineRule="exact"/>
        <w:ind w:firstLine="600" w:firstLineChars="200"/>
        <w:rPr>
          <w:rFonts w:ascii="仿宋" w:hAnsi="仿宋" w:eastAsia="仿宋" w:cs="仿宋"/>
          <w:sz w:val="30"/>
          <w:szCs w:val="30"/>
        </w:rPr>
      </w:pPr>
      <w:r>
        <w:rPr>
          <w:rFonts w:hint="eastAsia" w:ascii="仿宋" w:hAnsi="仿宋" w:eastAsia="仿宋" w:cs="仿宋"/>
          <w:bCs/>
          <w:sz w:val="30"/>
          <w:szCs w:val="30"/>
        </w:rPr>
        <w:t>（三）销售行为亦属于“使用”。</w:t>
      </w:r>
      <w:r>
        <w:rPr>
          <w:rFonts w:hint="eastAsia" w:ascii="仿宋" w:hAnsi="仿宋" w:eastAsia="仿宋"/>
          <w:sz w:val="30"/>
          <w:szCs w:val="30"/>
        </w:rPr>
        <w:t>《最高人民法院关于适用〈中华人民共和国反不正当竞争法〉若干问题的解释》</w:t>
      </w:r>
      <w:r>
        <w:rPr>
          <w:rFonts w:hint="eastAsia" w:ascii="仿宋" w:hAnsi="仿宋" w:eastAsia="仿宋" w:cs="仿宋"/>
          <w:sz w:val="30"/>
          <w:szCs w:val="30"/>
        </w:rPr>
        <w:t>第十条明确规定，在中国境内将有一定影响的标识用于商品、商品包装……用于识别商品来源的行为，人民法院可以认定为反不正当竞争法第六条规定的“使用”，第十四条第一款规定，经营者销售带有违反反不正当竞争法第六条规定的标识的商品，引人误认为是他人商品……构成反不正当竞争法第六条规定的情形。因此，《行政处罚决定书》认定“销售”行为亦构成“使用”，事实认定清楚，亦符合司法认定标准。</w:t>
      </w:r>
    </w:p>
    <w:p>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综上，“阿道夫”洗护产品具有一定的显著性和知名度，属于“有一定影响的商品”，以相关公众的一般注意力为标准，在比对对象隔离的状态下，对“卡迪欧”洗发乳液与“阿道夫”洗发乳液的包装装潢进行整体与部分的对比，图形的构图、颜色、各要素组合后的整体结构相似，易使相关公众对商品的来源产生误认，或者认为其来源与“阿道夫”商品有特定的联系，构成近似。</w:t>
      </w:r>
      <w:r>
        <w:rPr>
          <w:rFonts w:hint="eastAsia" w:ascii="仿宋" w:hAnsi="仿宋" w:eastAsia="仿宋" w:cs="华文宋体"/>
          <w:kern w:val="0"/>
          <w:sz w:val="30"/>
          <w:szCs w:val="30"/>
        </w:rPr>
        <w:t>芜湖和联购物中心有限公司</w:t>
      </w:r>
      <w:r>
        <w:rPr>
          <w:rFonts w:hint="eastAsia" w:ascii="仿宋" w:hAnsi="仿宋" w:eastAsia="仿宋" w:cs="仿宋"/>
          <w:sz w:val="30"/>
          <w:szCs w:val="30"/>
        </w:rPr>
        <w:t>未经权利人许可，擅自销售“与他人有一定影响的商品包装、装潢等近似的标识”的商品，具有“搭便车”之嫌，有违公平、诚实信用的市场竞争原则，构成仿冒混淆的不正当竞争行为，答辩人根据《中华人民共和国反不正当竞争法》第六条第（一）项之规定，作出案涉《行政处罚决定书》，事实认定清楚，法律适用正确。</w:t>
      </w:r>
    </w:p>
    <w:p>
      <w:pPr>
        <w:spacing w:line="500" w:lineRule="exact"/>
        <w:ind w:firstLine="600" w:firstLineChars="200"/>
        <w:rPr>
          <w:rFonts w:ascii="仿宋" w:hAnsi="仿宋" w:eastAsia="仿宋" w:cs="仿宋"/>
          <w:bCs/>
          <w:sz w:val="30"/>
          <w:szCs w:val="30"/>
        </w:rPr>
      </w:pPr>
      <w:r>
        <w:rPr>
          <w:rFonts w:hint="eastAsia" w:ascii="仿宋" w:hAnsi="仿宋" w:eastAsia="仿宋" w:cs="仿宋"/>
          <w:bCs/>
          <w:sz w:val="30"/>
          <w:szCs w:val="30"/>
        </w:rPr>
        <w:t>二、答辩人作出《行政处罚决定》程序合法。</w:t>
      </w:r>
    </w:p>
    <w:p>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案涉《行政处罚决定书》的作出，历经立案、调查、收集、调取证据、现场检查、制作现场笔录、询问调查、制作询问笔录、保障当事人陈述申辩权、案件调查终结、形成调查终结报告、内部审核、送达告知书、告知享有陈述、申辩及听证申请的权利、负责人审查决定、作出并依法送达行政处罚决定书、告知救济途径等一系列程序，符合《中华人民共和国行政处罚法》等法律法规规定的程序要求。</w:t>
      </w:r>
    </w:p>
    <w:p>
      <w:pPr>
        <w:spacing w:line="50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综上所述，答辩人作出案涉《行政处罚决定书》，事实认定清楚、证据确凿充分、适用法律法规正确、程序合法，被答辩人的主张无事实及法律依据，请求依法驳回其诉请。</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被告芜湖市人民政府辩称，一、答辩人已经履行了法定职责，复议程序合法。2022年2月17日，被答辩人向答辩人申请行政复议，答辩人依法予以受理。2022年4月14日，答辩人作出芜市行复字〔2022〕15号《延期审理通知书》。本案因芜湖市疫情防控指挥部研究决定自2022年4月17日对芜湖市主城区暂时实施静态管理而中止审理。2022年4月24日，本案恢复审理。2022年5月24日，答辩人作出芜市行复〔2022〕15号《行政复议决定书》。答辩人按照《中华人民共和国行政复议法》的规定按时审理，复议程序符合法律规定。</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二、答辩人作出的《行政复议决定书》具有事实和法律、法规依据。1.根据《中华人民共和国行政复议法实施条例》第二十八条规定，行政复议申请符合下列规定的，应当予以受理：（一）有明确的申请人和符合规定的被申请人；（二）申请人于具体行政行为有利害关系……。本案中，被告芜湖市市场监督管理局处罚对象虽为芜湖和联购物中心有限公司，并非被答辩人，但被答辩人系案涉商品的生产厂家，与案涉具体行政行为有利害关系，符合上述规定。2.“阿道夫”商业标识已进行商标注册，“阿道夫”品牌因其持续、广泛的宣传具有了一定的市场知名度，为公众所广泛知悉，其生产、销售的“阿道夫”品牌洗护产品销售时间长、销售区域广、销售额较大，取得了较为可观的销售业绩。通过相关媒体的宣传、推广，也使得该品牌商品在洗护行业中拥有一定的市场占有率，为相关公众所知悉，具有一定影响力。被答辩人生产的卡迪欧洗发乳液的包装、装潢使用了米色色调的包装装潢，瓶身正面的右上角使用红色及黑色长矩形样式、中上部分为三排分布的商品类型的英文介绍、中部的女性人物剪影，人物剪影下方为商品文字介绍，文字介绍分为左右两部分，左边为一列竖向且字体放大的英文字母，右边为横排的中英文介绍（包括公司名称商标、商品名称及对应的英文介绍），以上装潢模仿了广州阿道夫个人护理用品有限公司有一定影响的装潢中最为引人注目的设计要素，包括主色调，上部的长矩形、中部的人物剪影以及下方的文字介绍，虽然在中间的人物剪影形象等部分细节存在不同，但是并不妨碍总体形象的相似度，涉案产品与广州阿道夫个人护理用品有限公司有一定影响力的产品装潢相近似，容易对一般消费者产生误导，造成误认或者认为该洗发乳液产品与广州阿道夫个人护理用品有限公司存在某种特定联系。芜湖和联购物中心有限公司作为经营者，在其线下实体店销售“阿道夫”品牌洗护产品的同时，在其线上网店销售“卡迪欧”品牌洗护产品，违反了《中华人民共和国反不正当竞争法》第六条第（一）项之规定，被告芜湖市市场监督管理局依据《中华人民共和国反不正当竞争法》第十八条第一款以及《中华人民共和国行政处罚法》第二十八条、第三十二条第（五）项之规定，对其进行处罚并无不当。</w:t>
      </w:r>
    </w:p>
    <w:p>
      <w:pPr>
        <w:spacing w:line="500" w:lineRule="exact"/>
        <w:ind w:firstLine="600" w:firstLineChars="200"/>
        <w:rPr>
          <w:rFonts w:ascii="仿宋" w:hAnsi="仿宋" w:eastAsia="仿宋"/>
          <w:b/>
          <w:kern w:val="0"/>
          <w:sz w:val="30"/>
          <w:szCs w:val="30"/>
        </w:rPr>
      </w:pPr>
      <w:r>
        <w:rPr>
          <w:rFonts w:hint="eastAsia" w:ascii="仿宋" w:hAnsi="仿宋" w:eastAsia="仿宋"/>
          <w:sz w:val="30"/>
          <w:szCs w:val="30"/>
        </w:rPr>
        <w:t>综上所述，答辩人根据《中华人民共和国行政复议法》第二十八条第一款第（一）项的规定，维持被告芜湖市市场监督管理局作出的《行政处罚决定书》，所作出的《行政复议决定书》事实认定清楚，适用依据正确，程序合法。</w:t>
      </w:r>
    </w:p>
    <w:p>
      <w:pPr>
        <w:spacing w:line="500" w:lineRule="exact"/>
        <w:ind w:firstLine="600" w:firstLineChars="200"/>
        <w:outlineLvl w:val="0"/>
        <w:rPr>
          <w:rFonts w:ascii="仿宋" w:hAnsi="仿宋" w:eastAsia="仿宋"/>
          <w:sz w:val="30"/>
          <w:szCs w:val="30"/>
        </w:rPr>
      </w:pPr>
      <w:r>
        <w:rPr>
          <w:rFonts w:hint="eastAsia" w:ascii="仿宋" w:hAnsi="仿宋" w:eastAsia="仿宋"/>
          <w:sz w:val="30"/>
          <w:szCs w:val="30"/>
        </w:rPr>
        <w:t>本院经审理查明：2021年7月22日，广州阿道夫个人护理用品有限公司向阜南县市场监督管理局提交投诉书，称位于阜南县四集镇东岳小区的美团优选协同仓中</w:t>
      </w:r>
      <w:r>
        <w:rPr>
          <w:rFonts w:ascii="仿宋" w:hAnsi="仿宋" w:eastAsia="仿宋"/>
          <w:sz w:val="30"/>
          <w:szCs w:val="30"/>
        </w:rPr>
        <w:t>存放的“卡迪欧</w:t>
      </w:r>
      <w:r>
        <w:rPr>
          <w:rFonts w:eastAsia="仿宋"/>
          <w:sz w:val="30"/>
          <w:szCs w:val="30"/>
        </w:rPr>
        <w:t>®</w:t>
      </w:r>
      <w:r>
        <w:rPr>
          <w:rFonts w:ascii="仿宋" w:hAnsi="仿宋" w:eastAsia="仿宋"/>
          <w:sz w:val="30"/>
          <w:szCs w:val="30"/>
        </w:rPr>
        <w:t>洗发乳液”涉嫌侵犯陈殿松注册并授权其使用的“阿道夫”（注册证号：第8457568号）、“</w:t>
      </w:r>
      <w:r>
        <w:rPr>
          <w:rFonts w:ascii="仿宋" w:hAnsi="仿宋" w:eastAsia="仿宋"/>
          <w:sz w:val="30"/>
          <w:szCs w:val="30"/>
        </w:rPr>
        <w:drawing>
          <wp:inline distT="0" distB="0" distL="0" distR="0">
            <wp:extent cx="237490" cy="300990"/>
            <wp:effectExtent l="19050" t="0" r="0" b="0"/>
            <wp:docPr id="9" name="图片 9" descr="1648457947(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1648457947(1)"/>
                    <pic:cNvPicPr>
                      <a:picLocks noChangeAspect="true" noChangeArrowheads="true"/>
                    </pic:cNvPicPr>
                  </pic:nvPicPr>
                  <pic:blipFill>
                    <a:blip r:embed="rId10" cstate="print"/>
                    <a:srcRect/>
                    <a:stretch>
                      <a:fillRect/>
                    </a:stretch>
                  </pic:blipFill>
                  <pic:spPr>
                    <a:xfrm>
                      <a:off x="0" y="0"/>
                      <a:ext cx="237490" cy="300990"/>
                    </a:xfrm>
                    <a:prstGeom prst="rect">
                      <a:avLst/>
                    </a:prstGeom>
                    <a:noFill/>
                    <a:ln w="9525">
                      <a:noFill/>
                      <a:miter lim="800000"/>
                      <a:headEnd/>
                      <a:tailEnd/>
                    </a:ln>
                  </pic:spPr>
                </pic:pic>
              </a:graphicData>
            </a:graphic>
          </wp:inline>
        </w:drawing>
      </w:r>
      <w:r>
        <w:rPr>
          <w:rFonts w:ascii="仿宋" w:hAnsi="仿宋" w:eastAsia="仿宋"/>
          <w:sz w:val="30"/>
          <w:szCs w:val="30"/>
        </w:rPr>
        <w:t>”（注册证号：第19025625号）等系列商标权益。</w:t>
      </w:r>
      <w:r>
        <w:rPr>
          <w:rFonts w:hint="eastAsia" w:ascii="仿宋" w:hAnsi="仿宋" w:eastAsia="仿宋"/>
          <w:sz w:val="30"/>
          <w:szCs w:val="30"/>
        </w:rPr>
        <w:t>经阜南县市场监督管理局调查，上述洗发乳液所有人为芜湖和联购物中心有限公司，并由该公司通过网络平台进行销售。阜南县市场监督管理局于2021年9月6日对涉案物品采取实地查封行政强制措施，并将案件线索移送至芜湖市市场监督管理局。</w:t>
      </w:r>
      <w:r>
        <w:rPr>
          <w:rFonts w:ascii="仿宋" w:hAnsi="仿宋" w:eastAsia="仿宋"/>
          <w:sz w:val="30"/>
          <w:szCs w:val="30"/>
        </w:rPr>
        <w:t>2021年9月27日，芜湖</w:t>
      </w:r>
      <w:r>
        <w:rPr>
          <w:rFonts w:hint="eastAsia" w:ascii="仿宋" w:hAnsi="仿宋" w:eastAsia="仿宋"/>
          <w:sz w:val="30"/>
          <w:szCs w:val="30"/>
        </w:rPr>
        <w:t>经济技术开发</w:t>
      </w:r>
      <w:r>
        <w:rPr>
          <w:rFonts w:ascii="仿宋" w:hAnsi="仿宋" w:eastAsia="仿宋"/>
          <w:sz w:val="30"/>
          <w:szCs w:val="30"/>
        </w:rPr>
        <w:t>区市场</w:t>
      </w:r>
      <w:r>
        <w:rPr>
          <w:rFonts w:hint="eastAsia" w:ascii="仿宋" w:hAnsi="仿宋" w:eastAsia="仿宋"/>
          <w:sz w:val="30"/>
          <w:szCs w:val="30"/>
        </w:rPr>
        <w:t>监督管理</w:t>
      </w:r>
      <w:r>
        <w:rPr>
          <w:rFonts w:ascii="仿宋" w:hAnsi="仿宋" w:eastAsia="仿宋"/>
          <w:sz w:val="30"/>
          <w:szCs w:val="30"/>
        </w:rPr>
        <w:t>局收到</w:t>
      </w:r>
      <w:r>
        <w:rPr>
          <w:rFonts w:hint="eastAsia" w:ascii="仿宋" w:hAnsi="仿宋" w:eastAsia="仿宋"/>
          <w:sz w:val="30"/>
          <w:szCs w:val="30"/>
        </w:rPr>
        <w:t>芜湖市市场监督管理局</w:t>
      </w:r>
      <w:r>
        <w:rPr>
          <w:rFonts w:ascii="仿宋" w:hAnsi="仿宋" w:eastAsia="仿宋"/>
          <w:sz w:val="30"/>
          <w:szCs w:val="30"/>
        </w:rPr>
        <w:t>交办的《阜南县市场监督管理局线索移送函》（南市监案移〔2021〕综21号），芜湖经济技术开发区市场监督管理局于2021年10月18日</w:t>
      </w:r>
      <w:r>
        <w:rPr>
          <w:rFonts w:hint="eastAsia" w:ascii="仿宋" w:hAnsi="仿宋" w:eastAsia="仿宋"/>
          <w:sz w:val="30"/>
          <w:szCs w:val="30"/>
        </w:rPr>
        <w:t>对该案</w:t>
      </w:r>
      <w:r>
        <w:rPr>
          <w:rFonts w:ascii="仿宋" w:hAnsi="仿宋" w:eastAsia="仿宋"/>
          <w:sz w:val="30"/>
          <w:szCs w:val="30"/>
        </w:rPr>
        <w:t>予以立案调查。</w:t>
      </w:r>
      <w:r>
        <w:rPr>
          <w:rFonts w:hint="eastAsia" w:ascii="仿宋" w:hAnsi="仿宋" w:eastAsia="仿宋"/>
          <w:sz w:val="30"/>
          <w:szCs w:val="30"/>
        </w:rPr>
        <w:t xml:space="preserve"> </w:t>
      </w:r>
      <w:r>
        <w:rPr>
          <w:rFonts w:ascii="仿宋" w:hAnsi="仿宋" w:eastAsia="仿宋"/>
          <w:sz w:val="30"/>
          <w:szCs w:val="30"/>
        </w:rPr>
        <w:t xml:space="preserve">                                                                                                                                                                                                                            </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上述</w:t>
      </w:r>
      <w:r>
        <w:rPr>
          <w:rFonts w:ascii="仿宋" w:hAnsi="仿宋" w:eastAsia="仿宋"/>
          <w:sz w:val="30"/>
          <w:szCs w:val="30"/>
        </w:rPr>
        <w:t>案涉“卡迪欧</w:t>
      </w:r>
      <w:r>
        <w:rPr>
          <w:rFonts w:eastAsia="仿宋"/>
          <w:sz w:val="30"/>
          <w:szCs w:val="30"/>
        </w:rPr>
        <w:t>®</w:t>
      </w:r>
      <w:r>
        <w:rPr>
          <w:rFonts w:ascii="仿宋" w:hAnsi="仿宋" w:eastAsia="仿宋"/>
          <w:sz w:val="30"/>
          <w:szCs w:val="30"/>
        </w:rPr>
        <w:t>洗发乳液”标称产品名称：祛屑清爽洗发乳液、</w:t>
      </w:r>
      <w:r>
        <w:rPr>
          <w:rFonts w:hint="eastAsia" w:ascii="仿宋" w:hAnsi="仿宋" w:eastAsia="仿宋"/>
          <w:sz w:val="30"/>
          <w:szCs w:val="30"/>
        </w:rPr>
        <w:t>商标</w:t>
      </w:r>
      <w:r>
        <w:rPr>
          <w:rFonts w:ascii="仿宋" w:hAnsi="仿宋" w:eastAsia="仿宋"/>
          <w:sz w:val="30"/>
          <w:szCs w:val="30"/>
        </w:rPr>
        <w:t>：</w:t>
      </w:r>
      <w:r>
        <w:rPr>
          <w:rFonts w:ascii="仿宋" w:hAnsi="仿宋" w:eastAsia="仿宋"/>
          <w:sz w:val="30"/>
          <w:szCs w:val="30"/>
        </w:rPr>
        <w:drawing>
          <wp:inline distT="0" distB="0" distL="0" distR="0">
            <wp:extent cx="497840" cy="323850"/>
            <wp:effectExtent l="19050" t="0" r="0" b="0"/>
            <wp:docPr id="10" name="图片 5" descr="1648196836(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5" descr="1648196836(1)"/>
                    <pic:cNvPicPr>
                      <a:picLocks noChangeAspect="true" noChangeArrowheads="true"/>
                    </pic:cNvPicPr>
                  </pic:nvPicPr>
                  <pic:blipFill>
                    <a:blip r:embed="rId11"/>
                    <a:srcRect/>
                    <a:stretch>
                      <a:fillRect/>
                    </a:stretch>
                  </pic:blipFill>
                  <pic:spPr>
                    <a:xfrm>
                      <a:off x="0" y="0"/>
                      <a:ext cx="497840" cy="323850"/>
                    </a:xfrm>
                    <a:prstGeom prst="rect">
                      <a:avLst/>
                    </a:prstGeom>
                    <a:noFill/>
                    <a:ln w="9525">
                      <a:noFill/>
                      <a:miter lim="800000"/>
                      <a:headEnd/>
                      <a:tailEnd/>
                    </a:ln>
                  </pic:spPr>
                </pic:pic>
              </a:graphicData>
            </a:graphic>
          </wp:inline>
        </w:drawing>
      </w:r>
      <w:r>
        <w:rPr>
          <w:rFonts w:ascii="仿宋" w:hAnsi="仿宋" w:eastAsia="仿宋"/>
          <w:sz w:val="30"/>
          <w:szCs w:val="30"/>
        </w:rPr>
        <w:t>、生产日期</w:t>
      </w:r>
      <w:r>
        <w:rPr>
          <w:rFonts w:hint="eastAsia" w:ascii="仿宋" w:hAnsi="仿宋" w:eastAsia="仿宋"/>
          <w:sz w:val="30"/>
          <w:szCs w:val="30"/>
        </w:rPr>
        <w:t>：</w:t>
      </w:r>
      <w:r>
        <w:rPr>
          <w:rFonts w:ascii="仿宋" w:hAnsi="仿宋" w:eastAsia="仿宋"/>
          <w:sz w:val="30"/>
          <w:szCs w:val="30"/>
        </w:rPr>
        <w:t>20210106、净含量</w:t>
      </w:r>
      <w:r>
        <w:rPr>
          <w:rFonts w:hint="eastAsia" w:ascii="仿宋" w:hAnsi="仿宋" w:eastAsia="仿宋"/>
          <w:sz w:val="30"/>
          <w:szCs w:val="30"/>
        </w:rPr>
        <w:t>：</w:t>
      </w:r>
      <w:r>
        <w:rPr>
          <w:rFonts w:ascii="仿宋" w:hAnsi="仿宋" w:eastAsia="仿宋"/>
          <w:sz w:val="30"/>
          <w:szCs w:val="30"/>
        </w:rPr>
        <w:t>800ml</w:t>
      </w:r>
      <w:r>
        <w:rPr>
          <w:rFonts w:hint="eastAsia" w:ascii="仿宋" w:hAnsi="仿宋" w:eastAsia="仿宋"/>
          <w:sz w:val="30"/>
          <w:szCs w:val="30"/>
        </w:rPr>
        <w:t>、</w:t>
      </w:r>
      <w:r>
        <w:rPr>
          <w:rFonts w:ascii="仿宋" w:hAnsi="仿宋" w:eastAsia="仿宋"/>
          <w:sz w:val="30"/>
          <w:szCs w:val="30"/>
        </w:rPr>
        <w:t>生产厂商：汕头市可若夕雨化妆品有限公司、化妆品生产许可证号：粤妆20200117</w:t>
      </w:r>
      <w:r>
        <w:rPr>
          <w:rFonts w:hint="eastAsia" w:ascii="仿宋" w:hAnsi="仿宋" w:eastAsia="仿宋"/>
          <w:sz w:val="30"/>
          <w:szCs w:val="30"/>
        </w:rPr>
        <w:t>、</w:t>
      </w:r>
      <w:r>
        <w:rPr>
          <w:rFonts w:ascii="仿宋" w:hAnsi="仿宋" w:eastAsia="仿宋"/>
          <w:sz w:val="30"/>
          <w:szCs w:val="30"/>
        </w:rPr>
        <w:t>化妆品备案号：粤G妆网备字 2020160540、执行标准：GB/T29679-2013</w:t>
      </w:r>
      <w:r>
        <w:rPr>
          <w:rFonts w:hint="eastAsia" w:ascii="仿宋" w:hAnsi="仿宋" w:eastAsia="仿宋"/>
          <w:sz w:val="30"/>
          <w:szCs w:val="30"/>
        </w:rPr>
        <w:t>，</w:t>
      </w:r>
      <w:r>
        <w:rPr>
          <w:rFonts w:ascii="仿宋" w:hAnsi="仿宋" w:eastAsia="仿宋"/>
          <w:sz w:val="30"/>
          <w:szCs w:val="30"/>
        </w:rPr>
        <w:t>产品包装、装潢样式为：1.瓶身整体为米色调；2.瓶身正面右上部有酒红色短矩形及黑色的长矩形组合的图形；3.瓶身正面中上部三排分布的商品类型介绍，其中两排为英文，一排为中文；4.瓶身正面中部有</w:t>
      </w:r>
      <w:r>
        <w:rPr>
          <w:rFonts w:ascii="仿宋" w:hAnsi="仿宋" w:eastAsia="仿宋"/>
          <w:sz w:val="30"/>
          <w:szCs w:val="30"/>
        </w:rPr>
        <w:drawing>
          <wp:inline distT="0" distB="0" distL="0" distR="0">
            <wp:extent cx="225425" cy="289560"/>
            <wp:effectExtent l="19050" t="0" r="3175" b="0"/>
            <wp:docPr id="11" name="图片 8" descr="1648458668(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8" descr="1648458668(1)"/>
                    <pic:cNvPicPr>
                      <a:picLocks noChangeAspect="true" noChangeArrowheads="true"/>
                    </pic:cNvPicPr>
                  </pic:nvPicPr>
                  <pic:blipFill>
                    <a:blip r:embed="rId7"/>
                    <a:srcRect/>
                    <a:stretch>
                      <a:fillRect/>
                    </a:stretch>
                  </pic:blipFill>
                  <pic:spPr>
                    <a:xfrm>
                      <a:off x="0" y="0"/>
                      <a:ext cx="225425" cy="289560"/>
                    </a:xfrm>
                    <a:prstGeom prst="rect">
                      <a:avLst/>
                    </a:prstGeom>
                    <a:noFill/>
                    <a:ln w="9525">
                      <a:noFill/>
                      <a:miter lim="800000"/>
                      <a:headEnd/>
                      <a:tailEnd/>
                    </a:ln>
                  </pic:spPr>
                </pic:pic>
              </a:graphicData>
            </a:graphic>
          </wp:inline>
        </w:drawing>
      </w:r>
      <w:r>
        <w:rPr>
          <w:rFonts w:ascii="仿宋" w:hAnsi="仿宋" w:eastAsia="仿宋"/>
          <w:sz w:val="30"/>
          <w:szCs w:val="30"/>
        </w:rPr>
        <w:t>黑色女性剪影图案，图案上斜印有红色“</w:t>
      </w:r>
      <w:r>
        <w:rPr>
          <w:rFonts w:ascii="仿宋" w:hAnsi="仿宋" w:eastAsia="仿宋"/>
          <w:sz w:val="30"/>
          <w:szCs w:val="30"/>
        </w:rPr>
        <w:drawing>
          <wp:inline distT="0" distB="0" distL="0" distR="0">
            <wp:extent cx="607695" cy="295275"/>
            <wp:effectExtent l="19050" t="0" r="1905" b="0"/>
            <wp:docPr id="12" name="图片 9" descr="164845870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9" descr="1648458702(1)"/>
                    <pic:cNvPicPr>
                      <a:picLocks noChangeAspect="true" noChangeArrowheads="true"/>
                    </pic:cNvPicPr>
                  </pic:nvPicPr>
                  <pic:blipFill>
                    <a:blip r:embed="rId8"/>
                    <a:srcRect/>
                    <a:stretch>
                      <a:fillRect/>
                    </a:stretch>
                  </pic:blipFill>
                  <pic:spPr>
                    <a:xfrm>
                      <a:off x="0" y="0"/>
                      <a:ext cx="607695" cy="295275"/>
                    </a:xfrm>
                    <a:prstGeom prst="rect">
                      <a:avLst/>
                    </a:prstGeom>
                    <a:noFill/>
                    <a:ln w="9525">
                      <a:noFill/>
                      <a:miter lim="800000"/>
                      <a:headEnd/>
                      <a:tailEnd/>
                    </a:ln>
                  </pic:spPr>
                </pic:pic>
              </a:graphicData>
            </a:graphic>
          </wp:inline>
        </w:drawing>
      </w:r>
      <w:r>
        <w:rPr>
          <w:rFonts w:ascii="仿宋" w:hAnsi="仿宋" w:eastAsia="仿宋"/>
          <w:sz w:val="30"/>
          <w:szCs w:val="30"/>
        </w:rPr>
        <w:t>”字样，瓶身背面中央有相同图案</w:t>
      </w:r>
      <w:r>
        <w:rPr>
          <w:rFonts w:hint="eastAsia" w:ascii="仿宋" w:hAnsi="仿宋" w:eastAsia="仿宋"/>
          <w:sz w:val="30"/>
          <w:szCs w:val="30"/>
        </w:rPr>
        <w:t>，</w:t>
      </w:r>
      <w:r>
        <w:rPr>
          <w:rFonts w:ascii="仿宋" w:hAnsi="仿宋" w:eastAsia="仿宋"/>
          <w:sz w:val="30"/>
          <w:szCs w:val="30"/>
        </w:rPr>
        <w:t>图案下方有卡迪欧商标；5.瓶身正面下部为产品文字介绍，文字左右分布，其中文字介绍左边有一列竖向且字体放大的英文“Scented”字样，右边则为较小的横排中文和英文文字介绍。</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上述</w:t>
      </w:r>
      <w:r>
        <w:rPr>
          <w:rFonts w:ascii="仿宋" w:hAnsi="仿宋" w:eastAsia="仿宋"/>
          <w:sz w:val="30"/>
          <w:szCs w:val="30"/>
        </w:rPr>
        <w:t>“卡迪欧</w:t>
      </w:r>
      <w:r>
        <w:rPr>
          <w:rFonts w:eastAsia="仿宋"/>
          <w:sz w:val="30"/>
          <w:szCs w:val="30"/>
        </w:rPr>
        <w:t>®</w:t>
      </w:r>
      <w:r>
        <w:rPr>
          <w:rFonts w:ascii="仿宋" w:hAnsi="仿宋" w:eastAsia="仿宋"/>
          <w:sz w:val="30"/>
          <w:szCs w:val="30"/>
        </w:rPr>
        <w:t>洗发乳液”</w:t>
      </w:r>
      <w:r>
        <w:rPr>
          <w:rFonts w:hint="eastAsia" w:ascii="仿宋" w:hAnsi="仿宋" w:eastAsia="仿宋"/>
          <w:sz w:val="30"/>
          <w:szCs w:val="30"/>
        </w:rPr>
        <w:t>系芜湖和联购物中心有限公司于</w:t>
      </w:r>
      <w:r>
        <w:rPr>
          <w:rFonts w:ascii="仿宋" w:hAnsi="仿宋" w:eastAsia="仿宋"/>
          <w:sz w:val="30"/>
          <w:szCs w:val="30"/>
        </w:rPr>
        <w:t>2021年7月10日从义乌市昌盈贸易有限公司处购进</w:t>
      </w:r>
      <w:r>
        <w:rPr>
          <w:rFonts w:hint="eastAsia" w:ascii="仿宋" w:hAnsi="仿宋" w:eastAsia="仿宋"/>
          <w:sz w:val="30"/>
          <w:szCs w:val="30"/>
        </w:rPr>
        <w:t>，共购进</w:t>
      </w:r>
      <w:r>
        <w:rPr>
          <w:rFonts w:ascii="仿宋" w:hAnsi="仿宋" w:eastAsia="仿宋"/>
          <w:sz w:val="30"/>
          <w:szCs w:val="30"/>
        </w:rPr>
        <w:t>40箱</w:t>
      </w:r>
      <w:r>
        <w:rPr>
          <w:rFonts w:hint="eastAsia" w:ascii="仿宋" w:hAnsi="仿宋" w:eastAsia="仿宋"/>
          <w:sz w:val="30"/>
          <w:szCs w:val="30"/>
        </w:rPr>
        <w:t>（</w:t>
      </w:r>
      <w:r>
        <w:rPr>
          <w:rFonts w:ascii="仿宋" w:hAnsi="仿宋" w:eastAsia="仿宋"/>
          <w:sz w:val="30"/>
          <w:szCs w:val="30"/>
        </w:rPr>
        <w:t>1200瓶</w:t>
      </w:r>
      <w:r>
        <w:rPr>
          <w:rFonts w:hint="eastAsia" w:ascii="仿宋" w:hAnsi="仿宋" w:eastAsia="仿宋"/>
          <w:sz w:val="30"/>
          <w:szCs w:val="30"/>
        </w:rPr>
        <w:t>）</w:t>
      </w:r>
      <w:r>
        <w:rPr>
          <w:rFonts w:ascii="仿宋" w:hAnsi="仿宋" w:eastAsia="仿宋"/>
          <w:sz w:val="30"/>
          <w:szCs w:val="30"/>
        </w:rPr>
        <w:t>，购进价格为12元/瓶</w:t>
      </w:r>
      <w:r>
        <w:rPr>
          <w:rFonts w:hint="eastAsia" w:ascii="仿宋" w:hAnsi="仿宋" w:eastAsia="仿宋"/>
          <w:sz w:val="30"/>
          <w:szCs w:val="30"/>
        </w:rPr>
        <w:t>，购进后</w:t>
      </w:r>
      <w:r>
        <w:rPr>
          <w:rFonts w:ascii="仿宋" w:hAnsi="仿宋" w:eastAsia="仿宋"/>
          <w:sz w:val="30"/>
          <w:szCs w:val="30"/>
        </w:rPr>
        <w:t>以16.9元/瓶的价格供应至美团优选平台进行销售，累计销售48瓶，另有12瓶无法查询去处，剩余</w:t>
      </w:r>
      <w:r>
        <w:rPr>
          <w:rFonts w:hint="eastAsia" w:ascii="仿宋" w:hAnsi="仿宋" w:eastAsia="仿宋"/>
          <w:sz w:val="30"/>
          <w:szCs w:val="30"/>
        </w:rPr>
        <w:t>1140</w:t>
      </w:r>
      <w:r>
        <w:rPr>
          <w:rFonts w:ascii="仿宋" w:hAnsi="仿宋" w:eastAsia="仿宋"/>
          <w:sz w:val="30"/>
          <w:szCs w:val="30"/>
        </w:rPr>
        <w:t>瓶被阜南县市场监督管理局查封。</w:t>
      </w:r>
      <w:r>
        <w:rPr>
          <w:rFonts w:hint="eastAsia" w:ascii="仿宋" w:hAnsi="仿宋" w:eastAsia="仿宋"/>
          <w:sz w:val="30"/>
          <w:szCs w:val="30"/>
        </w:rPr>
        <w:t>芜湖和联购物中心有限公司</w:t>
      </w:r>
      <w:r>
        <w:rPr>
          <w:rFonts w:ascii="仿宋" w:hAnsi="仿宋" w:eastAsia="仿宋"/>
          <w:sz w:val="30"/>
          <w:szCs w:val="30"/>
        </w:rPr>
        <w:t>自阜南县市场监督管理局对其进行调查后，已将上述产品从美团优选平台下架。</w:t>
      </w:r>
    </w:p>
    <w:p>
      <w:pPr>
        <w:spacing w:line="500" w:lineRule="exact"/>
        <w:ind w:firstLine="600" w:firstLineChars="200"/>
        <w:rPr>
          <w:rFonts w:ascii="仿宋" w:hAnsi="仿宋" w:eastAsia="仿宋"/>
          <w:sz w:val="30"/>
          <w:szCs w:val="30"/>
        </w:rPr>
      </w:pPr>
      <w:r>
        <w:rPr>
          <w:rFonts w:ascii="仿宋" w:hAnsi="仿宋" w:eastAsia="仿宋"/>
          <w:sz w:val="30"/>
          <w:szCs w:val="30"/>
        </w:rPr>
        <w:t>2021年12月14日</w:t>
      </w:r>
      <w:r>
        <w:rPr>
          <w:rFonts w:hint="eastAsia" w:ascii="仿宋" w:hAnsi="仿宋" w:eastAsia="仿宋"/>
          <w:sz w:val="30"/>
          <w:szCs w:val="30"/>
        </w:rPr>
        <w:t>，被告芜湖市市场监督管理局</w:t>
      </w:r>
      <w:r>
        <w:rPr>
          <w:rFonts w:ascii="仿宋" w:hAnsi="仿宋" w:eastAsia="仿宋"/>
          <w:sz w:val="30"/>
          <w:szCs w:val="30"/>
        </w:rPr>
        <w:t>依法向</w:t>
      </w:r>
      <w:r>
        <w:rPr>
          <w:rFonts w:hint="eastAsia" w:ascii="仿宋" w:hAnsi="仿宋" w:eastAsia="仿宋"/>
          <w:sz w:val="30"/>
          <w:szCs w:val="30"/>
        </w:rPr>
        <w:t>芜湖和联购物中心有限公司</w:t>
      </w:r>
      <w:r>
        <w:rPr>
          <w:rFonts w:ascii="仿宋" w:hAnsi="仿宋" w:eastAsia="仿宋"/>
          <w:sz w:val="30"/>
          <w:szCs w:val="30"/>
        </w:rPr>
        <w:t>送达了《行政处罚听证告知书》（芜市监市听告〔2021〕11-1-35号），告知其有提出陈述、申辩意见或听证申请的权利，</w:t>
      </w:r>
      <w:r>
        <w:rPr>
          <w:rFonts w:hint="eastAsia" w:ascii="仿宋" w:hAnsi="仿宋" w:eastAsia="仿宋"/>
          <w:sz w:val="30"/>
          <w:szCs w:val="30"/>
        </w:rPr>
        <w:t>芜湖和联购物中心有限公司</w:t>
      </w:r>
      <w:r>
        <w:rPr>
          <w:rFonts w:ascii="仿宋" w:hAnsi="仿宋" w:eastAsia="仿宋"/>
          <w:sz w:val="30"/>
          <w:szCs w:val="30"/>
        </w:rPr>
        <w:t>在规定期限内未提出陈述、申辩意见或听证申请。2021年12月23日，</w:t>
      </w:r>
      <w:r>
        <w:rPr>
          <w:rFonts w:hint="eastAsia" w:ascii="仿宋" w:hAnsi="仿宋" w:eastAsia="仿宋"/>
          <w:sz w:val="30"/>
          <w:szCs w:val="30"/>
        </w:rPr>
        <w:t>芜湖市市场监督管理局</w:t>
      </w:r>
      <w:r>
        <w:rPr>
          <w:rFonts w:ascii="仿宋" w:hAnsi="仿宋" w:eastAsia="仿宋"/>
          <w:sz w:val="30"/>
          <w:szCs w:val="30"/>
        </w:rPr>
        <w:t>向</w:t>
      </w:r>
      <w:r>
        <w:rPr>
          <w:rFonts w:hint="eastAsia" w:ascii="仿宋" w:hAnsi="仿宋" w:eastAsia="仿宋"/>
          <w:sz w:val="30"/>
          <w:szCs w:val="30"/>
        </w:rPr>
        <w:t>芜湖和联购物中心有限公司送达</w:t>
      </w:r>
      <w:r>
        <w:rPr>
          <w:rFonts w:ascii="仿宋" w:hAnsi="仿宋" w:eastAsia="仿宋"/>
          <w:sz w:val="30"/>
          <w:szCs w:val="30"/>
        </w:rPr>
        <w:t>《行政处罚决定书》</w:t>
      </w:r>
      <w:r>
        <w:rPr>
          <w:rFonts w:hint="eastAsia" w:ascii="仿宋" w:hAnsi="仿宋" w:eastAsia="仿宋"/>
          <w:sz w:val="30"/>
          <w:szCs w:val="30"/>
        </w:rPr>
        <w:t>（芜市监市罚〔2021〕11-61号）</w:t>
      </w:r>
      <w:r>
        <w:rPr>
          <w:rFonts w:ascii="仿宋" w:hAnsi="仿宋" w:eastAsia="仿宋"/>
          <w:sz w:val="30"/>
          <w:szCs w:val="30"/>
        </w:rPr>
        <w:t>，责令</w:t>
      </w:r>
      <w:r>
        <w:rPr>
          <w:rFonts w:hint="eastAsia" w:ascii="仿宋" w:hAnsi="仿宋" w:eastAsia="仿宋"/>
          <w:sz w:val="30"/>
          <w:szCs w:val="30"/>
        </w:rPr>
        <w:t>芜湖和联购物中心有限公司</w:t>
      </w:r>
      <w:r>
        <w:rPr>
          <w:rFonts w:ascii="仿宋" w:hAnsi="仿宋" w:eastAsia="仿宋"/>
          <w:sz w:val="30"/>
          <w:szCs w:val="30"/>
        </w:rPr>
        <w:t>改正违法行为，并作出</w:t>
      </w:r>
      <w:r>
        <w:rPr>
          <w:rFonts w:hint="eastAsia" w:ascii="仿宋" w:hAnsi="仿宋" w:eastAsia="仿宋"/>
          <w:sz w:val="30"/>
          <w:szCs w:val="30"/>
        </w:rPr>
        <w:t>如下</w:t>
      </w:r>
      <w:r>
        <w:rPr>
          <w:rFonts w:ascii="仿宋" w:hAnsi="仿宋" w:eastAsia="仿宋"/>
          <w:sz w:val="30"/>
          <w:szCs w:val="30"/>
        </w:rPr>
        <w:t>行政处罚</w:t>
      </w:r>
      <w:r>
        <w:rPr>
          <w:rFonts w:hint="eastAsia" w:ascii="仿宋" w:hAnsi="仿宋" w:eastAsia="仿宋"/>
          <w:sz w:val="30"/>
          <w:szCs w:val="30"/>
        </w:rPr>
        <w:t>：</w:t>
      </w:r>
      <w:r>
        <w:rPr>
          <w:rFonts w:ascii="仿宋" w:hAnsi="仿宋" w:eastAsia="仿宋"/>
          <w:sz w:val="30"/>
          <w:szCs w:val="30"/>
        </w:rPr>
        <w:t>1</w:t>
      </w:r>
      <w:r>
        <w:rPr>
          <w:rFonts w:hint="eastAsia" w:ascii="仿宋" w:hAnsi="仿宋" w:eastAsia="仿宋"/>
          <w:sz w:val="30"/>
          <w:szCs w:val="30"/>
        </w:rPr>
        <w:t>.</w:t>
      </w:r>
      <w:r>
        <w:rPr>
          <w:rFonts w:ascii="仿宋" w:hAnsi="仿宋" w:eastAsia="仿宋"/>
          <w:sz w:val="30"/>
          <w:szCs w:val="30"/>
        </w:rPr>
        <w:t>没收涉案</w:t>
      </w:r>
      <w:r>
        <w:rPr>
          <w:rFonts w:hint="eastAsia" w:ascii="仿宋" w:hAnsi="仿宋" w:eastAsia="仿宋"/>
          <w:sz w:val="30"/>
          <w:szCs w:val="30"/>
        </w:rPr>
        <w:t>“</w:t>
      </w:r>
      <w:r>
        <w:rPr>
          <w:rFonts w:ascii="仿宋" w:hAnsi="仿宋" w:eastAsia="仿宋"/>
          <w:sz w:val="30"/>
          <w:szCs w:val="30"/>
        </w:rPr>
        <w:t>卡迪欧</w:t>
      </w:r>
      <w:r>
        <w:rPr>
          <w:rFonts w:eastAsia="仿宋"/>
          <w:sz w:val="30"/>
          <w:szCs w:val="30"/>
        </w:rPr>
        <w:t>®</w:t>
      </w:r>
      <w:r>
        <w:rPr>
          <w:rFonts w:hint="eastAsia" w:ascii="仿宋" w:hAnsi="仿宋" w:eastAsia="仿宋"/>
          <w:sz w:val="30"/>
          <w:szCs w:val="30"/>
        </w:rPr>
        <w:t>”</w:t>
      </w:r>
      <w:r>
        <w:rPr>
          <w:rFonts w:ascii="仿宋" w:hAnsi="仿宋" w:eastAsia="仿宋"/>
          <w:sz w:val="30"/>
          <w:szCs w:val="30"/>
        </w:rPr>
        <w:t>洗发乳液（产品名称：祛屑清爽洗发乳液、商标：</w:t>
      </w:r>
      <w:r>
        <w:rPr>
          <w:rFonts w:ascii="仿宋" w:hAnsi="仿宋" w:eastAsia="仿宋"/>
          <w:sz w:val="30"/>
          <w:szCs w:val="30"/>
        </w:rPr>
        <w:drawing>
          <wp:inline distT="0" distB="0" distL="0" distR="0">
            <wp:extent cx="497840" cy="323850"/>
            <wp:effectExtent l="19050" t="0" r="0" b="0"/>
            <wp:docPr id="13" name="图片 13" descr="1648196836(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1648196836(1)"/>
                    <pic:cNvPicPr>
                      <a:picLocks noChangeAspect="true" noChangeArrowheads="true"/>
                    </pic:cNvPicPr>
                  </pic:nvPicPr>
                  <pic:blipFill>
                    <a:blip r:embed="rId11"/>
                    <a:srcRect/>
                    <a:stretch>
                      <a:fillRect/>
                    </a:stretch>
                  </pic:blipFill>
                  <pic:spPr>
                    <a:xfrm>
                      <a:off x="0" y="0"/>
                      <a:ext cx="497840" cy="323850"/>
                    </a:xfrm>
                    <a:prstGeom prst="rect">
                      <a:avLst/>
                    </a:prstGeom>
                    <a:noFill/>
                    <a:ln w="9525">
                      <a:noFill/>
                      <a:miter lim="800000"/>
                      <a:headEnd/>
                      <a:tailEnd/>
                    </a:ln>
                  </pic:spPr>
                </pic:pic>
              </a:graphicData>
            </a:graphic>
          </wp:inline>
        </w:drawing>
      </w:r>
      <w:r>
        <w:rPr>
          <w:rFonts w:hint="eastAsia" w:ascii="仿宋" w:hAnsi="仿宋" w:eastAsia="仿宋"/>
          <w:sz w:val="30"/>
          <w:szCs w:val="30"/>
        </w:rPr>
        <w:t>、</w:t>
      </w:r>
      <w:r>
        <w:rPr>
          <w:rFonts w:ascii="仿宋" w:hAnsi="仿宋" w:eastAsia="仿宋"/>
          <w:sz w:val="30"/>
          <w:szCs w:val="30"/>
        </w:rPr>
        <w:t>生产日期：20210106、净含量：800ml）共计1140瓶；2.没收违法所得294元，上缴国库</w:t>
      </w:r>
      <w:r>
        <w:rPr>
          <w:rFonts w:hint="eastAsia" w:ascii="仿宋" w:hAnsi="仿宋" w:eastAsia="仿宋"/>
          <w:sz w:val="30"/>
          <w:szCs w:val="30"/>
        </w:rPr>
        <w:t>；</w:t>
      </w:r>
      <w:r>
        <w:rPr>
          <w:rFonts w:ascii="仿宋" w:hAnsi="仿宋" w:eastAsia="仿宋"/>
          <w:sz w:val="30"/>
          <w:szCs w:val="30"/>
        </w:rPr>
        <w:t>3</w:t>
      </w:r>
      <w:r>
        <w:rPr>
          <w:rFonts w:hint="eastAsia" w:ascii="仿宋" w:hAnsi="仿宋" w:eastAsia="仿宋"/>
          <w:sz w:val="30"/>
          <w:szCs w:val="30"/>
        </w:rPr>
        <w:t>.</w:t>
      </w:r>
      <w:r>
        <w:rPr>
          <w:rFonts w:ascii="仿宋" w:hAnsi="仿宋" w:eastAsia="仿宋"/>
          <w:sz w:val="30"/>
          <w:szCs w:val="30"/>
        </w:rPr>
        <w:t>罚款20280元，上缴国库</w:t>
      </w:r>
      <w:r>
        <w:rPr>
          <w:rFonts w:hint="eastAsia" w:ascii="仿宋" w:hAnsi="仿宋" w:eastAsia="仿宋"/>
          <w:sz w:val="30"/>
          <w:szCs w:val="30"/>
        </w:rPr>
        <w:t>。2022年2月17日，原告可若夕雨化妆品公司向被告芜湖市人民政府申请行政复议。2022年5月25日，被告芜湖市人民政府作出芜市行复字</w:t>
      </w:r>
      <w:r>
        <w:rPr>
          <w:rFonts w:ascii="仿宋" w:hAnsi="仿宋" w:eastAsia="仿宋"/>
          <w:sz w:val="30"/>
          <w:szCs w:val="30"/>
        </w:rPr>
        <w:t>芜市行复字〔202</w:t>
      </w:r>
      <w:r>
        <w:rPr>
          <w:rFonts w:hint="eastAsia" w:ascii="仿宋" w:hAnsi="仿宋" w:eastAsia="仿宋"/>
          <w:sz w:val="30"/>
          <w:szCs w:val="30"/>
        </w:rPr>
        <w:t>2</w:t>
      </w:r>
      <w:r>
        <w:rPr>
          <w:rFonts w:ascii="仿宋" w:hAnsi="仿宋" w:eastAsia="仿宋"/>
          <w:sz w:val="30"/>
          <w:szCs w:val="30"/>
        </w:rPr>
        <w:t>〕</w:t>
      </w:r>
      <w:r>
        <w:rPr>
          <w:rFonts w:hint="eastAsia" w:ascii="仿宋" w:hAnsi="仿宋" w:eastAsia="仿宋"/>
          <w:sz w:val="30"/>
          <w:szCs w:val="30"/>
        </w:rPr>
        <w:t>15</w:t>
      </w:r>
      <w:r>
        <w:rPr>
          <w:rFonts w:ascii="仿宋" w:hAnsi="仿宋" w:eastAsia="仿宋"/>
          <w:sz w:val="30"/>
          <w:szCs w:val="30"/>
        </w:rPr>
        <w:t>号</w:t>
      </w:r>
      <w:r>
        <w:rPr>
          <w:rFonts w:hint="eastAsia" w:ascii="仿宋" w:hAnsi="仿宋" w:eastAsia="仿宋"/>
          <w:sz w:val="30"/>
          <w:szCs w:val="30"/>
        </w:rPr>
        <w:t>《行政复议决定书》，维持上述《行政处罚决定书》。</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另查明，</w:t>
      </w:r>
      <w:r>
        <w:rPr>
          <w:rFonts w:ascii="仿宋" w:hAnsi="仿宋" w:eastAsia="仿宋"/>
          <w:sz w:val="30"/>
          <w:szCs w:val="30"/>
        </w:rPr>
        <w:t>广州澳芙化妆品有限公司</w:t>
      </w:r>
      <w:r>
        <w:rPr>
          <w:rFonts w:hint="eastAsia" w:ascii="仿宋" w:hAnsi="仿宋" w:eastAsia="仿宋"/>
          <w:sz w:val="30"/>
          <w:szCs w:val="30"/>
        </w:rPr>
        <w:t>成立于2013年7月2日，于</w:t>
      </w:r>
      <w:r>
        <w:rPr>
          <w:rFonts w:ascii="仿宋" w:hAnsi="仿宋" w:eastAsia="仿宋"/>
          <w:sz w:val="30"/>
          <w:szCs w:val="30"/>
        </w:rPr>
        <w:t>2015年1月22日变更企业名称为广州阿道夫个人护理用品有限公司</w:t>
      </w:r>
      <w:r>
        <w:rPr>
          <w:rFonts w:hint="eastAsia" w:ascii="仿宋" w:hAnsi="仿宋" w:eastAsia="仿宋"/>
          <w:sz w:val="30"/>
          <w:szCs w:val="30"/>
        </w:rPr>
        <w:t>，经营范围包括商品批发贸易，化工产品批发，化妆品及卫生用品批发、零售，货物进出口，技术进出口等。</w:t>
      </w:r>
      <w:r>
        <w:rPr>
          <w:rFonts w:ascii="仿宋" w:hAnsi="仿宋" w:eastAsia="仿宋"/>
          <w:sz w:val="30"/>
          <w:szCs w:val="30"/>
        </w:rPr>
        <w:t xml:space="preserve"> </w:t>
      </w:r>
      <w:r>
        <w:rPr>
          <w:rFonts w:hint="eastAsia" w:ascii="仿宋" w:hAnsi="仿宋" w:eastAsia="仿宋"/>
          <w:sz w:val="30"/>
          <w:szCs w:val="30"/>
        </w:rPr>
        <w:t>2011年7月21日，</w:t>
      </w:r>
      <w:r>
        <w:rPr>
          <w:rFonts w:ascii="仿宋" w:hAnsi="仿宋" w:eastAsia="仿宋"/>
          <w:sz w:val="30"/>
          <w:szCs w:val="30"/>
        </w:rPr>
        <w:t>陈殿松</w:t>
      </w:r>
      <w:r>
        <w:rPr>
          <w:rFonts w:hint="eastAsia" w:ascii="仿宋" w:hAnsi="仿宋" w:eastAsia="仿宋"/>
          <w:sz w:val="30"/>
          <w:szCs w:val="30"/>
        </w:rPr>
        <w:t>经商标局核准注册了</w:t>
      </w:r>
      <w:r>
        <w:rPr>
          <w:rFonts w:ascii="仿宋" w:hAnsi="仿宋" w:eastAsia="仿宋"/>
          <w:sz w:val="30"/>
          <w:szCs w:val="30"/>
        </w:rPr>
        <w:t>第8457568号“阿道夫”</w:t>
      </w:r>
      <w:r>
        <w:rPr>
          <w:rFonts w:hint="eastAsia" w:ascii="仿宋" w:hAnsi="仿宋" w:eastAsia="仿宋"/>
          <w:sz w:val="30"/>
          <w:szCs w:val="30"/>
        </w:rPr>
        <w:t>文字</w:t>
      </w:r>
      <w:r>
        <w:rPr>
          <w:rFonts w:ascii="仿宋" w:hAnsi="仿宋" w:eastAsia="仿宋"/>
          <w:sz w:val="30"/>
          <w:szCs w:val="30"/>
        </w:rPr>
        <w:t>商标</w:t>
      </w:r>
      <w:r>
        <w:rPr>
          <w:rFonts w:hint="eastAsia" w:ascii="仿宋" w:hAnsi="仿宋" w:eastAsia="仿宋"/>
          <w:sz w:val="30"/>
          <w:szCs w:val="30"/>
        </w:rPr>
        <w:t>，</w:t>
      </w:r>
      <w:r>
        <w:rPr>
          <w:rFonts w:ascii="仿宋" w:hAnsi="仿宋" w:eastAsia="仿宋"/>
          <w:sz w:val="30"/>
          <w:szCs w:val="30"/>
        </w:rPr>
        <w:t>核定使用商品第3类：化妆品；洗发液；去斑霜；洗涤剂；洗洁精；上光剂；干花瓣与香料的混合物（香料）；动物用化妆品；香精油；牙膏，</w:t>
      </w:r>
      <w:r>
        <w:rPr>
          <w:rFonts w:hint="eastAsia" w:ascii="仿宋" w:hAnsi="仿宋" w:eastAsia="仿宋"/>
          <w:sz w:val="30"/>
          <w:szCs w:val="30"/>
        </w:rPr>
        <w:t>注册</w:t>
      </w:r>
      <w:r>
        <w:rPr>
          <w:rFonts w:ascii="仿宋" w:hAnsi="仿宋" w:eastAsia="仿宋"/>
          <w:sz w:val="30"/>
          <w:szCs w:val="30"/>
        </w:rPr>
        <w:t>有效期</w:t>
      </w:r>
      <w:r>
        <w:rPr>
          <w:rFonts w:hint="eastAsia" w:ascii="仿宋" w:hAnsi="仿宋" w:eastAsia="仿宋"/>
          <w:sz w:val="30"/>
          <w:szCs w:val="30"/>
        </w:rPr>
        <w:t>续展</w:t>
      </w:r>
      <w:r>
        <w:rPr>
          <w:rFonts w:ascii="仿宋" w:hAnsi="仿宋" w:eastAsia="仿宋"/>
          <w:sz w:val="30"/>
          <w:szCs w:val="30"/>
        </w:rPr>
        <w:t>至2031年07月20日</w:t>
      </w:r>
      <w:r>
        <w:rPr>
          <w:rFonts w:hint="eastAsia" w:ascii="仿宋" w:hAnsi="仿宋" w:eastAsia="仿宋"/>
          <w:sz w:val="30"/>
          <w:szCs w:val="30"/>
        </w:rPr>
        <w:t>。2017年3月7日，</w:t>
      </w:r>
      <w:r>
        <w:rPr>
          <w:rFonts w:ascii="仿宋" w:hAnsi="仿宋" w:eastAsia="仿宋"/>
          <w:sz w:val="30"/>
          <w:szCs w:val="30"/>
        </w:rPr>
        <w:t>陈殿松</w:t>
      </w:r>
      <w:r>
        <w:rPr>
          <w:rFonts w:hint="eastAsia" w:ascii="仿宋" w:hAnsi="仿宋" w:eastAsia="仿宋"/>
          <w:sz w:val="30"/>
          <w:szCs w:val="30"/>
        </w:rPr>
        <w:t>经核准注册了</w:t>
      </w:r>
      <w:r>
        <w:rPr>
          <w:rFonts w:ascii="仿宋" w:hAnsi="仿宋" w:eastAsia="仿宋"/>
          <w:sz w:val="30"/>
          <w:szCs w:val="30"/>
        </w:rPr>
        <w:t>第19025625号“</w:t>
      </w:r>
      <w:r>
        <w:rPr>
          <w:rFonts w:ascii="仿宋" w:hAnsi="仿宋" w:eastAsia="仿宋"/>
          <w:sz w:val="30"/>
          <w:szCs w:val="30"/>
        </w:rPr>
        <w:drawing>
          <wp:inline distT="0" distB="0" distL="0" distR="0">
            <wp:extent cx="225425" cy="323850"/>
            <wp:effectExtent l="19050" t="0" r="3175" b="0"/>
            <wp:docPr id="14" name="图片 10" descr="164845892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0" descr="1648458923(1)"/>
                    <pic:cNvPicPr>
                      <a:picLocks noChangeAspect="true" noChangeArrowheads="true"/>
                    </pic:cNvPicPr>
                  </pic:nvPicPr>
                  <pic:blipFill>
                    <a:blip r:embed="rId12"/>
                    <a:srcRect/>
                    <a:stretch>
                      <a:fillRect/>
                    </a:stretch>
                  </pic:blipFill>
                  <pic:spPr>
                    <a:xfrm>
                      <a:off x="0" y="0"/>
                      <a:ext cx="225425" cy="323850"/>
                    </a:xfrm>
                    <a:prstGeom prst="rect">
                      <a:avLst/>
                    </a:prstGeom>
                    <a:noFill/>
                    <a:ln w="9525">
                      <a:noFill/>
                      <a:miter lim="800000"/>
                      <a:headEnd/>
                      <a:tailEnd/>
                    </a:ln>
                  </pic:spPr>
                </pic:pic>
              </a:graphicData>
            </a:graphic>
          </wp:inline>
        </w:drawing>
      </w:r>
      <w:r>
        <w:rPr>
          <w:rFonts w:ascii="仿宋" w:hAnsi="仿宋" w:eastAsia="仿宋"/>
          <w:sz w:val="30"/>
          <w:szCs w:val="30"/>
        </w:rPr>
        <w:t>”图案商标，核定使用商品第3类：染发剂；烫发剂；化妆品；洁肤乳液；洗发液；乌发乳；香波；柔发剂；摩丝；护发素</w:t>
      </w:r>
      <w:r>
        <w:rPr>
          <w:rFonts w:hint="eastAsia" w:ascii="仿宋" w:hAnsi="仿宋" w:eastAsia="仿宋"/>
          <w:sz w:val="30"/>
          <w:szCs w:val="30"/>
        </w:rPr>
        <w:t>，注册有效期至2027年3月6日</w:t>
      </w:r>
      <w:r>
        <w:rPr>
          <w:rFonts w:ascii="仿宋" w:hAnsi="仿宋" w:eastAsia="仿宋"/>
          <w:sz w:val="30"/>
          <w:szCs w:val="30"/>
        </w:rPr>
        <w:t>。</w:t>
      </w:r>
      <w:r>
        <w:rPr>
          <w:rFonts w:hint="eastAsia" w:ascii="仿宋" w:hAnsi="仿宋" w:eastAsia="仿宋"/>
          <w:sz w:val="30"/>
          <w:szCs w:val="30"/>
        </w:rPr>
        <w:t>2019年6月14日，</w:t>
      </w:r>
      <w:r>
        <w:rPr>
          <w:rFonts w:ascii="仿宋" w:hAnsi="仿宋" w:eastAsia="仿宋"/>
          <w:sz w:val="30"/>
          <w:szCs w:val="30"/>
        </w:rPr>
        <w:t>陈殿松</w:t>
      </w:r>
      <w:r>
        <w:rPr>
          <w:rFonts w:hint="eastAsia" w:ascii="仿宋" w:hAnsi="仿宋" w:eastAsia="仿宋"/>
          <w:sz w:val="30"/>
          <w:szCs w:val="30"/>
        </w:rPr>
        <w:t>经国家知识产权局核准注册了</w:t>
      </w:r>
      <w:r>
        <w:rPr>
          <w:rFonts w:ascii="仿宋" w:hAnsi="仿宋" w:eastAsia="仿宋"/>
          <w:sz w:val="30"/>
          <w:szCs w:val="30"/>
        </w:rPr>
        <w:t>第</w:t>
      </w:r>
      <w:r>
        <w:rPr>
          <w:rFonts w:hint="eastAsia" w:ascii="仿宋" w:hAnsi="仿宋" w:eastAsia="仿宋"/>
          <w:sz w:val="30"/>
          <w:szCs w:val="30"/>
        </w:rPr>
        <w:t>32722930</w:t>
      </w:r>
      <w:r>
        <w:rPr>
          <w:rFonts w:ascii="仿宋" w:hAnsi="仿宋" w:eastAsia="仿宋"/>
          <w:sz w:val="30"/>
          <w:szCs w:val="30"/>
        </w:rPr>
        <w:t>号“阿道夫”</w:t>
      </w:r>
      <w:r>
        <w:rPr>
          <w:rFonts w:hint="eastAsia" w:ascii="仿宋" w:hAnsi="仿宋" w:eastAsia="仿宋"/>
          <w:sz w:val="30"/>
          <w:szCs w:val="30"/>
        </w:rPr>
        <w:t>文字</w:t>
      </w:r>
      <w:r>
        <w:rPr>
          <w:rFonts w:ascii="仿宋" w:hAnsi="仿宋" w:eastAsia="仿宋"/>
          <w:sz w:val="30"/>
          <w:szCs w:val="30"/>
        </w:rPr>
        <w:t>商标</w:t>
      </w:r>
      <w:r>
        <w:rPr>
          <w:rFonts w:hint="eastAsia" w:ascii="仿宋" w:hAnsi="仿宋" w:eastAsia="仿宋"/>
          <w:sz w:val="30"/>
          <w:szCs w:val="30"/>
        </w:rPr>
        <w:t>，</w:t>
      </w:r>
      <w:r>
        <w:rPr>
          <w:rFonts w:ascii="仿宋" w:hAnsi="仿宋" w:eastAsia="仿宋"/>
          <w:sz w:val="30"/>
          <w:szCs w:val="30"/>
        </w:rPr>
        <w:t>核定使用商品第3类：</w:t>
      </w:r>
      <w:r>
        <w:rPr>
          <w:rFonts w:hint="eastAsia" w:ascii="仿宋" w:hAnsi="仿宋" w:eastAsia="仿宋"/>
          <w:sz w:val="30"/>
          <w:szCs w:val="30"/>
        </w:rPr>
        <w:t>润发乳；洗发液；护发素；柔发剂等，注册</w:t>
      </w:r>
      <w:r>
        <w:rPr>
          <w:rFonts w:ascii="仿宋" w:hAnsi="仿宋" w:eastAsia="仿宋"/>
          <w:sz w:val="30"/>
          <w:szCs w:val="30"/>
        </w:rPr>
        <w:t>有效期至2</w:t>
      </w:r>
      <w:r>
        <w:rPr>
          <w:rFonts w:hint="eastAsia" w:ascii="仿宋" w:hAnsi="仿宋" w:eastAsia="仿宋"/>
          <w:sz w:val="30"/>
          <w:szCs w:val="30"/>
        </w:rPr>
        <w:t>029</w:t>
      </w:r>
      <w:r>
        <w:rPr>
          <w:rFonts w:ascii="仿宋" w:hAnsi="仿宋" w:eastAsia="仿宋"/>
          <w:sz w:val="30"/>
          <w:szCs w:val="30"/>
        </w:rPr>
        <w:t>年</w:t>
      </w:r>
      <w:r>
        <w:rPr>
          <w:rFonts w:hint="eastAsia" w:ascii="仿宋" w:hAnsi="仿宋" w:eastAsia="仿宋"/>
          <w:sz w:val="30"/>
          <w:szCs w:val="30"/>
        </w:rPr>
        <w:t>6</w:t>
      </w:r>
      <w:r>
        <w:rPr>
          <w:rFonts w:ascii="仿宋" w:hAnsi="仿宋" w:eastAsia="仿宋"/>
          <w:sz w:val="30"/>
          <w:szCs w:val="30"/>
        </w:rPr>
        <w:t>月</w:t>
      </w:r>
      <w:r>
        <w:rPr>
          <w:rFonts w:hint="eastAsia" w:ascii="仿宋" w:hAnsi="仿宋" w:eastAsia="仿宋"/>
          <w:sz w:val="30"/>
          <w:szCs w:val="30"/>
        </w:rPr>
        <w:t>13</w:t>
      </w:r>
      <w:r>
        <w:rPr>
          <w:rFonts w:ascii="仿宋" w:hAnsi="仿宋" w:eastAsia="仿宋"/>
          <w:sz w:val="30"/>
          <w:szCs w:val="30"/>
        </w:rPr>
        <w:t>日</w:t>
      </w:r>
      <w:r>
        <w:rPr>
          <w:rFonts w:hint="eastAsia" w:ascii="仿宋" w:hAnsi="仿宋" w:eastAsia="仿宋"/>
          <w:sz w:val="30"/>
          <w:szCs w:val="30"/>
        </w:rPr>
        <w:t>。</w:t>
      </w:r>
      <w:r>
        <w:rPr>
          <w:rFonts w:ascii="仿宋" w:hAnsi="仿宋" w:eastAsia="仿宋"/>
          <w:sz w:val="30"/>
          <w:szCs w:val="30"/>
        </w:rPr>
        <w:t>上述商标均由陈殿松许可广州阿道夫个人护理用品有限公司使用。广州阿道夫个人护理用品有限公司提供的《权属确认书》显示，陈殿松受其委托，主导设计了“阿道夫”洗护产品的包装、装潢，其主要设计特征为：1.瓶身整体颜色为米色，赋予产品温暖、简约、自然的格调；2.从上到下，瓶身正面上部为酒红色短矩形及黑色的长矩形组合的图形；3.瓶身中上部有两排分布的商品类型英文；4</w:t>
      </w:r>
      <w:r>
        <w:rPr>
          <w:rFonts w:hint="eastAsia" w:ascii="仿宋" w:hAnsi="仿宋" w:eastAsia="仿宋"/>
          <w:sz w:val="30"/>
          <w:szCs w:val="30"/>
        </w:rPr>
        <w:t>.</w:t>
      </w:r>
      <w:r>
        <w:rPr>
          <w:rFonts w:ascii="仿宋" w:hAnsi="仿宋" w:eastAsia="仿宋"/>
          <w:sz w:val="30"/>
          <w:szCs w:val="30"/>
        </w:rPr>
        <w:t>瓶身正面中部单独有一个黑色的人物剪影，人物剪影占据中部较大比例，视觉效果突出；5.瓶身正面下部为产品文字介绍，文字左右分布，其中文字介绍左边有一列竖向且字体放大的英文，右边则为较小的横排中文和英文文字介绍。</w:t>
      </w:r>
      <w:r>
        <w:rPr>
          <w:rFonts w:hint="eastAsia" w:ascii="仿宋" w:hAnsi="仿宋" w:eastAsia="仿宋"/>
          <w:sz w:val="30"/>
          <w:szCs w:val="30"/>
        </w:rPr>
        <w:t xml:space="preserve">  </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“阿道夫”品牌自创立至今，经过持续使用、宣传和推广，获得众多荣誉，中国美妆网、凤凰网、消费日报网、网易、中国时尚品牌网等网站刊登了多篇关于“阿道夫”品牌的宣传报道。</w:t>
      </w:r>
      <w:r>
        <w:rPr>
          <w:rFonts w:ascii="仿宋" w:hAnsi="仿宋" w:eastAsia="仿宋"/>
          <w:sz w:val="30"/>
          <w:szCs w:val="30"/>
        </w:rPr>
        <w:t>广州阿道夫个人护理用品有限公司</w:t>
      </w:r>
      <w:r>
        <w:rPr>
          <w:rFonts w:hint="eastAsia" w:ascii="仿宋" w:hAnsi="仿宋" w:eastAsia="仿宋"/>
          <w:sz w:val="30"/>
          <w:szCs w:val="30"/>
        </w:rPr>
        <w:t>自2013年至2020年获得多项荣誉奖牌，包括：2015年中国好产品、2016中国化妆品细分品类排行榜高端洗护品类TOP2、2016中国美妆年度十佳品牌、2017中国民营科技促进会会员证书、2017年度品质类大奖及洗护发品类大奖、2017年最受欢迎洗护品牌、2017中国美妆年度高端洗护标杆品牌、2018中华品牌商标博览会金奖、2018年京东超市双百亿俱乐部亿元品牌、2019年天猫金妆奖、2019中华品牌商标博览会金奖、2019年度城市影响力品牌、2019年度最佳贡献企业、2020武汉市慈善总会荣誉证书、2020京东新通路品牌商峰会开拓创新奖。</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还查明，原告可若夕雨公司成立于2018年12月5日，经营范围包括化妆品生产、消毒产品（危险化学品除外）生产、销售等。该公司于2020年4月21日经国家知识产权局核准注册了第40867629号</w:t>
      </w:r>
      <w:r>
        <w:rPr>
          <w:rFonts w:ascii="仿宋" w:hAnsi="仿宋" w:eastAsia="仿宋"/>
          <w:sz w:val="30"/>
          <w:szCs w:val="30"/>
        </w:rPr>
        <w:drawing>
          <wp:inline distT="0" distB="0" distL="0" distR="0">
            <wp:extent cx="497840" cy="323850"/>
            <wp:effectExtent l="19050" t="0" r="0" b="0"/>
            <wp:docPr id="15" name="图片 15" descr="1648196836(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1648196836(1)"/>
                    <pic:cNvPicPr>
                      <a:picLocks noChangeAspect="true" noChangeArrowheads="true"/>
                    </pic:cNvPicPr>
                  </pic:nvPicPr>
                  <pic:blipFill>
                    <a:blip r:embed="rId11"/>
                    <a:srcRect/>
                    <a:stretch>
                      <a:fillRect/>
                    </a:stretch>
                  </pic:blipFill>
                  <pic:spPr>
                    <a:xfrm>
                      <a:off x="0" y="0"/>
                      <a:ext cx="497840" cy="323850"/>
                    </a:xfrm>
                    <a:prstGeom prst="rect">
                      <a:avLst/>
                    </a:prstGeom>
                    <a:noFill/>
                    <a:ln w="9525">
                      <a:noFill/>
                      <a:miter lim="800000"/>
                      <a:headEnd/>
                      <a:tailEnd/>
                    </a:ln>
                  </pic:spPr>
                </pic:pic>
              </a:graphicData>
            </a:graphic>
          </wp:inline>
        </w:drawing>
      </w:r>
      <w:r>
        <w:rPr>
          <w:rFonts w:hint="eastAsia" w:ascii="仿宋" w:hAnsi="仿宋" w:eastAsia="仿宋"/>
          <w:sz w:val="30"/>
          <w:szCs w:val="30"/>
        </w:rPr>
        <w:t>商标，核定使用商品为第3类洗面奶、化妆品、洗发液等。2021年3月1日，孙敬雨对</w:t>
      </w:r>
      <w:r>
        <w:rPr>
          <w:rFonts w:ascii="仿宋" w:hAnsi="仿宋" w:eastAsia="仿宋"/>
          <w:sz w:val="30"/>
          <w:szCs w:val="30"/>
        </w:rPr>
        <w:drawing>
          <wp:inline distT="0" distB="0" distL="0" distR="0">
            <wp:extent cx="225425" cy="289560"/>
            <wp:effectExtent l="19050" t="0" r="3175" b="0"/>
            <wp:docPr id="16" name="图片 16" descr="1648458668(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descr="1648458668(1)"/>
                    <pic:cNvPicPr>
                      <a:picLocks noChangeAspect="true" noChangeArrowheads="true"/>
                    </pic:cNvPicPr>
                  </pic:nvPicPr>
                  <pic:blipFill>
                    <a:blip r:embed="rId7"/>
                    <a:srcRect/>
                    <a:stretch>
                      <a:fillRect/>
                    </a:stretch>
                  </pic:blipFill>
                  <pic:spPr>
                    <a:xfrm>
                      <a:off x="0" y="0"/>
                      <a:ext cx="225425" cy="289560"/>
                    </a:xfrm>
                    <a:prstGeom prst="rect">
                      <a:avLst/>
                    </a:prstGeom>
                    <a:noFill/>
                    <a:ln w="9525">
                      <a:noFill/>
                      <a:miter lim="800000"/>
                      <a:headEnd/>
                      <a:tailEnd/>
                    </a:ln>
                  </pic:spPr>
                </pic:pic>
              </a:graphicData>
            </a:graphic>
          </wp:inline>
        </w:drawing>
      </w:r>
      <w:r>
        <w:rPr>
          <w:rFonts w:ascii="仿宋" w:hAnsi="仿宋" w:eastAsia="仿宋"/>
          <w:sz w:val="30"/>
          <w:szCs w:val="30"/>
        </w:rPr>
        <w:t>黑色女性剪影图案</w:t>
      </w:r>
      <w:r>
        <w:rPr>
          <w:rFonts w:hint="eastAsia" w:ascii="仿宋" w:hAnsi="仿宋" w:eastAsia="仿宋"/>
          <w:sz w:val="30"/>
          <w:szCs w:val="30"/>
        </w:rPr>
        <w:t>在贵州省版权局进行了作品登记，作品登记证书显示创作完成时间2010年4月9日。广东省药品监督管理局向原告颁发的化妆品生产许可证有效期至2025年7月14日。</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芜湖和联购物中心有限公司成立于2014年1月，经营范围包括预包装食品兼散装食品、乳制品零售，土产日杂、服装鞋帽、水产品、五金交电、化工产品、通讯器材、玩具销售，保健食品经营零售，卷烟零售等。该公司除了在线上店铺</w:t>
      </w:r>
      <w:r>
        <w:rPr>
          <w:rFonts w:ascii="仿宋" w:hAnsi="仿宋" w:eastAsia="仿宋"/>
          <w:sz w:val="30"/>
          <w:szCs w:val="30"/>
        </w:rPr>
        <w:t>美团优选平台</w:t>
      </w:r>
      <w:r>
        <w:rPr>
          <w:rFonts w:hint="eastAsia" w:ascii="仿宋" w:hAnsi="仿宋" w:eastAsia="仿宋"/>
          <w:sz w:val="30"/>
          <w:szCs w:val="30"/>
        </w:rPr>
        <w:t>销售卡迪欧</w:t>
      </w:r>
      <w:r>
        <w:rPr>
          <w:rFonts w:ascii="仿宋" w:hAnsi="仿宋" w:eastAsia="仿宋"/>
          <w:sz w:val="30"/>
          <w:szCs w:val="30"/>
        </w:rPr>
        <w:t>洗发乳液</w:t>
      </w:r>
      <w:r>
        <w:rPr>
          <w:rFonts w:hint="eastAsia" w:ascii="仿宋" w:hAnsi="仿宋" w:eastAsia="仿宋"/>
          <w:sz w:val="30"/>
          <w:szCs w:val="30"/>
        </w:rPr>
        <w:t>外，还在其线下超市销售</w:t>
      </w:r>
      <w:r>
        <w:rPr>
          <w:rFonts w:ascii="仿宋" w:hAnsi="仿宋" w:eastAsia="仿宋"/>
          <w:sz w:val="30"/>
          <w:szCs w:val="30"/>
        </w:rPr>
        <w:t>“阿道夫”</w:t>
      </w:r>
      <w:r>
        <w:rPr>
          <w:rFonts w:hint="eastAsia" w:ascii="仿宋" w:hAnsi="仿宋" w:eastAsia="仿宋"/>
          <w:sz w:val="30"/>
          <w:szCs w:val="30"/>
        </w:rPr>
        <w:t>系列</w:t>
      </w:r>
      <w:r>
        <w:rPr>
          <w:rFonts w:ascii="仿宋" w:hAnsi="仿宋" w:eastAsia="仿宋"/>
          <w:sz w:val="30"/>
          <w:szCs w:val="30"/>
        </w:rPr>
        <w:t>洗护产品</w:t>
      </w:r>
      <w:r>
        <w:rPr>
          <w:rFonts w:hint="eastAsia" w:ascii="仿宋" w:hAnsi="仿宋" w:eastAsia="仿宋"/>
          <w:sz w:val="30"/>
          <w:szCs w:val="30"/>
        </w:rPr>
        <w:t>。芜湖和联购物中心有限公司对案涉处罚决定无异议且已履行完毕，并明确表示不作为本案第三人参加诉讼。</w:t>
      </w:r>
    </w:p>
    <w:p>
      <w:pPr>
        <w:spacing w:line="500" w:lineRule="exact"/>
        <w:ind w:firstLine="600" w:firstLineChars="200"/>
        <w:rPr>
          <w:rFonts w:ascii="仿宋" w:hAnsi="仿宋" w:eastAsia="仿宋"/>
          <w:sz w:val="30"/>
          <w:szCs w:val="30"/>
        </w:rPr>
      </w:pPr>
      <w:r>
        <w:rPr>
          <w:rFonts w:ascii="仿宋" w:hAnsi="仿宋" w:eastAsia="仿宋"/>
          <w:sz w:val="30"/>
          <w:szCs w:val="30"/>
        </w:rPr>
        <w:t>上述事实</w:t>
      </w:r>
      <w:r>
        <w:rPr>
          <w:rFonts w:hint="eastAsia" w:ascii="仿宋" w:hAnsi="仿宋" w:eastAsia="仿宋"/>
          <w:sz w:val="30"/>
          <w:szCs w:val="30"/>
        </w:rPr>
        <w:t>，</w:t>
      </w:r>
      <w:r>
        <w:rPr>
          <w:rFonts w:ascii="仿宋" w:hAnsi="仿宋" w:eastAsia="仿宋"/>
          <w:sz w:val="30"/>
          <w:szCs w:val="30"/>
        </w:rPr>
        <w:t>有阜南县市场监督管理局案件移送函</w:t>
      </w:r>
      <w:r>
        <w:rPr>
          <w:rFonts w:hint="eastAsia" w:ascii="仿宋" w:hAnsi="仿宋" w:eastAsia="仿宋"/>
          <w:sz w:val="30"/>
          <w:szCs w:val="30"/>
        </w:rPr>
        <w:t>、立案审批表、投诉书、鉴定书、现场检查照片、询问笔录、义乌市昌盈贸易有限公司发货单、</w:t>
      </w:r>
      <w:r>
        <w:rPr>
          <w:rFonts w:ascii="仿宋" w:hAnsi="仿宋" w:eastAsia="仿宋"/>
          <w:sz w:val="30"/>
          <w:szCs w:val="30"/>
        </w:rPr>
        <w:t>行政处罚听证告知书</w:t>
      </w:r>
      <w:r>
        <w:rPr>
          <w:rFonts w:hint="eastAsia" w:ascii="仿宋" w:hAnsi="仿宋" w:eastAsia="仿宋"/>
          <w:sz w:val="30"/>
          <w:szCs w:val="30"/>
        </w:rPr>
        <w:t>、</w:t>
      </w:r>
      <w:r>
        <w:rPr>
          <w:rFonts w:ascii="仿宋" w:hAnsi="仿宋" w:eastAsia="仿宋"/>
          <w:sz w:val="30"/>
          <w:szCs w:val="30"/>
        </w:rPr>
        <w:t>行政处罚决定书</w:t>
      </w:r>
      <w:r>
        <w:rPr>
          <w:rFonts w:hint="eastAsia" w:ascii="仿宋" w:hAnsi="仿宋" w:eastAsia="仿宋"/>
          <w:sz w:val="30"/>
          <w:szCs w:val="30"/>
        </w:rPr>
        <w:t>、送达回证、权属确认书、商标注册证</w:t>
      </w:r>
      <w:r>
        <w:rPr>
          <w:rFonts w:ascii="仿宋" w:hAnsi="仿宋" w:eastAsia="仿宋"/>
          <w:sz w:val="30"/>
          <w:szCs w:val="30"/>
        </w:rPr>
        <w:t>等证据材料</w:t>
      </w:r>
      <w:r>
        <w:rPr>
          <w:rFonts w:hint="eastAsia" w:ascii="仿宋" w:hAnsi="仿宋" w:eastAsia="仿宋"/>
          <w:sz w:val="30"/>
          <w:szCs w:val="30"/>
        </w:rPr>
        <w:t>在卷佐证。</w:t>
      </w:r>
    </w:p>
    <w:p>
      <w:pPr>
        <w:spacing w:line="500" w:lineRule="exact"/>
        <w:ind w:firstLine="600" w:firstLineChars="200"/>
        <w:outlineLvl w:val="0"/>
        <w:rPr>
          <w:rFonts w:ascii="仿宋" w:hAnsi="仿宋" w:eastAsia="仿宋"/>
          <w:sz w:val="30"/>
          <w:szCs w:val="30"/>
        </w:rPr>
      </w:pPr>
      <w:r>
        <w:rPr>
          <w:rFonts w:hint="eastAsia" w:ascii="仿宋" w:hAnsi="仿宋" w:eastAsia="仿宋"/>
          <w:sz w:val="30"/>
          <w:szCs w:val="30"/>
        </w:rPr>
        <w:t>本院认为，一、关于被告芜湖市市场监督管理局是否具备作出案涉行政处罚的执法主体资格和法定职权的问题。</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中华人民共和国反不正当竞争法》（以下简称反不正当竞争法）第十八条第一款规定，经营者违反本法第六条规定实施混淆行为的，由监督检查部门责令停止违法行为，没收违法商品。违法经营额五万元以上的，可以并处违法经营额五倍以下的罚款；没有违法经营额或者违法经营额不足五万元的，可以并处二十五万元以下的罚款。情节严重的，吊销营业执照。本案中，被告芜湖市市场监督管理局作为市场综合监督管理部门，对辖区内经营者涉嫌实施不正当竞争的行为有权进行查处，具有执法主体资格和法定职权。</w:t>
      </w:r>
    </w:p>
    <w:p>
      <w:pPr>
        <w:spacing w:line="500" w:lineRule="exact"/>
        <w:ind w:firstLine="600" w:firstLineChars="200"/>
        <w:outlineLvl w:val="1"/>
        <w:rPr>
          <w:rFonts w:ascii="仿宋" w:hAnsi="仿宋" w:eastAsia="仿宋"/>
          <w:sz w:val="30"/>
          <w:szCs w:val="30"/>
        </w:rPr>
      </w:pPr>
      <w:r>
        <w:rPr>
          <w:rFonts w:hint="eastAsia" w:ascii="仿宋" w:hAnsi="仿宋" w:eastAsia="仿宋"/>
          <w:sz w:val="30"/>
          <w:szCs w:val="30"/>
        </w:rPr>
        <w:t>二、关于被告芜湖市市场监督管理局所作出的案涉行政处罚决定事实认定是否清楚、证据是否确凿。</w:t>
      </w:r>
    </w:p>
    <w:p>
      <w:pPr>
        <w:spacing w:line="500" w:lineRule="exact"/>
        <w:ind w:firstLine="600" w:firstLineChars="200"/>
        <w:outlineLvl w:val="2"/>
        <w:rPr>
          <w:rFonts w:ascii="仿宋" w:hAnsi="仿宋" w:eastAsia="仿宋" w:cs="华文宋体"/>
          <w:kern w:val="0"/>
          <w:sz w:val="30"/>
          <w:szCs w:val="30"/>
        </w:rPr>
      </w:pPr>
      <w:r>
        <w:rPr>
          <w:rFonts w:hint="eastAsia" w:ascii="仿宋" w:hAnsi="仿宋" w:eastAsia="仿宋" w:cs="华文宋体"/>
          <w:kern w:val="0"/>
          <w:sz w:val="30"/>
          <w:szCs w:val="30"/>
        </w:rPr>
        <w:t>（一）芜湖和联购物中心有限公司是否实施了销售案涉“卡迪欧”洗发乳液的行为。</w:t>
      </w:r>
    </w:p>
    <w:p>
      <w:pPr>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原告可若夕雨公司提出阜南县市场监督管理局移送的投诉书中被投诉人是易倩倩，但易倩倩的身份不明，其与芜湖和联购物中心有限公司的关系不明，被告芜湖市市场监督管理局据此对芜湖和联购物中心有限公司作出行政处罚属于事实不清。本院认为，投诉书载明被投诉人易倩倩的地址位于阜南县四集镇东岳小区，阜南县市场监督管理局对该处进行了检查，查获案涉</w:t>
      </w:r>
      <w:r>
        <w:rPr>
          <w:rFonts w:ascii="仿宋" w:hAnsi="仿宋" w:eastAsia="仿宋" w:cs="仿宋"/>
          <w:sz w:val="30"/>
          <w:szCs w:val="30"/>
        </w:rPr>
        <w:t>“卡迪欧洗发乳液”</w:t>
      </w:r>
      <w:r>
        <w:rPr>
          <w:rFonts w:hint="eastAsia" w:ascii="仿宋" w:hAnsi="仿宋" w:eastAsia="仿宋" w:cs="仿宋"/>
          <w:sz w:val="30"/>
          <w:szCs w:val="30"/>
        </w:rPr>
        <w:t>1140瓶，根据易倩倩提供的商家收货单显示该部分商品的所有人为芜湖和联购物中心有限公司，此后，在</w:t>
      </w:r>
      <w:r>
        <w:rPr>
          <w:rFonts w:ascii="仿宋" w:hAnsi="仿宋" w:eastAsia="仿宋"/>
          <w:sz w:val="30"/>
          <w:szCs w:val="30"/>
        </w:rPr>
        <w:t>芜湖经济技术开发区市场监督管理局</w:t>
      </w:r>
      <w:r>
        <w:rPr>
          <w:rFonts w:hint="eastAsia" w:ascii="仿宋" w:hAnsi="仿宋" w:eastAsia="仿宋" w:cs="仿宋"/>
          <w:sz w:val="30"/>
          <w:szCs w:val="30"/>
        </w:rPr>
        <w:t>对芜湖和联购物中心有限公司的调查过程中，芜湖和联购物中心有限公司的委托人葛良飞对该事实亦明确认可，因此，被告芜湖市市场监督管理局根据投诉书并结合其他证据，查明芜湖和联购物中心有限公司销售了案涉“卡迪欧”洗发乳液，事实认定正确，易倩倩的身份并不影响案件事实认定，原告可若夕雨公司的该部分主张没有事实依据，本院不予支持。</w:t>
      </w:r>
    </w:p>
    <w:p>
      <w:pPr>
        <w:spacing w:line="500" w:lineRule="exact"/>
        <w:ind w:firstLine="600" w:firstLineChars="200"/>
        <w:outlineLvl w:val="2"/>
        <w:rPr>
          <w:rFonts w:ascii="仿宋" w:hAnsi="仿宋" w:eastAsia="仿宋" w:cs="仿宋"/>
          <w:bCs/>
          <w:sz w:val="30"/>
          <w:szCs w:val="30"/>
        </w:rPr>
      </w:pPr>
      <w:r>
        <w:rPr>
          <w:rFonts w:hint="eastAsia" w:ascii="仿宋" w:hAnsi="仿宋" w:eastAsia="仿宋" w:cs="华文宋体"/>
          <w:kern w:val="0"/>
          <w:sz w:val="30"/>
          <w:szCs w:val="30"/>
        </w:rPr>
        <w:t>（二）关于</w:t>
      </w:r>
      <w:r>
        <w:rPr>
          <w:rFonts w:hint="eastAsia" w:ascii="仿宋" w:hAnsi="仿宋" w:eastAsia="仿宋" w:cs="仿宋"/>
          <w:bCs/>
          <w:sz w:val="30"/>
          <w:szCs w:val="30"/>
        </w:rPr>
        <w:t>销售者是否属于反不正当竞争法规制的主体以及构成不正当竞争是否以存在竞争关系为前提。</w:t>
      </w:r>
    </w:p>
    <w:p>
      <w:pPr>
        <w:autoSpaceDE w:val="0"/>
        <w:autoSpaceDN w:val="0"/>
        <w:spacing w:line="500" w:lineRule="exact"/>
        <w:ind w:firstLine="600" w:firstLineChars="200"/>
        <w:rPr>
          <w:rFonts w:ascii="仿宋" w:hAnsi="仿宋" w:eastAsia="仿宋" w:cs="华文宋体"/>
          <w:kern w:val="0"/>
          <w:sz w:val="30"/>
          <w:szCs w:val="30"/>
        </w:rPr>
      </w:pPr>
      <w:r>
        <w:rPr>
          <w:rFonts w:hint="eastAsia" w:ascii="仿宋" w:hAnsi="仿宋" w:eastAsia="仿宋" w:cs="华文宋体"/>
          <w:kern w:val="0"/>
          <w:sz w:val="30"/>
          <w:szCs w:val="30"/>
        </w:rPr>
        <w:t>原告可若夕雨公司认为芜湖和联购物中心有限公司是末端销售商</w:t>
      </w:r>
      <w:r>
        <w:rPr>
          <w:rFonts w:ascii="仿宋" w:hAnsi="仿宋" w:eastAsia="仿宋" w:cs="华文宋体"/>
          <w:kern w:val="0"/>
          <w:sz w:val="30"/>
          <w:szCs w:val="30"/>
        </w:rPr>
        <w:t>，</w:t>
      </w:r>
      <w:r>
        <w:rPr>
          <w:rFonts w:hint="eastAsia" w:ascii="仿宋" w:hAnsi="仿宋" w:eastAsia="仿宋" w:cs="华文宋体"/>
          <w:kern w:val="0"/>
          <w:sz w:val="30"/>
          <w:szCs w:val="30"/>
        </w:rPr>
        <w:t>没有生产能力，没有包装和宣传，无法与另一个商品的生产商形成竞争关系，被告芜湖市市场监督管理局认定芜湖和联购物中心有限公司构成不正当竞争属于适用法律错误。本院认为，</w:t>
      </w:r>
      <w:r>
        <w:rPr>
          <w:rFonts w:ascii="仿宋" w:hAnsi="仿宋" w:eastAsia="仿宋" w:cs="仿宋"/>
          <w:sz w:val="30"/>
          <w:szCs w:val="30"/>
        </w:rPr>
        <w:t>《</w:t>
      </w:r>
      <w:r>
        <w:fldChar w:fldCharType="begin"/>
      </w:r>
      <w:r>
        <w:instrText xml:space="preserve"> HYPERLINK "https://law.wkinfo.com.cn/document/show?collection=legislation&amp;aid=MTAwMTE1Njc2NTg%3D&amp;language=中文" </w:instrText>
      </w:r>
      <w:r>
        <w:fldChar w:fldCharType="separate"/>
      </w:r>
      <w:r>
        <w:rPr>
          <w:rFonts w:ascii="仿宋" w:hAnsi="仿宋" w:eastAsia="仿宋" w:cs="仿宋"/>
          <w:sz w:val="30"/>
          <w:szCs w:val="30"/>
        </w:rPr>
        <w:t>反不正当竞争法</w:t>
      </w:r>
      <w:r>
        <w:rPr>
          <w:rFonts w:ascii="仿宋" w:hAnsi="仿宋" w:eastAsia="仿宋" w:cs="仿宋"/>
          <w:sz w:val="30"/>
          <w:szCs w:val="30"/>
        </w:rPr>
        <w:fldChar w:fldCharType="end"/>
      </w:r>
      <w:r>
        <w:rPr>
          <w:rFonts w:ascii="仿宋" w:hAnsi="仿宋" w:eastAsia="仿宋" w:cs="仿宋"/>
          <w:sz w:val="30"/>
          <w:szCs w:val="30"/>
        </w:rPr>
        <w:t>》</w:t>
      </w:r>
      <w:r>
        <w:fldChar w:fldCharType="begin"/>
      </w:r>
      <w:r>
        <w:instrText xml:space="preserve"> HYPERLINK "https://law.wkinfo.com.cn/document/show?collection=legislation&amp;aid=MTAwMTE1Njc2NTg%3D&amp;language=中文" \l "No20_Z2T6" </w:instrText>
      </w:r>
      <w:r>
        <w:fldChar w:fldCharType="separate"/>
      </w:r>
      <w:r>
        <w:rPr>
          <w:rFonts w:ascii="仿宋" w:hAnsi="仿宋" w:eastAsia="仿宋" w:cs="仿宋"/>
          <w:sz w:val="30"/>
          <w:szCs w:val="30"/>
        </w:rPr>
        <w:t>第六条第（一）项</w:t>
      </w:r>
      <w:r>
        <w:rPr>
          <w:rFonts w:ascii="仿宋" w:hAnsi="仿宋" w:eastAsia="仿宋" w:cs="仿宋"/>
          <w:sz w:val="30"/>
          <w:szCs w:val="30"/>
        </w:rPr>
        <w:fldChar w:fldCharType="end"/>
      </w:r>
      <w:r>
        <w:rPr>
          <w:rFonts w:ascii="仿宋" w:hAnsi="仿宋" w:eastAsia="仿宋" w:cs="仿宋"/>
          <w:sz w:val="30"/>
          <w:szCs w:val="30"/>
        </w:rPr>
        <w:t>规定，经营者不得实施“擅自使用与他人有一定影响的商品名称、包装、装潢等相同或者近似的标识”的混淆行为，引人误认为是他人商品或者与他人存在特定联系。该法第二条第三款对“经营者”进行了明确界定“本法所称的经营者，是指从事商品生产、经营或者提供服务（以下所称商品包括服务）的自然人、法人和非法人组织。”可见，实施“混淆行为”的主体是“经营者”，既包括从事商品生产的生产者也包括从事商品经营的销售者或者提供服务者。且</w:t>
      </w:r>
      <w:r>
        <w:rPr>
          <w:rFonts w:hint="eastAsia" w:ascii="仿宋" w:hAnsi="仿宋" w:eastAsia="仿宋"/>
          <w:sz w:val="30"/>
          <w:szCs w:val="30"/>
        </w:rPr>
        <w:t>《最高人民法院关于适用〈中华人民共和国反不正当竞争法〉若干问题的解释》</w:t>
      </w:r>
      <w:r>
        <w:rPr>
          <w:rFonts w:hint="eastAsia" w:ascii="仿宋" w:hAnsi="仿宋" w:eastAsia="仿宋" w:cs="仿宋"/>
          <w:sz w:val="30"/>
          <w:szCs w:val="30"/>
        </w:rPr>
        <w:t>第十四条第一款规定，“经营者销售带有违反反不正当竞争法第六条规定的标识的商品，引人误认为是他人商品或者与他人存在特定联系，当事人主张构成反不正当竞争法第六条规定的情形，人民法院应予支持”，亦明确了销售者的责任。因此，</w:t>
      </w:r>
      <w:r>
        <w:rPr>
          <w:rFonts w:hint="eastAsia" w:ascii="仿宋" w:hAnsi="仿宋" w:eastAsia="仿宋" w:cs="华文宋体"/>
          <w:kern w:val="0"/>
          <w:sz w:val="30"/>
          <w:szCs w:val="30"/>
        </w:rPr>
        <w:t>虽然</w:t>
      </w:r>
      <w:r>
        <w:rPr>
          <w:rFonts w:ascii="仿宋" w:hAnsi="仿宋" w:eastAsia="仿宋" w:cs="仿宋"/>
          <w:sz w:val="30"/>
          <w:szCs w:val="30"/>
        </w:rPr>
        <w:t>《反不正当竞争法》第六条第一款第(一)项规定中的“使用”是指直接的使用行为</w:t>
      </w:r>
      <w:r>
        <w:rPr>
          <w:rFonts w:hint="eastAsia" w:ascii="仿宋" w:hAnsi="仿宋" w:eastAsia="仿宋" w:cs="仿宋"/>
          <w:sz w:val="30"/>
          <w:szCs w:val="30"/>
        </w:rPr>
        <w:t>，</w:t>
      </w:r>
      <w:r>
        <w:rPr>
          <w:rFonts w:ascii="仿宋" w:hAnsi="仿宋" w:eastAsia="仿宋"/>
          <w:sz w:val="30"/>
          <w:szCs w:val="30"/>
        </w:rPr>
        <w:t>也就生产、制造行为,</w:t>
      </w:r>
      <w:r>
        <w:rPr>
          <w:rFonts w:hint="eastAsia" w:ascii="仿宋" w:hAnsi="仿宋" w:eastAsia="仿宋" w:cs="仿宋"/>
          <w:sz w:val="30"/>
          <w:szCs w:val="30"/>
        </w:rPr>
        <w:t>但是结合</w:t>
      </w:r>
      <w:r>
        <w:rPr>
          <w:rFonts w:ascii="仿宋" w:hAnsi="仿宋" w:eastAsia="仿宋" w:cs="仿宋"/>
          <w:sz w:val="30"/>
          <w:szCs w:val="30"/>
        </w:rPr>
        <w:t>《</w:t>
      </w:r>
      <w:r>
        <w:fldChar w:fldCharType="begin"/>
      </w:r>
      <w:r>
        <w:instrText xml:space="preserve"> HYPERLINK "https://law.wkinfo.com.cn/document/show?collection=legislation&amp;aid=MTAwMTE1Njc2NTg%3D&amp;language=中文" </w:instrText>
      </w:r>
      <w:r>
        <w:fldChar w:fldCharType="separate"/>
      </w:r>
      <w:r>
        <w:rPr>
          <w:rFonts w:ascii="仿宋" w:hAnsi="仿宋" w:eastAsia="仿宋" w:cs="仿宋"/>
          <w:sz w:val="30"/>
          <w:szCs w:val="30"/>
        </w:rPr>
        <w:t>反不正当竞争法</w:t>
      </w:r>
      <w:r>
        <w:rPr>
          <w:rFonts w:ascii="仿宋" w:hAnsi="仿宋" w:eastAsia="仿宋" w:cs="仿宋"/>
          <w:sz w:val="30"/>
          <w:szCs w:val="30"/>
        </w:rPr>
        <w:fldChar w:fldCharType="end"/>
      </w:r>
      <w:r>
        <w:rPr>
          <w:rFonts w:ascii="仿宋" w:hAnsi="仿宋" w:eastAsia="仿宋" w:cs="仿宋"/>
          <w:sz w:val="30"/>
          <w:szCs w:val="30"/>
        </w:rPr>
        <w:t>》</w:t>
      </w:r>
      <w:r>
        <w:fldChar w:fldCharType="begin"/>
      </w:r>
      <w:r>
        <w:instrText xml:space="preserve"> HYPERLINK "https://law.wkinfo.com.cn/document/show?collection=legislation&amp;aid=MTAwMTE1Njc2NTg%3D&amp;language=中文" \l "No20_Z2T6" </w:instrText>
      </w:r>
      <w:r>
        <w:fldChar w:fldCharType="separate"/>
      </w:r>
      <w:r>
        <w:rPr>
          <w:rFonts w:ascii="仿宋" w:hAnsi="仿宋" w:eastAsia="仿宋" w:cs="仿宋"/>
          <w:sz w:val="30"/>
          <w:szCs w:val="30"/>
        </w:rPr>
        <w:t>第</w:t>
      </w:r>
      <w:r>
        <w:rPr>
          <w:rFonts w:hint="eastAsia" w:ascii="仿宋" w:hAnsi="仿宋" w:eastAsia="仿宋" w:cs="仿宋"/>
          <w:sz w:val="30"/>
          <w:szCs w:val="30"/>
        </w:rPr>
        <w:t>二</w:t>
      </w:r>
      <w:r>
        <w:rPr>
          <w:rFonts w:ascii="仿宋" w:hAnsi="仿宋" w:eastAsia="仿宋" w:cs="仿宋"/>
          <w:sz w:val="30"/>
          <w:szCs w:val="30"/>
        </w:rPr>
        <w:t>条</w:t>
      </w:r>
      <w:r>
        <w:rPr>
          <w:rFonts w:hint="eastAsia" w:ascii="仿宋" w:hAnsi="仿宋" w:eastAsia="仿宋" w:cs="仿宋"/>
          <w:sz w:val="30"/>
          <w:szCs w:val="30"/>
        </w:rPr>
        <w:t>第三款以及司法解释的相关规定，</w:t>
      </w:r>
      <w:r>
        <w:rPr>
          <w:rFonts w:hint="eastAsia" w:ascii="仿宋" w:hAnsi="仿宋" w:eastAsia="仿宋" w:cs="仿宋"/>
          <w:sz w:val="30"/>
          <w:szCs w:val="30"/>
        </w:rPr>
        <w:fldChar w:fldCharType="end"/>
      </w:r>
      <w:r>
        <w:rPr>
          <w:rFonts w:hint="eastAsia" w:ascii="仿宋" w:hAnsi="仿宋" w:eastAsia="仿宋" w:cs="仿宋"/>
          <w:sz w:val="30"/>
          <w:szCs w:val="30"/>
        </w:rPr>
        <w:t>销售仿冒混淆商品的行为亦为反不正当竞争法所禁止，故被告芜湖市市场监督管理局有权对</w:t>
      </w:r>
      <w:r>
        <w:rPr>
          <w:rFonts w:hint="eastAsia" w:ascii="仿宋" w:hAnsi="仿宋" w:eastAsia="仿宋" w:cs="华文宋体"/>
          <w:kern w:val="0"/>
          <w:sz w:val="30"/>
          <w:szCs w:val="30"/>
        </w:rPr>
        <w:t>芜湖和联购物中心有限公司的销售行为进行认定及处罚。</w:t>
      </w:r>
    </w:p>
    <w:p>
      <w:pPr>
        <w:autoSpaceDE w:val="0"/>
        <w:autoSpaceDN w:val="0"/>
        <w:spacing w:line="500" w:lineRule="exact"/>
        <w:ind w:firstLine="600" w:firstLineChars="200"/>
        <w:rPr>
          <w:rFonts w:ascii="仿宋" w:hAnsi="仿宋" w:eastAsia="仿宋"/>
          <w:sz w:val="30"/>
          <w:szCs w:val="30"/>
        </w:rPr>
      </w:pPr>
      <w:r>
        <w:rPr>
          <w:rFonts w:hint="eastAsia" w:ascii="仿宋" w:hAnsi="仿宋" w:eastAsia="仿宋"/>
          <w:sz w:val="30"/>
          <w:szCs w:val="30"/>
        </w:rPr>
        <w:t>关于芜湖和联购物中心有限公司与</w:t>
      </w:r>
      <w:r>
        <w:rPr>
          <w:rFonts w:ascii="仿宋" w:hAnsi="仿宋" w:eastAsia="仿宋"/>
          <w:sz w:val="30"/>
          <w:szCs w:val="30"/>
        </w:rPr>
        <w:t>广州阿道夫个人护理用品有限公司</w:t>
      </w:r>
      <w:r>
        <w:rPr>
          <w:rFonts w:hint="eastAsia" w:ascii="仿宋" w:hAnsi="仿宋" w:eastAsia="仿宋"/>
          <w:sz w:val="30"/>
          <w:szCs w:val="30"/>
        </w:rPr>
        <w:t>是否存在竞争关系以及是否影响其行为性质。《反不正当竞争法》第二条第二款规定：“本法所称的不正当竞争行为，是指经营者在生产经营活动中，违反本法规定，扰乱市场竞争秩序，损害其他经营者或者消费者的合法权益的行为”。由此可见，只要被诉行为属于经营者在生产经营活动中，违反了反不正当竞争法规定的扰乱市场竞争秩序，损害其他经营者或者消费者的合法权益之行为，即可适用该法予以评判。反不正当竞争法并未限制经营者之间必须具有直接的或具体的竞争关系，也没有要求经营者从事相同行业。因此，即使芜湖和联购物中心有限公司作为销售者，与作为生产者的</w:t>
      </w:r>
      <w:r>
        <w:rPr>
          <w:rFonts w:ascii="仿宋" w:hAnsi="仿宋" w:eastAsia="仿宋"/>
          <w:sz w:val="30"/>
          <w:szCs w:val="30"/>
        </w:rPr>
        <w:t>广州阿道夫个人护理用品有限公司</w:t>
      </w:r>
      <w:r>
        <w:rPr>
          <w:rFonts w:hint="eastAsia" w:ascii="仿宋" w:hAnsi="仿宋" w:eastAsia="仿宋"/>
          <w:sz w:val="30"/>
          <w:szCs w:val="30"/>
        </w:rPr>
        <w:t>之间不存在直接竞争关系，也不影响本案适用反不正当竞争法对芜湖和联购物中心有限公司的行为进行规制。</w:t>
      </w:r>
    </w:p>
    <w:p>
      <w:pPr>
        <w:autoSpaceDE w:val="0"/>
        <w:autoSpaceDN w:val="0"/>
        <w:spacing w:line="500" w:lineRule="exact"/>
        <w:ind w:firstLine="600" w:firstLineChars="200"/>
        <w:rPr>
          <w:rFonts w:ascii="仿宋" w:hAnsi="仿宋" w:eastAsia="仿宋"/>
          <w:sz w:val="30"/>
          <w:szCs w:val="30"/>
        </w:rPr>
      </w:pPr>
      <w:r>
        <w:rPr>
          <w:rFonts w:hint="eastAsia" w:ascii="仿宋" w:hAnsi="仿宋" w:eastAsia="仿宋"/>
          <w:sz w:val="30"/>
          <w:szCs w:val="30"/>
        </w:rPr>
        <w:t>综上，</w:t>
      </w:r>
      <w:r>
        <w:rPr>
          <w:rFonts w:hint="eastAsia" w:ascii="仿宋" w:hAnsi="仿宋" w:eastAsia="仿宋" w:cs="华文宋体"/>
          <w:kern w:val="0"/>
          <w:sz w:val="30"/>
          <w:szCs w:val="30"/>
        </w:rPr>
        <w:t>原告</w:t>
      </w:r>
      <w:r>
        <w:rPr>
          <w:rFonts w:hint="eastAsia" w:ascii="仿宋" w:hAnsi="仿宋" w:eastAsia="仿宋"/>
          <w:sz w:val="30"/>
          <w:szCs w:val="30"/>
        </w:rPr>
        <w:t>可若夕雨公司</w:t>
      </w:r>
      <w:r>
        <w:rPr>
          <w:rFonts w:hint="eastAsia" w:ascii="仿宋" w:hAnsi="仿宋" w:eastAsia="仿宋" w:cs="华文宋体"/>
          <w:kern w:val="0"/>
          <w:sz w:val="30"/>
          <w:szCs w:val="30"/>
        </w:rPr>
        <w:t>认为芜湖和联购物中心有限公司是末端销售商，无法与</w:t>
      </w:r>
      <w:r>
        <w:rPr>
          <w:rFonts w:ascii="仿宋" w:hAnsi="仿宋" w:eastAsia="仿宋"/>
          <w:sz w:val="30"/>
          <w:szCs w:val="30"/>
        </w:rPr>
        <w:t>广州阿道夫个人护理用品有限公司</w:t>
      </w:r>
      <w:r>
        <w:rPr>
          <w:rFonts w:hint="eastAsia" w:ascii="仿宋" w:hAnsi="仿宋" w:eastAsia="仿宋"/>
          <w:sz w:val="30"/>
          <w:szCs w:val="30"/>
        </w:rPr>
        <w:t>形成竞争关系，不应适用《反不正当竞争法》的主张，没有事实和法律依据，本院不予支持。</w:t>
      </w:r>
    </w:p>
    <w:p>
      <w:pPr>
        <w:spacing w:line="500" w:lineRule="exact"/>
        <w:ind w:firstLine="600" w:firstLineChars="200"/>
        <w:outlineLvl w:val="2"/>
        <w:rPr>
          <w:rFonts w:ascii="仿宋" w:hAnsi="仿宋" w:eastAsia="仿宋" w:cs="仿宋"/>
          <w:bCs/>
          <w:sz w:val="30"/>
          <w:szCs w:val="30"/>
        </w:rPr>
      </w:pPr>
      <w:r>
        <w:rPr>
          <w:rFonts w:hint="eastAsia" w:ascii="仿宋" w:hAnsi="仿宋" w:eastAsia="仿宋" w:cs="仿宋"/>
          <w:bCs/>
          <w:sz w:val="30"/>
          <w:szCs w:val="30"/>
        </w:rPr>
        <w:t>（三）“阿道夫”洗护用品是否属于“有一定影响的商品”，</w:t>
      </w:r>
      <w:r>
        <w:rPr>
          <w:rFonts w:hint="eastAsia" w:ascii="仿宋" w:hAnsi="仿宋" w:eastAsia="仿宋" w:cs="仿宋"/>
          <w:sz w:val="30"/>
          <w:szCs w:val="30"/>
        </w:rPr>
        <w:t>其产品的包装、装潢是否属于</w:t>
      </w:r>
      <w:r>
        <w:rPr>
          <w:rFonts w:hint="eastAsia" w:ascii="仿宋" w:hAnsi="仿宋" w:eastAsia="仿宋"/>
          <w:sz w:val="30"/>
          <w:szCs w:val="30"/>
        </w:rPr>
        <w:t>“有一定影响的标识”。</w:t>
      </w:r>
      <w:r>
        <w:rPr>
          <w:rFonts w:ascii="仿宋" w:hAnsi="仿宋" w:eastAsia="仿宋"/>
          <w:sz w:val="30"/>
          <w:szCs w:val="30"/>
        </w:rPr>
        <w:t>　</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最高人民法院关于适用〈中华人民共和国反不正当竞争法〉若干问题的解释》第四条规定，具有一定的市场知名度并具有区别商品来源的显著特征的标识，人民法院可以认定为反不正当竞争法第六条规定的“有一定影响的”标识。</w:t>
      </w:r>
      <w:r>
        <w:rPr>
          <w:rFonts w:ascii="仿宋" w:hAnsi="仿宋" w:eastAsia="仿宋"/>
          <w:sz w:val="30"/>
          <w:szCs w:val="30"/>
        </w:rPr>
        <w:t>　人民法院认定反不正当竞争法第六条规定的标识是否具有一定的市场知名度，应当综合考虑中国境内相关公众的知悉程度，商品销售的时间、区域、数额和对象，宣传的持续时间、程度和地域范围，标识受保护的情况等因素。</w:t>
      </w:r>
    </w:p>
    <w:p>
      <w:pPr>
        <w:spacing w:line="500" w:lineRule="exact"/>
        <w:ind w:firstLine="600" w:firstLineChars="200"/>
        <w:rPr>
          <w:rFonts w:ascii="仿宋" w:hAnsi="仿宋" w:eastAsia="仿宋" w:cs="仿宋"/>
          <w:sz w:val="30"/>
          <w:szCs w:val="30"/>
        </w:rPr>
      </w:pPr>
      <w:r>
        <w:rPr>
          <w:rFonts w:hint="eastAsia" w:ascii="仿宋" w:hAnsi="仿宋" w:eastAsia="仿宋"/>
          <w:sz w:val="30"/>
          <w:szCs w:val="30"/>
        </w:rPr>
        <w:t>本案中，首先，</w:t>
      </w:r>
      <w:r>
        <w:rPr>
          <w:rFonts w:hint="eastAsia" w:ascii="仿宋" w:hAnsi="仿宋" w:eastAsia="仿宋" w:cs="仿宋"/>
          <w:sz w:val="30"/>
          <w:szCs w:val="30"/>
        </w:rPr>
        <w:t>通过广州阿道夫个人护理用品有限公司的举证材料可以证实，“阿道夫”、“</w:t>
      </w:r>
      <w:r>
        <w:rPr>
          <w:rFonts w:ascii="仿宋" w:hAnsi="仿宋" w:eastAsia="仿宋" w:cs="仿宋"/>
          <w:sz w:val="30"/>
          <w:szCs w:val="30"/>
        </w:rPr>
        <w:drawing>
          <wp:inline distT="0" distB="0" distL="0" distR="0">
            <wp:extent cx="260350" cy="353060"/>
            <wp:effectExtent l="19050" t="0" r="6350" b="0"/>
            <wp:docPr id="17" name="图片 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true" noChangeArrowheads="true"/>
                    </pic:cNvPicPr>
                  </pic:nvPicPr>
                  <pic:blipFill>
                    <a:blip r:embed="rId9" cstate="print"/>
                    <a:srcRect/>
                    <a:stretch>
                      <a:fillRect/>
                    </a:stretch>
                  </pic:blipFill>
                  <pic:spPr>
                    <a:xfrm>
                      <a:off x="0" y="0"/>
                      <a:ext cx="260350" cy="353060"/>
                    </a:xfrm>
                    <a:prstGeom prst="rect">
                      <a:avLst/>
                    </a:prstGeom>
                    <a:noFill/>
                    <a:ln w="9525">
                      <a:noFill/>
                      <a:miter lim="800000"/>
                      <a:headEnd/>
                      <a:tailEnd/>
                    </a:ln>
                  </pic:spPr>
                </pic:pic>
              </a:graphicData>
            </a:graphic>
          </wp:inline>
        </w:drawing>
      </w:r>
      <w:r>
        <w:rPr>
          <w:rFonts w:hint="eastAsia" w:ascii="仿宋" w:hAnsi="仿宋" w:eastAsia="仿宋" w:cs="仿宋"/>
          <w:sz w:val="30"/>
          <w:szCs w:val="30"/>
        </w:rPr>
        <w:t>”商业标识已</w:t>
      </w:r>
      <w:r>
        <w:rPr>
          <w:rFonts w:hint="eastAsia" w:ascii="仿宋" w:hAnsi="仿宋" w:eastAsia="仿宋"/>
          <w:sz w:val="30"/>
          <w:szCs w:val="30"/>
        </w:rPr>
        <w:t>进行商标注册，“阿道夫”品牌因其持续、广泛的宣传具有了一定的市场知名度，为公众所广泛知悉，其生产、销售的“阿道夫”品牌洗护产品销售时间长、销售区域广、销售额较大，取得了较为可观的销售业绩。通过相关媒体的宣传、推广，也使得该品牌在洗护行业中拥有一定的市场占有率，为相关公众所知悉，“阿道夫”洗护用品具有一定的市场知名度。其次，“阿道夫”洗护用品的包装、装潢通过对色彩、文字、</w:t>
      </w:r>
      <w:r>
        <w:rPr>
          <w:rFonts w:hint="eastAsia" w:ascii="仿宋" w:hAnsi="仿宋" w:eastAsia="仿宋" w:cs="仿宋"/>
          <w:sz w:val="30"/>
          <w:szCs w:val="30"/>
        </w:rPr>
        <w:t>图案等设计要素的选择和组合，呈现出了具有一定独特性的视觉效果与显著特征，足以使公众观之即与其商品形成特定的关联，具备了区别商品来源的显著性特征，结合对自身品牌的宣传和实际使用行为，使上述包装、装潢所发挥的商品来源的指示作用得以不断加强。同时，广州阿道夫个人护理用品有限公司所主张的有一定影响的装潢在其经营的多种产品上均有使用，如阿道夫轻柔丝滑洗发液、植萃精华护发素、净澈清爽洗发乳液、植粹精华护发素、滋润修护洗发乳液等，所使用的装潢基本是一致的，仅个别设计元素的位置存在细微差别，多款产品使用几乎相同的装潢设计本身便能够进一步增加商品装潢识别来源的功能，</w:t>
      </w:r>
      <w:r>
        <w:rPr>
          <w:rFonts w:hint="eastAsia" w:ascii="仿宋" w:hAnsi="仿宋" w:eastAsia="仿宋" w:cs="仿宋"/>
          <w:bCs/>
          <w:sz w:val="30"/>
          <w:szCs w:val="30"/>
        </w:rPr>
        <w:t>“阿道夫”洗护用品</w:t>
      </w:r>
      <w:r>
        <w:rPr>
          <w:rFonts w:hint="eastAsia" w:ascii="仿宋" w:hAnsi="仿宋" w:eastAsia="仿宋"/>
          <w:sz w:val="30"/>
          <w:szCs w:val="30"/>
        </w:rPr>
        <w:t>标识具有区别商品来源的显著特征。因此</w:t>
      </w:r>
      <w:r>
        <w:rPr>
          <w:rFonts w:hint="eastAsia" w:ascii="仿宋" w:hAnsi="仿宋" w:eastAsia="仿宋" w:cs="仿宋"/>
          <w:sz w:val="30"/>
          <w:szCs w:val="30"/>
        </w:rPr>
        <w:t>，“阿道夫”洗护用品属于“有一定影响的商品”，其产品的包装、装潢属于</w:t>
      </w:r>
      <w:r>
        <w:rPr>
          <w:rFonts w:hint="eastAsia" w:ascii="仿宋" w:hAnsi="仿宋" w:eastAsia="仿宋"/>
          <w:sz w:val="30"/>
          <w:szCs w:val="30"/>
        </w:rPr>
        <w:t>“有一定影响的标识”。</w:t>
      </w:r>
      <w:r>
        <w:rPr>
          <w:rFonts w:ascii="仿宋" w:hAnsi="仿宋" w:eastAsia="仿宋"/>
          <w:sz w:val="30"/>
          <w:szCs w:val="30"/>
        </w:rPr>
        <w:t>　</w:t>
      </w:r>
    </w:p>
    <w:p>
      <w:pPr>
        <w:spacing w:line="500" w:lineRule="exact"/>
        <w:ind w:firstLine="600" w:firstLineChars="200"/>
        <w:outlineLvl w:val="2"/>
        <w:rPr>
          <w:rFonts w:ascii="仿宋" w:hAnsi="仿宋" w:eastAsia="仿宋"/>
          <w:sz w:val="30"/>
          <w:szCs w:val="30"/>
        </w:rPr>
      </w:pPr>
      <w:r>
        <w:rPr>
          <w:rFonts w:hint="eastAsia" w:ascii="仿宋" w:hAnsi="仿宋" w:eastAsia="仿宋"/>
          <w:sz w:val="30"/>
          <w:szCs w:val="30"/>
        </w:rPr>
        <w:t>（四）“卡迪欧”洗发乳液的包装、装潢是否与“阿道夫”洗发乳液的包装、装潢构成相同或者近似。</w:t>
      </w:r>
    </w:p>
    <w:p>
      <w:pPr>
        <w:spacing w:line="500" w:lineRule="exact"/>
        <w:ind w:firstLine="600" w:firstLineChars="200"/>
        <w:rPr>
          <w:rStyle w:val="31"/>
          <w:rFonts w:ascii="仿宋" w:hAnsi="仿宋" w:eastAsia="仿宋"/>
          <w:sz w:val="30"/>
          <w:szCs w:val="30"/>
        </w:rPr>
      </w:pPr>
      <w:r>
        <w:rPr>
          <w:rFonts w:hint="eastAsia" w:ascii="仿宋" w:hAnsi="仿宋" w:eastAsia="仿宋"/>
          <w:sz w:val="30"/>
          <w:szCs w:val="30"/>
        </w:rPr>
        <w:t>《最高人民法院关于适用〈中华人民共和国反不正当竞争法〉若干问题的解释》第十二条</w:t>
      </w:r>
      <w:r>
        <w:rPr>
          <w:rFonts w:ascii="仿宋" w:hAnsi="仿宋" w:eastAsia="仿宋"/>
          <w:sz w:val="30"/>
          <w:szCs w:val="30"/>
        </w:rPr>
        <w:t>规定，人民法院认定与反不正当竞争法第六条规定的“有一定影响的”标识相同或者近似，可以参照商标相同或者近似的判断原则和方法。反不正当竞争法第六条规定的“引人</w:t>
      </w:r>
      <w:r>
        <w:rPr>
          <w:rStyle w:val="31"/>
          <w:rFonts w:ascii="仿宋" w:hAnsi="仿宋" w:eastAsia="仿宋"/>
          <w:sz w:val="30"/>
          <w:szCs w:val="30"/>
        </w:rPr>
        <w:t>误认为是他人商品或者与他人存在特定联系”，包括误认为与他人具有商业联合、许可使用、商业冠名、广告代言等特定联系。</w:t>
      </w:r>
      <w:r>
        <w:rPr>
          <w:rStyle w:val="31"/>
          <w:rFonts w:hint="eastAsia" w:ascii="仿宋" w:hAnsi="仿宋" w:eastAsia="仿宋"/>
          <w:sz w:val="30"/>
          <w:szCs w:val="30"/>
        </w:rPr>
        <w:t>在</w:t>
      </w:r>
      <w:r>
        <w:rPr>
          <w:rStyle w:val="31"/>
          <w:rFonts w:ascii="仿宋" w:hAnsi="仿宋" w:eastAsia="仿宋"/>
          <w:sz w:val="30"/>
          <w:szCs w:val="30"/>
        </w:rPr>
        <w:t>相同商品上使用相同或者视觉上基本无差别的商品名称、包装、装潢等标识，应当视为足以造成与他人有一定影响的标识相混淆。</w:t>
      </w:r>
    </w:p>
    <w:p>
      <w:pPr>
        <w:spacing w:line="500" w:lineRule="exact"/>
        <w:ind w:firstLine="600" w:firstLineChars="200"/>
        <w:rPr>
          <w:rFonts w:ascii="仿宋" w:hAnsi="仿宋" w:eastAsia="仿宋" w:cs="仿宋"/>
          <w:sz w:val="30"/>
          <w:szCs w:val="30"/>
        </w:rPr>
      </w:pPr>
      <w:r>
        <w:rPr>
          <w:rStyle w:val="31"/>
          <w:rFonts w:hint="eastAsia" w:ascii="仿宋" w:hAnsi="仿宋" w:eastAsia="仿宋"/>
          <w:sz w:val="30"/>
          <w:szCs w:val="30"/>
        </w:rPr>
        <w:t>本案中，将</w:t>
      </w:r>
      <w:r>
        <w:rPr>
          <w:rFonts w:hint="eastAsia" w:ascii="仿宋" w:hAnsi="仿宋" w:eastAsia="仿宋"/>
          <w:sz w:val="30"/>
          <w:szCs w:val="30"/>
        </w:rPr>
        <w:t>原告可若夕雨公司生产的“卡迪欧”洗发乳液与</w:t>
      </w:r>
      <w:r>
        <w:rPr>
          <w:rFonts w:hint="eastAsia" w:ascii="仿宋" w:hAnsi="仿宋" w:eastAsia="仿宋" w:cs="仿宋"/>
          <w:sz w:val="30"/>
          <w:szCs w:val="30"/>
        </w:rPr>
        <w:t>广州阿道夫个人护理用品有限公司</w:t>
      </w:r>
      <w:r>
        <w:rPr>
          <w:rFonts w:hint="eastAsia" w:ascii="仿宋" w:hAnsi="仿宋" w:eastAsia="仿宋"/>
          <w:sz w:val="30"/>
          <w:szCs w:val="30"/>
        </w:rPr>
        <w:t>生产的“阿道夫”洗发乳液进行比对，二者的包装装潢均取米色调，正面均包括四大部分，正面上部均为酒红色短矩形及黑色长矩形组合；中上部均为多排分布的商品类型介绍；中部均为黑色人物剪影图案，图案上斜印有红色六个英文字母，且占据比例较大；下部均为产品文字介绍，文字左右分布，其中左边为一列竖向且字体放大的英文，右边则为较小的横排中文和英文文字介绍。各部分虽有细微区别，但整体布局基本相同，特别是“卡迪欧”洗发乳液瓶身使用的图案与“阿道夫”产品的显著部分均为人物背影图，二者在整体上均由人物背影剪影、剪影中部由斜向矩形英文标牌、人物脚侧的阴影组成；二者的斜向矩形均内嵌有六个大写红色英文字母，英文字母的字体相同、字母较小，且排列顺序均为从左向右排列；二者的人物剪影修长，且占整个标识的比例较大，属于标识的主要部分，且剪影与斜向标牌的组合显著度高。因此，</w:t>
      </w:r>
      <w:r>
        <w:rPr>
          <w:rFonts w:hint="eastAsia" w:ascii="仿宋" w:hAnsi="仿宋" w:eastAsia="仿宋" w:cs="仿宋"/>
          <w:sz w:val="30"/>
          <w:szCs w:val="30"/>
        </w:rPr>
        <w:t>“卡迪欧”洗发乳液的包装</w:t>
      </w:r>
      <w:r>
        <w:rPr>
          <w:rFonts w:hint="eastAsia" w:ascii="仿宋" w:hAnsi="仿宋" w:eastAsia="仿宋"/>
          <w:sz w:val="30"/>
          <w:szCs w:val="30"/>
        </w:rPr>
        <w:t>装潢模仿了</w:t>
      </w:r>
      <w:r>
        <w:rPr>
          <w:rFonts w:hint="eastAsia" w:ascii="仿宋" w:hAnsi="仿宋" w:eastAsia="仿宋" w:cs="仿宋"/>
          <w:sz w:val="30"/>
          <w:szCs w:val="30"/>
        </w:rPr>
        <w:t>“阿道夫”产品</w:t>
      </w:r>
      <w:r>
        <w:rPr>
          <w:rFonts w:hint="eastAsia" w:ascii="仿宋" w:hAnsi="仿宋" w:eastAsia="仿宋"/>
          <w:sz w:val="30"/>
          <w:szCs w:val="30"/>
        </w:rPr>
        <w:t>装潢中最为引人注目的设计要素，包括主色调、上部的长矩形、中部的人物剪影以及下方的文字介绍，虽然在中间的人物剪影形象等部分细节存在不同，但是并不妨碍总体形象的相似度，容易对一般消费者产生误导，造成误认或认为该洗发乳液产品与广州阿道夫个人护理用品有限公司存在某种特定联系，故</w:t>
      </w:r>
      <w:r>
        <w:rPr>
          <w:rFonts w:hint="eastAsia" w:ascii="仿宋" w:hAnsi="仿宋" w:eastAsia="仿宋" w:cs="仿宋"/>
          <w:sz w:val="30"/>
          <w:szCs w:val="30"/>
        </w:rPr>
        <w:t>“卡迪欧”洗发乳液的包装、装潢与广州阿道夫个人护理用品有限公司有一定影响的“阿道夫”产品包装、装潢构成近似。此外，本案系不正当竞争纠纷，并非商标侵权或著作权侵权纠纷，即使原告可若夕雨公司享有</w:t>
      </w:r>
      <w:r>
        <w:rPr>
          <w:rFonts w:ascii="仿宋" w:hAnsi="仿宋" w:eastAsia="仿宋"/>
          <w:sz w:val="30"/>
          <w:szCs w:val="30"/>
        </w:rPr>
        <w:drawing>
          <wp:inline distT="0" distB="0" distL="0" distR="0">
            <wp:extent cx="497840" cy="323850"/>
            <wp:effectExtent l="19050" t="0" r="0" b="0"/>
            <wp:docPr id="18" name="图片 18" descr="1648196836(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descr="1648196836(1)"/>
                    <pic:cNvPicPr>
                      <a:picLocks noChangeAspect="true" noChangeArrowheads="true"/>
                    </pic:cNvPicPr>
                  </pic:nvPicPr>
                  <pic:blipFill>
                    <a:blip r:embed="rId11"/>
                    <a:srcRect/>
                    <a:stretch>
                      <a:fillRect/>
                    </a:stretch>
                  </pic:blipFill>
                  <pic:spPr>
                    <a:xfrm>
                      <a:off x="0" y="0"/>
                      <a:ext cx="497840" cy="323850"/>
                    </a:xfrm>
                    <a:prstGeom prst="rect">
                      <a:avLst/>
                    </a:prstGeom>
                    <a:noFill/>
                    <a:ln w="9525">
                      <a:noFill/>
                      <a:miter lim="800000"/>
                      <a:headEnd/>
                      <a:tailEnd/>
                    </a:ln>
                  </pic:spPr>
                </pic:pic>
              </a:graphicData>
            </a:graphic>
          </wp:inline>
        </w:drawing>
      </w:r>
      <w:r>
        <w:rPr>
          <w:rFonts w:hint="eastAsia" w:ascii="仿宋" w:hAnsi="仿宋" w:eastAsia="仿宋"/>
          <w:sz w:val="30"/>
          <w:szCs w:val="30"/>
        </w:rPr>
        <w:t>注册</w:t>
      </w:r>
      <w:r>
        <w:rPr>
          <w:rFonts w:hint="eastAsia" w:ascii="仿宋" w:hAnsi="仿宋" w:eastAsia="仿宋" w:cs="仿宋"/>
          <w:sz w:val="30"/>
          <w:szCs w:val="30"/>
        </w:rPr>
        <w:t>商标并对</w:t>
      </w:r>
      <w:r>
        <w:rPr>
          <w:rFonts w:ascii="仿宋" w:hAnsi="仿宋" w:eastAsia="仿宋"/>
          <w:sz w:val="30"/>
          <w:szCs w:val="30"/>
        </w:rPr>
        <w:drawing>
          <wp:inline distT="0" distB="0" distL="0" distR="0">
            <wp:extent cx="225425" cy="289560"/>
            <wp:effectExtent l="19050" t="0" r="3175" b="0"/>
            <wp:docPr id="19" name="图片 19" descr="1648458668(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descr="1648458668(1)"/>
                    <pic:cNvPicPr>
                      <a:picLocks noChangeAspect="true" noChangeArrowheads="true"/>
                    </pic:cNvPicPr>
                  </pic:nvPicPr>
                  <pic:blipFill>
                    <a:blip r:embed="rId7"/>
                    <a:srcRect/>
                    <a:stretch>
                      <a:fillRect/>
                    </a:stretch>
                  </pic:blipFill>
                  <pic:spPr>
                    <a:xfrm>
                      <a:off x="0" y="0"/>
                      <a:ext cx="225425" cy="289560"/>
                    </a:xfrm>
                    <a:prstGeom prst="rect">
                      <a:avLst/>
                    </a:prstGeom>
                    <a:noFill/>
                    <a:ln w="9525">
                      <a:noFill/>
                      <a:miter lim="800000"/>
                      <a:headEnd/>
                      <a:tailEnd/>
                    </a:ln>
                  </pic:spPr>
                </pic:pic>
              </a:graphicData>
            </a:graphic>
          </wp:inline>
        </w:drawing>
      </w:r>
      <w:r>
        <w:rPr>
          <w:rFonts w:ascii="仿宋" w:hAnsi="仿宋" w:eastAsia="仿宋"/>
          <w:sz w:val="30"/>
          <w:szCs w:val="30"/>
        </w:rPr>
        <w:t>黑色女性剪影图案</w:t>
      </w:r>
      <w:r>
        <w:rPr>
          <w:rFonts w:hint="eastAsia" w:ascii="仿宋" w:hAnsi="仿宋" w:eastAsia="仿宋"/>
          <w:sz w:val="30"/>
          <w:szCs w:val="30"/>
        </w:rPr>
        <w:t>进行了版权登记，但均</w:t>
      </w:r>
      <w:r>
        <w:rPr>
          <w:rFonts w:hint="eastAsia" w:ascii="仿宋" w:hAnsi="仿宋" w:eastAsia="仿宋" w:cs="仿宋"/>
          <w:sz w:val="30"/>
          <w:szCs w:val="30"/>
        </w:rPr>
        <w:t>不影响本案侵权的判定。</w:t>
      </w:r>
    </w:p>
    <w:p>
      <w:pPr>
        <w:spacing w:line="500" w:lineRule="exact"/>
        <w:ind w:firstLine="600" w:firstLineChars="200"/>
        <w:outlineLvl w:val="2"/>
        <w:rPr>
          <w:rFonts w:ascii="仿宋" w:hAnsi="仿宋" w:eastAsia="仿宋"/>
          <w:sz w:val="30"/>
          <w:szCs w:val="30"/>
        </w:rPr>
      </w:pPr>
      <w:r>
        <w:rPr>
          <w:rFonts w:hint="eastAsia" w:ascii="仿宋" w:hAnsi="仿宋" w:eastAsia="仿宋"/>
          <w:sz w:val="30"/>
          <w:szCs w:val="30"/>
        </w:rPr>
        <w:t>（五）</w:t>
      </w:r>
      <w:r>
        <w:rPr>
          <w:rFonts w:hint="eastAsia" w:ascii="仿宋" w:hAnsi="仿宋" w:eastAsia="仿宋" w:cs="华文宋体"/>
          <w:kern w:val="0"/>
          <w:sz w:val="30"/>
          <w:szCs w:val="30"/>
        </w:rPr>
        <w:t>芜湖和联购物中心有限公司</w:t>
      </w:r>
      <w:r>
        <w:rPr>
          <w:rFonts w:hint="eastAsia" w:ascii="仿宋" w:hAnsi="仿宋" w:eastAsia="仿宋"/>
          <w:sz w:val="30"/>
          <w:szCs w:val="30"/>
        </w:rPr>
        <w:t>是否可以合法来源抗辩免除责任。</w:t>
      </w:r>
    </w:p>
    <w:p>
      <w:pPr>
        <w:autoSpaceDE w:val="0"/>
        <w:autoSpaceDN w:val="0"/>
        <w:spacing w:line="500" w:lineRule="exact"/>
        <w:ind w:firstLine="600" w:firstLineChars="200"/>
        <w:jc w:val="left"/>
        <w:rPr>
          <w:rFonts w:ascii="仿宋" w:hAnsi="仿宋" w:eastAsia="仿宋"/>
          <w:sz w:val="30"/>
          <w:szCs w:val="30"/>
        </w:rPr>
      </w:pPr>
      <w:r>
        <w:rPr>
          <w:rFonts w:hint="eastAsia" w:ascii="仿宋" w:hAnsi="仿宋" w:eastAsia="仿宋" w:cs="华文宋体"/>
          <w:kern w:val="0"/>
          <w:sz w:val="30"/>
          <w:szCs w:val="30"/>
        </w:rPr>
        <w:t>原告</w:t>
      </w:r>
      <w:r>
        <w:rPr>
          <w:rFonts w:hint="eastAsia" w:ascii="仿宋" w:hAnsi="仿宋" w:eastAsia="仿宋"/>
          <w:sz w:val="30"/>
          <w:szCs w:val="30"/>
        </w:rPr>
        <w:t>可若夕雨公司</w:t>
      </w:r>
      <w:r>
        <w:rPr>
          <w:rFonts w:hint="eastAsia" w:ascii="仿宋" w:hAnsi="仿宋" w:eastAsia="仿宋" w:cs="华文宋体"/>
          <w:kern w:val="0"/>
          <w:sz w:val="30"/>
          <w:szCs w:val="30"/>
        </w:rPr>
        <w:t>认为芜湖和联购物中心有限公司销售的产品具有合法来源</w:t>
      </w:r>
      <w:r>
        <w:rPr>
          <w:rFonts w:ascii="仿宋" w:hAnsi="仿宋" w:eastAsia="仿宋" w:cs="华文宋体"/>
          <w:kern w:val="0"/>
          <w:sz w:val="30"/>
          <w:szCs w:val="30"/>
        </w:rPr>
        <w:t>，</w:t>
      </w:r>
      <w:r>
        <w:rPr>
          <w:rFonts w:hint="eastAsia" w:ascii="仿宋" w:hAnsi="仿宋" w:eastAsia="仿宋" w:cs="华文宋体"/>
          <w:kern w:val="0"/>
          <w:sz w:val="30"/>
          <w:szCs w:val="30"/>
        </w:rPr>
        <w:t>是通过正规合法途径购进</w:t>
      </w:r>
      <w:r>
        <w:rPr>
          <w:rFonts w:ascii="仿宋" w:hAnsi="仿宋" w:eastAsia="仿宋" w:cs="华文宋体"/>
          <w:kern w:val="0"/>
          <w:sz w:val="30"/>
          <w:szCs w:val="30"/>
        </w:rPr>
        <w:t>，</w:t>
      </w:r>
      <w:r>
        <w:rPr>
          <w:rFonts w:hint="eastAsia" w:ascii="仿宋" w:hAnsi="仿宋" w:eastAsia="仿宋" w:cs="华文宋体"/>
          <w:kern w:val="0"/>
          <w:sz w:val="30"/>
          <w:szCs w:val="30"/>
        </w:rPr>
        <w:t>并无侵权之故意，根据《商标法》第六十四条以及《中华人民共和国商标法实施条例》第八十条之规定，不应承担赔偿责任。首先，案涉行政处罚作出的依据是反不正当竞争法，与商标法无涉。其次，</w:t>
      </w:r>
      <w:r>
        <w:rPr>
          <w:rFonts w:hint="eastAsia" w:ascii="仿宋" w:hAnsi="仿宋" w:eastAsia="仿宋"/>
          <w:sz w:val="30"/>
          <w:szCs w:val="30"/>
        </w:rPr>
        <w:t>《最高人民法院关于适用〈中华人民共和国反不正当竞争法〉若干问题的</w:t>
      </w:r>
      <w:r>
        <w:rPr>
          <w:rStyle w:val="31"/>
          <w:rFonts w:hint="eastAsia" w:ascii="仿宋" w:hAnsi="仿宋" w:eastAsia="仿宋"/>
          <w:sz w:val="30"/>
          <w:szCs w:val="30"/>
        </w:rPr>
        <w:t>解释》</w:t>
      </w:r>
      <w:r>
        <w:rPr>
          <w:rStyle w:val="31"/>
          <w:rFonts w:ascii="仿宋" w:hAnsi="仿宋" w:eastAsia="仿宋"/>
          <w:bCs/>
          <w:sz w:val="30"/>
          <w:szCs w:val="30"/>
        </w:rPr>
        <w:t>第十四条第二款规定，</w:t>
      </w:r>
      <w:r>
        <w:rPr>
          <w:rStyle w:val="31"/>
          <w:rFonts w:ascii="仿宋" w:hAnsi="仿宋" w:eastAsia="仿宋"/>
          <w:sz w:val="30"/>
          <w:szCs w:val="30"/>
        </w:rPr>
        <w:t>销售不知道是前款规定的侵权商品，能证明该商品是自己合法取得并说明提供者，经营者主张不承担赔偿责任的，人民法院应予支持。</w:t>
      </w:r>
      <w:r>
        <w:rPr>
          <w:rStyle w:val="31"/>
          <w:rFonts w:hint="eastAsia" w:ascii="仿宋" w:hAnsi="仿宋" w:eastAsia="仿宋"/>
          <w:sz w:val="30"/>
          <w:szCs w:val="30"/>
        </w:rPr>
        <w:t>因此，判断是否成立合法来源抗辩，一是看其主观上是否知道所销售的是侵犯他人知识产权的商品，即是否尽到了作为销售商的合理注意义务；二是客观上能否证明其销售的商品是合法取得并说明提供者。</w:t>
      </w:r>
    </w:p>
    <w:p>
      <w:pPr>
        <w:autoSpaceDE w:val="0"/>
        <w:autoSpaceDN w:val="0"/>
        <w:spacing w:line="500" w:lineRule="exact"/>
        <w:ind w:firstLine="600" w:firstLineChars="200"/>
        <w:rPr>
          <w:rFonts w:ascii="仿宋" w:hAnsi="仿宋" w:eastAsia="仿宋"/>
          <w:sz w:val="30"/>
          <w:szCs w:val="30"/>
        </w:rPr>
      </w:pPr>
      <w:r>
        <w:rPr>
          <w:rFonts w:hint="eastAsia" w:ascii="仿宋" w:hAnsi="仿宋" w:eastAsia="仿宋" w:cs="宋体"/>
          <w:kern w:val="0"/>
          <w:sz w:val="30"/>
          <w:szCs w:val="30"/>
        </w:rPr>
        <w:t>本案中，根据芜湖和联购物中心有限公司提交的证据，可以查明其所销售的“卡迪欧”</w:t>
      </w:r>
      <w:r>
        <w:rPr>
          <w:rFonts w:ascii="仿宋" w:hAnsi="仿宋" w:eastAsia="仿宋" w:cs="宋体"/>
          <w:kern w:val="0"/>
          <w:sz w:val="30"/>
          <w:szCs w:val="30"/>
        </w:rPr>
        <w:t>洗发乳液</w:t>
      </w:r>
      <w:r>
        <w:rPr>
          <w:rFonts w:hint="eastAsia" w:ascii="仿宋" w:hAnsi="仿宋" w:eastAsia="仿宋" w:cs="宋体"/>
          <w:kern w:val="0"/>
          <w:sz w:val="30"/>
          <w:szCs w:val="30"/>
        </w:rPr>
        <w:t>系</w:t>
      </w:r>
      <w:r>
        <w:rPr>
          <w:rFonts w:ascii="仿宋" w:hAnsi="仿宋" w:eastAsia="仿宋" w:cs="宋体"/>
          <w:kern w:val="0"/>
          <w:sz w:val="30"/>
          <w:szCs w:val="30"/>
        </w:rPr>
        <w:t>从义乌市昌盈贸易有限公司处购进</w:t>
      </w:r>
      <w:r>
        <w:rPr>
          <w:rFonts w:hint="eastAsia" w:ascii="仿宋" w:hAnsi="仿宋" w:eastAsia="仿宋" w:cs="宋体"/>
          <w:kern w:val="0"/>
          <w:sz w:val="30"/>
          <w:szCs w:val="30"/>
        </w:rPr>
        <w:t>，系合法取得且说明了提供者。至于其主观上是否尽到了合理注意义务。本院认为，经营者审查注意义务的程度应与其自身的规模及所售商品类别、商品知名度</w:t>
      </w:r>
      <w:r>
        <w:rPr>
          <w:rFonts w:hint="eastAsia" w:ascii="仿宋" w:hAnsi="仿宋" w:eastAsia="仿宋"/>
          <w:sz w:val="30"/>
          <w:szCs w:val="30"/>
        </w:rPr>
        <w:t>等因素直接相关。</w:t>
      </w:r>
      <w:r>
        <w:rPr>
          <w:rStyle w:val="31"/>
          <w:rFonts w:hint="eastAsia" w:ascii="仿宋" w:hAnsi="仿宋" w:eastAsia="仿宋"/>
          <w:sz w:val="30"/>
          <w:szCs w:val="30"/>
        </w:rPr>
        <w:t>芜湖和联购物中心有限公司</w:t>
      </w:r>
      <w:r>
        <w:rPr>
          <w:rFonts w:hint="eastAsia" w:ascii="仿宋" w:hAnsi="仿宋" w:eastAsia="仿宋"/>
          <w:sz w:val="30"/>
          <w:szCs w:val="30"/>
        </w:rPr>
        <w:t>系大型超市，其不仅应从正规渠道合法进货，亦应尊重他人知识产权、避免销售假冒商品，同时，相较于普通消费者，其对所经营产品的真伪具有一定的辨识能力，并对是否侵犯他人知识产权负有更高的注意义务。</w:t>
      </w:r>
      <w:r>
        <w:rPr>
          <w:rFonts w:hint="eastAsia" w:ascii="仿宋" w:hAnsi="仿宋" w:eastAsia="仿宋" w:cs="仿宋"/>
          <w:sz w:val="30"/>
          <w:szCs w:val="30"/>
        </w:rPr>
        <w:t>芜湖和联购物中心有限公司</w:t>
      </w:r>
      <w:r>
        <w:rPr>
          <w:rStyle w:val="31"/>
          <w:rFonts w:hint="eastAsia" w:ascii="仿宋" w:hAnsi="仿宋" w:eastAsia="仿宋"/>
          <w:sz w:val="30"/>
          <w:szCs w:val="30"/>
        </w:rPr>
        <w:t>在其线上网店销售“卡迪欧”品牌洗护产品的同时，在其线下实体店销售“阿道夫”品牌洗护产品，说明其对洗护行业内有一定知名度的“阿道夫”产品有所了解，但却在线上以明显低于“阿道夫”洗护用品的价格销售</w:t>
      </w:r>
      <w:r>
        <w:rPr>
          <w:rFonts w:hint="eastAsia" w:ascii="仿宋" w:hAnsi="仿宋" w:eastAsia="仿宋" w:cs="仿宋"/>
          <w:sz w:val="30"/>
          <w:szCs w:val="30"/>
        </w:rPr>
        <w:t>包装、装潢与</w:t>
      </w:r>
      <w:r>
        <w:rPr>
          <w:rStyle w:val="31"/>
          <w:rFonts w:hint="eastAsia" w:ascii="仿宋" w:hAnsi="仿宋" w:eastAsia="仿宋"/>
          <w:sz w:val="30"/>
          <w:szCs w:val="30"/>
        </w:rPr>
        <w:t>“阿道夫”</w:t>
      </w:r>
      <w:r>
        <w:rPr>
          <w:rFonts w:hint="eastAsia" w:ascii="仿宋" w:hAnsi="仿宋" w:eastAsia="仿宋" w:cs="仿宋"/>
          <w:sz w:val="30"/>
          <w:szCs w:val="30"/>
        </w:rPr>
        <w:t>近似的”</w:t>
      </w:r>
      <w:r>
        <w:rPr>
          <w:rStyle w:val="31"/>
          <w:rFonts w:hint="eastAsia" w:ascii="仿宋" w:hAnsi="仿宋" w:eastAsia="仿宋"/>
          <w:sz w:val="30"/>
          <w:szCs w:val="30"/>
        </w:rPr>
        <w:t>“卡迪欧”</w:t>
      </w:r>
      <w:r>
        <w:rPr>
          <w:rFonts w:ascii="仿宋" w:hAnsi="仿宋" w:eastAsia="仿宋"/>
          <w:sz w:val="30"/>
          <w:szCs w:val="30"/>
        </w:rPr>
        <w:t>洗发乳液</w:t>
      </w:r>
      <w:r>
        <w:rPr>
          <w:rFonts w:hint="eastAsia" w:ascii="仿宋" w:hAnsi="仿宋" w:eastAsia="仿宋"/>
          <w:sz w:val="30"/>
          <w:szCs w:val="30"/>
        </w:rPr>
        <w:t>，</w:t>
      </w:r>
      <w:r>
        <w:rPr>
          <w:rStyle w:val="31"/>
          <w:rFonts w:hint="eastAsia" w:ascii="仿宋" w:hAnsi="仿宋" w:eastAsia="仿宋"/>
          <w:sz w:val="30"/>
          <w:szCs w:val="30"/>
        </w:rPr>
        <w:t>主观上难谓善意，无法</w:t>
      </w:r>
      <w:r>
        <w:rPr>
          <w:rFonts w:hint="eastAsia" w:ascii="仿宋" w:hAnsi="仿宋" w:eastAsia="仿宋"/>
          <w:sz w:val="30"/>
          <w:szCs w:val="30"/>
        </w:rPr>
        <w:t>认定</w:t>
      </w:r>
      <w:r>
        <w:rPr>
          <w:rStyle w:val="31"/>
          <w:rFonts w:hint="eastAsia" w:ascii="仿宋" w:hAnsi="仿宋" w:eastAsia="仿宋"/>
          <w:sz w:val="30"/>
          <w:szCs w:val="30"/>
        </w:rPr>
        <w:t>其</w:t>
      </w:r>
      <w:r>
        <w:rPr>
          <w:rFonts w:hint="eastAsia" w:ascii="仿宋" w:hAnsi="仿宋" w:eastAsia="仿宋"/>
          <w:sz w:val="30"/>
          <w:szCs w:val="30"/>
        </w:rPr>
        <w:t>对尽到了合理、审慎的注意义务。因此，原告可若夕雨公司关于</w:t>
      </w:r>
      <w:r>
        <w:rPr>
          <w:rFonts w:hint="eastAsia" w:ascii="仿宋" w:hAnsi="仿宋" w:eastAsia="仿宋" w:cs="宋体"/>
          <w:kern w:val="0"/>
          <w:sz w:val="30"/>
          <w:szCs w:val="30"/>
        </w:rPr>
        <w:t>芜湖和联购物中心有限公司构成</w:t>
      </w:r>
      <w:r>
        <w:rPr>
          <w:rFonts w:hint="eastAsia" w:ascii="仿宋" w:hAnsi="仿宋" w:eastAsia="仿宋"/>
          <w:sz w:val="30"/>
          <w:szCs w:val="30"/>
        </w:rPr>
        <w:t>合法来源抗辩的主张不能成立，本院不予支持。</w:t>
      </w:r>
    </w:p>
    <w:p>
      <w:pPr>
        <w:autoSpaceDE w:val="0"/>
        <w:autoSpaceDN w:val="0"/>
        <w:spacing w:line="500" w:lineRule="exact"/>
        <w:ind w:firstLine="600" w:firstLineChars="200"/>
        <w:rPr>
          <w:rFonts w:ascii="仿宋" w:hAnsi="仿宋" w:eastAsia="仿宋" w:cs="仿宋"/>
          <w:sz w:val="30"/>
          <w:szCs w:val="30"/>
        </w:rPr>
      </w:pPr>
      <w:r>
        <w:rPr>
          <w:rFonts w:hint="eastAsia" w:ascii="仿宋" w:hAnsi="仿宋" w:eastAsia="仿宋" w:cs="仿宋"/>
          <w:sz w:val="30"/>
          <w:szCs w:val="30"/>
        </w:rPr>
        <w:t>综上，芜湖和联购物中心有限公司销售“与他人有一定影响的商品包装、装潢近似的标识”的商品，具有“搭便车”之嫌，有违公平、诚实信用的市场竞争原则，构成仿冒混淆的不正当竞争行为，被告芜湖市市场监督管理局所作出的案涉行政处罚决定，事实认定清楚、证据确实充分。</w:t>
      </w:r>
    </w:p>
    <w:p>
      <w:pPr>
        <w:spacing w:line="500" w:lineRule="exact"/>
        <w:ind w:firstLine="600" w:firstLineChars="200"/>
        <w:outlineLvl w:val="1"/>
        <w:rPr>
          <w:rFonts w:ascii="仿宋" w:hAnsi="仿宋" w:eastAsia="仿宋"/>
          <w:sz w:val="30"/>
          <w:szCs w:val="30"/>
        </w:rPr>
      </w:pPr>
      <w:r>
        <w:rPr>
          <w:rFonts w:hint="eastAsia" w:ascii="仿宋" w:hAnsi="仿宋" w:eastAsia="仿宋"/>
          <w:sz w:val="30"/>
          <w:szCs w:val="30"/>
        </w:rPr>
        <w:t>三、关于被告芜湖市市场监督管理局所作出的案涉行政处罚法律适用是否正确。</w:t>
      </w:r>
    </w:p>
    <w:p>
      <w:pPr>
        <w:widowControl/>
        <w:shd w:val="clear" w:color="auto" w:fill="FFFFFF"/>
        <w:spacing w:line="500" w:lineRule="exact"/>
        <w:ind w:firstLine="710" w:firstLineChars="237"/>
        <w:rPr>
          <w:rFonts w:ascii="仿宋" w:hAnsi="仿宋" w:eastAsia="仿宋" w:cs="仿宋"/>
          <w:sz w:val="30"/>
          <w:szCs w:val="30"/>
        </w:rPr>
      </w:pPr>
      <w:r>
        <w:rPr>
          <w:rFonts w:hint="eastAsia" w:ascii="仿宋" w:hAnsi="仿宋" w:eastAsia="仿宋" w:cs="仿宋"/>
          <w:sz w:val="30"/>
          <w:szCs w:val="30"/>
        </w:rPr>
        <w:t>如上所述，芜湖和联购物中心有限公司实施了《反不正当竞争法》第六条第（一）项禁止的混淆行为，被告芜湖市市场监督管理局在查明事实的基础上，依据《反不正当竞争法》第六条第（一）项、第十八条第一款以及《行政处罚法》第二十八条、第三十二条第（五）项等规定，作出案涉行政处罚决定，适用法律正确。</w:t>
      </w:r>
    </w:p>
    <w:p>
      <w:pPr>
        <w:spacing w:line="500" w:lineRule="exact"/>
        <w:ind w:firstLine="600" w:firstLineChars="200"/>
        <w:outlineLvl w:val="1"/>
        <w:rPr>
          <w:rFonts w:ascii="仿宋" w:hAnsi="仿宋" w:eastAsia="仿宋"/>
          <w:sz w:val="30"/>
          <w:szCs w:val="30"/>
        </w:rPr>
      </w:pPr>
      <w:r>
        <w:rPr>
          <w:rFonts w:hint="eastAsia" w:ascii="仿宋" w:hAnsi="仿宋" w:eastAsia="仿宋"/>
          <w:sz w:val="30"/>
          <w:szCs w:val="30"/>
        </w:rPr>
        <w:t>四、关于被告芜湖市市场监督管理局所作出的案涉行政处罚程序是否合法。</w:t>
      </w:r>
    </w:p>
    <w:p>
      <w:pPr>
        <w:spacing w:line="500" w:lineRule="exact"/>
        <w:ind w:firstLine="600" w:firstLineChars="200"/>
        <w:rPr>
          <w:rFonts w:ascii="仿宋" w:hAnsi="仿宋" w:eastAsia="仿宋"/>
          <w:sz w:val="30"/>
          <w:szCs w:val="30"/>
        </w:rPr>
      </w:pPr>
      <w:r>
        <w:rPr>
          <w:rFonts w:hint="eastAsia" w:ascii="仿宋" w:hAnsi="仿宋" w:eastAsia="仿宋"/>
          <w:kern w:val="0"/>
          <w:sz w:val="30"/>
          <w:szCs w:val="30"/>
        </w:rPr>
        <w:t>《行政处罚法》第三十一条、第三十二条规定，行政机关在作出行政处罚决定之前，应当告知当事人作出行政处罚决定的事实、理由及依据，并告知当事人依法享有的权利。当事人有权进行陈述和申辩。行政机关必须充分听取当事人的意见，对当事人提出的事实、理由和证据，应当进行复核；当事人提出的事实、理由或者证据成立的，行政机关应当采纳。本案中，被告芜湖市市场监督管理局在作出案涉行政处罚决定前，依法履行了立案、调查、收集、调取证据、现场检查、制作现场笔录、询问调查、制作询问笔录、保障当事人陈述申辩权、案件调查终结、形成调查终结报告、内部审核、送达告知书、告知享有陈述、申辩及听证申请的权利、负责人审查决定等</w:t>
      </w:r>
      <w:r>
        <w:rPr>
          <w:rFonts w:hint="eastAsia" w:ascii="仿宋" w:hAnsi="仿宋" w:eastAsia="仿宋"/>
          <w:sz w:val="30"/>
          <w:szCs w:val="30"/>
        </w:rPr>
        <w:t>程序，充分保障了被处罚对象的陈述、申辩、听证等重要权利，在法定期限内作出被诉行政处罚决定并送达，同时保证了被处罚对象的复议、诉讼权利，符合法律规定的程序要求。原告可若夕雨化妆品公司提出被告芜湖市市场监督管理局在作出行政处罚决定之前未告知生产商，属于程序违法，但该主张没有法律依据，本院不予支持。</w:t>
      </w:r>
    </w:p>
    <w:p>
      <w:pPr>
        <w:widowControl/>
        <w:shd w:val="clear" w:color="auto" w:fill="FFFFFF"/>
        <w:spacing w:line="500" w:lineRule="exact"/>
        <w:ind w:firstLine="588" w:firstLineChars="196"/>
        <w:outlineLvl w:val="1"/>
        <w:rPr>
          <w:rFonts w:ascii="仿宋" w:hAnsi="仿宋" w:eastAsia="仿宋" w:cs="宋体"/>
          <w:kern w:val="0"/>
          <w:sz w:val="30"/>
          <w:szCs w:val="30"/>
        </w:rPr>
      </w:pPr>
      <w:r>
        <w:rPr>
          <w:rFonts w:hint="eastAsia" w:ascii="仿宋" w:hAnsi="仿宋" w:eastAsia="仿宋" w:cs="宋体"/>
          <w:kern w:val="0"/>
          <w:sz w:val="30"/>
          <w:szCs w:val="30"/>
        </w:rPr>
        <w:t>五、关于被告</w:t>
      </w:r>
      <w:r>
        <w:rPr>
          <w:rFonts w:hint="eastAsia" w:ascii="仿宋" w:hAnsi="仿宋" w:eastAsia="仿宋"/>
          <w:sz w:val="30"/>
          <w:szCs w:val="30"/>
        </w:rPr>
        <w:t>芜湖市人民政府所作出的案涉</w:t>
      </w:r>
      <w:r>
        <w:rPr>
          <w:rFonts w:hint="eastAsia" w:ascii="仿宋" w:hAnsi="仿宋" w:eastAsia="仿宋" w:cs="宋体"/>
          <w:kern w:val="0"/>
          <w:sz w:val="30"/>
          <w:szCs w:val="30"/>
        </w:rPr>
        <w:t>行政复议行为是否合法。</w:t>
      </w:r>
    </w:p>
    <w:p>
      <w:pPr>
        <w:widowControl/>
        <w:shd w:val="clear" w:color="auto" w:fill="FFFFFF"/>
        <w:spacing w:line="500" w:lineRule="exact"/>
        <w:ind w:firstLine="630" w:firstLineChars="210"/>
        <w:rPr>
          <w:rFonts w:ascii="仿宋" w:hAnsi="仿宋" w:eastAsia="仿宋"/>
          <w:sz w:val="30"/>
          <w:szCs w:val="30"/>
        </w:rPr>
      </w:pPr>
      <w:r>
        <w:rPr>
          <w:rFonts w:hint="eastAsia" w:ascii="仿宋" w:hAnsi="仿宋" w:eastAsia="仿宋"/>
          <w:sz w:val="30"/>
          <w:szCs w:val="30"/>
        </w:rPr>
        <w:t>被告芜湖市人民政府作为被告芜湖市市场监督管理局的上级主管部门，具有对被告芜湖市市场监督管理局所作行政行为进行行政复议的法定职权。原告可若夕雨化妆品公司提出复议申请后，被告芜湖市人民政府履行了受理、通知答辩举证、延期告知、审查决定、送达等程序，于法定期限内作出复议决定并送达，符合《中华人民共和国行政复议法》的相关规定。</w:t>
      </w:r>
    </w:p>
    <w:p>
      <w:pPr>
        <w:spacing w:line="500" w:lineRule="exact"/>
        <w:ind w:firstLine="600" w:firstLineChars="200"/>
        <w:rPr>
          <w:rFonts w:ascii="仿宋" w:hAnsi="仿宋" w:eastAsia="仿宋" w:cs="宋体"/>
          <w:kern w:val="0"/>
          <w:sz w:val="30"/>
          <w:szCs w:val="30"/>
        </w:rPr>
      </w:pPr>
      <w:r>
        <w:rPr>
          <w:rFonts w:hint="eastAsia" w:ascii="仿宋" w:hAnsi="仿宋" w:eastAsia="仿宋"/>
          <w:sz w:val="30"/>
          <w:szCs w:val="30"/>
        </w:rPr>
        <w:t>综上</w:t>
      </w:r>
      <w:r>
        <w:rPr>
          <w:rFonts w:hint="eastAsia" w:ascii="仿宋" w:hAnsi="仿宋" w:eastAsia="仿宋" w:cs="仿宋_GB2312"/>
          <w:sz w:val="30"/>
          <w:szCs w:val="30"/>
        </w:rPr>
        <w:t>所述</w:t>
      </w:r>
      <w:r>
        <w:rPr>
          <w:rFonts w:hint="eastAsia" w:ascii="仿宋" w:hAnsi="仿宋" w:eastAsia="仿宋"/>
          <w:sz w:val="30"/>
          <w:szCs w:val="30"/>
        </w:rPr>
        <w:t>，被告芜湖市市场监督管理局</w:t>
      </w:r>
      <w:r>
        <w:rPr>
          <w:rFonts w:hint="eastAsia" w:ascii="仿宋" w:hAnsi="仿宋" w:eastAsia="仿宋" w:cs="宋体"/>
          <w:kern w:val="0"/>
          <w:sz w:val="30"/>
          <w:szCs w:val="30"/>
        </w:rPr>
        <w:t>在查清违法事实的基础上，充分考虑</w:t>
      </w:r>
      <w:r>
        <w:rPr>
          <w:rFonts w:hint="eastAsia" w:ascii="仿宋" w:hAnsi="仿宋" w:eastAsia="仿宋"/>
          <w:sz w:val="30"/>
          <w:szCs w:val="30"/>
        </w:rPr>
        <w:t>违法行为的性质、情节以及社会危害程度</w:t>
      </w:r>
      <w:r>
        <w:rPr>
          <w:rFonts w:hint="eastAsia" w:ascii="仿宋" w:hAnsi="仿宋" w:eastAsia="仿宋" w:cs="宋体"/>
          <w:kern w:val="0"/>
          <w:sz w:val="30"/>
          <w:szCs w:val="30"/>
        </w:rPr>
        <w:t>等各种因素，所</w:t>
      </w:r>
      <w:r>
        <w:rPr>
          <w:rFonts w:hint="eastAsia" w:ascii="仿宋" w:hAnsi="仿宋" w:eastAsia="仿宋"/>
          <w:sz w:val="30"/>
          <w:szCs w:val="30"/>
        </w:rPr>
        <w:t>作出的《行政处罚决定书》主体适格，</w:t>
      </w:r>
      <w:r>
        <w:rPr>
          <w:rFonts w:hint="eastAsia" w:ascii="仿宋" w:hAnsi="仿宋" w:eastAsia="仿宋" w:cs="仿宋_GB2312"/>
          <w:sz w:val="30"/>
          <w:szCs w:val="30"/>
        </w:rPr>
        <w:t>事实认定清楚，</w:t>
      </w:r>
      <w:r>
        <w:rPr>
          <w:rFonts w:hint="eastAsia" w:ascii="仿宋" w:hAnsi="仿宋" w:eastAsia="仿宋"/>
          <w:sz w:val="30"/>
          <w:szCs w:val="30"/>
        </w:rPr>
        <w:t>证据</w:t>
      </w:r>
      <w:r>
        <w:rPr>
          <w:rFonts w:hint="eastAsia" w:ascii="仿宋" w:hAnsi="仿宋" w:eastAsia="仿宋" w:cs="仿宋_GB2312"/>
          <w:sz w:val="30"/>
          <w:szCs w:val="30"/>
        </w:rPr>
        <w:t>确凿</w:t>
      </w:r>
      <w:r>
        <w:rPr>
          <w:rFonts w:hint="eastAsia" w:ascii="仿宋" w:hAnsi="仿宋" w:eastAsia="仿宋"/>
          <w:sz w:val="30"/>
          <w:szCs w:val="30"/>
        </w:rPr>
        <w:t>充分，程序合法，适用法律正确，量罚适当，</w:t>
      </w:r>
      <w:r>
        <w:rPr>
          <w:rFonts w:hint="eastAsia" w:ascii="仿宋" w:hAnsi="仿宋" w:eastAsia="仿宋" w:cs="宋体"/>
          <w:kern w:val="0"/>
          <w:sz w:val="30"/>
          <w:szCs w:val="30"/>
        </w:rPr>
        <w:t>不存在应撤销或变更的情形，</w:t>
      </w:r>
      <w:r>
        <w:rPr>
          <w:rFonts w:hint="eastAsia" w:ascii="仿宋" w:hAnsi="仿宋" w:eastAsia="仿宋"/>
          <w:sz w:val="30"/>
          <w:szCs w:val="30"/>
        </w:rPr>
        <w:t>依法应予维持。被告芜湖市人民政府作出的《行政复议决定书》，复议主体适格，复议程序合法，复议决定证据充分，依法亦应予以维持。</w:t>
      </w:r>
      <w:r>
        <w:rPr>
          <w:rFonts w:hint="eastAsia" w:ascii="仿宋" w:hAnsi="仿宋" w:eastAsia="仿宋" w:cs="宋体"/>
          <w:kern w:val="0"/>
          <w:sz w:val="30"/>
          <w:szCs w:val="30"/>
        </w:rPr>
        <w:t>原告可若夕雨化妆品公司的各项诉讼请求，均没有事实和法律依据，本院均</w:t>
      </w:r>
      <w:r>
        <w:rPr>
          <w:rFonts w:hint="eastAsia" w:ascii="仿宋" w:hAnsi="仿宋" w:eastAsia="仿宋"/>
          <w:sz w:val="30"/>
          <w:szCs w:val="30"/>
        </w:rPr>
        <w:t>不予支持。</w:t>
      </w:r>
    </w:p>
    <w:p>
      <w:pPr>
        <w:spacing w:line="500" w:lineRule="exact"/>
        <w:ind w:firstLine="600" w:firstLineChars="200"/>
        <w:outlineLvl w:val="1"/>
        <w:rPr>
          <w:rFonts w:ascii="仿宋" w:hAnsi="仿宋" w:eastAsia="仿宋" w:cs="宋体"/>
          <w:bCs/>
          <w:kern w:val="0"/>
          <w:sz w:val="30"/>
          <w:szCs w:val="30"/>
        </w:rPr>
      </w:pPr>
      <w:r>
        <w:rPr>
          <w:rFonts w:hint="eastAsia" w:ascii="仿宋" w:hAnsi="仿宋" w:eastAsia="仿宋" w:cs="宋体"/>
          <w:kern w:val="0"/>
          <w:sz w:val="30"/>
          <w:szCs w:val="30"/>
        </w:rPr>
        <w:t>据此，依照《中华人民共和国行政处罚法》第四条，《中华人民共和国反不正当竞争法》第二条、第六条第（一）项、第十八条第一款，《最高人民法院关于适用〈中华人民共和国反不正当竞争法〉若干问题的解释》</w:t>
      </w:r>
      <w:r>
        <w:rPr>
          <w:rFonts w:ascii="仿宋" w:hAnsi="仿宋" w:eastAsia="仿宋" w:cs="宋体"/>
          <w:bCs/>
          <w:kern w:val="0"/>
          <w:sz w:val="30"/>
          <w:szCs w:val="30"/>
        </w:rPr>
        <w:t>第四条、第十条、第十二条、第十四条</w:t>
      </w:r>
      <w:r>
        <w:rPr>
          <w:rFonts w:hint="eastAsia" w:ascii="仿宋" w:hAnsi="仿宋" w:eastAsia="仿宋" w:cs="宋体"/>
          <w:bCs/>
          <w:kern w:val="0"/>
          <w:sz w:val="30"/>
          <w:szCs w:val="30"/>
        </w:rPr>
        <w:t>，《中华人民共和国行政诉讼法》第二十六条、第六十九条、第七十九条之规定，判决如下：</w:t>
      </w:r>
    </w:p>
    <w:p>
      <w:pPr>
        <w:spacing w:line="500" w:lineRule="exact"/>
        <w:ind w:firstLine="600" w:firstLineChars="200"/>
        <w:rPr>
          <w:rFonts w:ascii="仿宋" w:hAnsi="仿宋" w:eastAsia="仿宋" w:cs="宋体"/>
          <w:bCs/>
          <w:kern w:val="0"/>
          <w:sz w:val="30"/>
          <w:szCs w:val="30"/>
        </w:rPr>
      </w:pPr>
      <w:r>
        <w:rPr>
          <w:rFonts w:hint="eastAsia" w:ascii="仿宋" w:hAnsi="仿宋" w:eastAsia="仿宋" w:cs="宋体"/>
          <w:bCs/>
          <w:kern w:val="0"/>
          <w:sz w:val="30"/>
          <w:szCs w:val="30"/>
        </w:rPr>
        <w:t>驳回原告汕头市可若夕雨化妆品有限公司的诉讼请求。</w:t>
      </w:r>
    </w:p>
    <w:p>
      <w:pPr>
        <w:spacing w:line="500" w:lineRule="exact"/>
        <w:ind w:firstLine="600" w:firstLineChars="200"/>
        <w:rPr>
          <w:rFonts w:ascii="仿宋" w:hAnsi="仿宋" w:eastAsia="仿宋" w:cs="宋体"/>
          <w:bCs/>
          <w:kern w:val="0"/>
          <w:sz w:val="30"/>
          <w:szCs w:val="30"/>
        </w:rPr>
      </w:pPr>
      <w:r>
        <w:rPr>
          <w:rFonts w:hint="eastAsia" w:ascii="仿宋" w:hAnsi="仿宋" w:eastAsia="仿宋" w:cs="宋体"/>
          <w:bCs/>
          <w:kern w:val="0"/>
          <w:sz w:val="30"/>
          <w:szCs w:val="30"/>
        </w:rPr>
        <w:t>案件受理费50元，由原告汕头市可若夕雨化妆品有限公司负担。</w:t>
      </w:r>
    </w:p>
    <w:p>
      <w:pPr>
        <w:spacing w:line="500" w:lineRule="exact"/>
        <w:ind w:firstLine="600" w:firstLineChars="200"/>
        <w:rPr>
          <w:rFonts w:ascii="仿宋" w:hAnsi="仿宋" w:eastAsia="仿宋" w:cs="宋体"/>
          <w:bCs/>
          <w:kern w:val="0"/>
          <w:sz w:val="30"/>
          <w:szCs w:val="30"/>
        </w:rPr>
      </w:pPr>
      <w:r>
        <w:rPr>
          <w:rFonts w:hint="eastAsia" w:ascii="仿宋" w:hAnsi="仿宋" w:eastAsia="仿宋" w:cs="宋体"/>
          <w:bCs/>
          <w:kern w:val="0"/>
          <w:sz w:val="30"/>
          <w:szCs w:val="30"/>
        </w:rPr>
        <w:t>如不服本判决，可以在判决书送达之日起十五日内向本院递交上诉状，并按对方当事人的人数提出副本，上诉于安徽省芜湖市中级人民法院。</w:t>
      </w:r>
    </w:p>
    <w:p>
      <w:pPr>
        <w:autoSpaceDE w:val="0"/>
        <w:autoSpaceDN w:val="0"/>
        <w:spacing w:line="500" w:lineRule="exact"/>
        <w:ind w:firstLine="200"/>
        <w:rPr>
          <w:rFonts w:ascii="仿宋" w:hAnsi="仿宋" w:eastAsia="仿宋" w:cs="仿宋"/>
          <w:kern w:val="0"/>
          <w:sz w:val="30"/>
          <w:szCs w:val="30"/>
          <w:lang w:val="zh-CN"/>
        </w:rPr>
      </w:pPr>
    </w:p>
    <w:p>
      <w:pPr>
        <w:autoSpaceDE w:val="0"/>
        <w:autoSpaceDN w:val="0"/>
        <w:spacing w:line="500" w:lineRule="exact"/>
        <w:ind w:right="420" w:rightChars="200"/>
        <w:jc w:val="right"/>
        <w:rPr>
          <w:rFonts w:ascii="仿宋" w:hAnsi="仿宋" w:eastAsia="仿宋" w:cs="仿宋"/>
          <w:kern w:val="0"/>
          <w:sz w:val="30"/>
          <w:szCs w:val="30"/>
          <w:lang w:val="zh-CN"/>
        </w:rPr>
      </w:pPr>
      <w:r>
        <w:rPr>
          <w:rFonts w:hint="eastAsia" w:ascii="仿宋" w:hAnsi="仿宋" w:eastAsia="仿宋" w:cs="仿宋"/>
          <w:kern w:val="0"/>
          <w:sz w:val="30"/>
          <w:szCs w:val="30"/>
          <w:lang w:val="zh-CN"/>
        </w:rPr>
        <w:t xml:space="preserve">                      审  判  长     黄晶晶</w:t>
      </w:r>
    </w:p>
    <w:p>
      <w:pPr>
        <w:autoSpaceDE w:val="0"/>
        <w:autoSpaceDN w:val="0"/>
        <w:spacing w:line="500" w:lineRule="exact"/>
        <w:ind w:right="420" w:rightChars="200"/>
        <w:jc w:val="right"/>
        <w:rPr>
          <w:rFonts w:ascii="仿宋" w:hAnsi="仿宋" w:eastAsia="仿宋" w:cs="仿宋"/>
          <w:kern w:val="0"/>
          <w:sz w:val="30"/>
          <w:szCs w:val="30"/>
          <w:lang w:val="zh-CN"/>
        </w:rPr>
      </w:pPr>
      <w:r>
        <w:rPr>
          <w:rFonts w:hint="eastAsia" w:ascii="仿宋" w:hAnsi="仿宋" w:eastAsia="仿宋" w:cs="仿宋"/>
          <w:kern w:val="0"/>
          <w:sz w:val="30"/>
          <w:szCs w:val="30"/>
          <w:lang w:val="zh-CN"/>
        </w:rPr>
        <w:t>人民陪审员     陈世富</w:t>
      </w:r>
    </w:p>
    <w:p>
      <w:pPr>
        <w:autoSpaceDE w:val="0"/>
        <w:autoSpaceDN w:val="0"/>
        <w:spacing w:line="500" w:lineRule="exact"/>
        <w:ind w:right="420" w:rightChars="200"/>
        <w:jc w:val="right"/>
        <w:rPr>
          <w:rFonts w:ascii="仿宋" w:hAnsi="仿宋" w:eastAsia="仿宋" w:cs="仿宋"/>
          <w:kern w:val="0"/>
          <w:sz w:val="30"/>
          <w:szCs w:val="30"/>
          <w:lang w:val="zh-CN"/>
        </w:rPr>
      </w:pPr>
      <w:r>
        <w:rPr>
          <w:rFonts w:hint="eastAsia" w:ascii="仿宋" w:hAnsi="仿宋" w:eastAsia="仿宋" w:cs="仿宋"/>
          <w:kern w:val="0"/>
          <w:sz w:val="30"/>
          <w:szCs w:val="30"/>
          <w:lang w:val="zh-CN"/>
        </w:rPr>
        <w:t>人民陪审员     刘新民</w:t>
      </w:r>
    </w:p>
    <w:p>
      <w:pPr>
        <w:autoSpaceDE w:val="0"/>
        <w:autoSpaceDN w:val="0"/>
        <w:spacing w:line="500" w:lineRule="exact"/>
        <w:ind w:right="420" w:rightChars="200"/>
        <w:jc w:val="right"/>
        <w:rPr>
          <w:rFonts w:ascii="仿宋" w:hAnsi="仿宋" w:eastAsia="仿宋" w:cs="仿宋"/>
          <w:kern w:val="0"/>
          <w:sz w:val="30"/>
          <w:szCs w:val="30"/>
          <w:lang w:val="zh-CN"/>
        </w:rPr>
      </w:pPr>
    </w:p>
    <w:p>
      <w:pPr>
        <w:autoSpaceDE w:val="0"/>
        <w:autoSpaceDN w:val="0"/>
        <w:spacing w:line="500" w:lineRule="exact"/>
        <w:ind w:right="420" w:rightChars="200"/>
        <w:jc w:val="right"/>
        <w:rPr>
          <w:rFonts w:ascii="仿宋" w:hAnsi="仿宋" w:eastAsia="仿宋" w:cs="仿宋"/>
          <w:kern w:val="0"/>
          <w:sz w:val="30"/>
          <w:szCs w:val="30"/>
          <w:lang w:val="zh-CN"/>
        </w:rPr>
      </w:pPr>
    </w:p>
    <w:p>
      <w:pPr>
        <w:autoSpaceDE w:val="0"/>
        <w:autoSpaceDN w:val="0"/>
        <w:spacing w:line="500" w:lineRule="exact"/>
        <w:ind w:right="420" w:rightChars="200"/>
        <w:jc w:val="right"/>
        <w:rPr>
          <w:rFonts w:ascii="仿宋" w:hAnsi="仿宋" w:eastAsia="仿宋" w:cs="仿宋"/>
          <w:kern w:val="0"/>
          <w:sz w:val="30"/>
          <w:szCs w:val="30"/>
          <w:lang w:val="zh-CN"/>
        </w:rPr>
      </w:pPr>
    </w:p>
    <w:p>
      <w:pPr>
        <w:autoSpaceDE w:val="0"/>
        <w:autoSpaceDN w:val="0"/>
        <w:spacing w:line="500" w:lineRule="exact"/>
        <w:ind w:right="420" w:rightChars="200"/>
        <w:jc w:val="right"/>
        <w:rPr>
          <w:rFonts w:ascii="仿宋" w:hAnsi="仿宋" w:eastAsia="仿宋" w:cs="仿宋"/>
          <w:kern w:val="0"/>
          <w:sz w:val="30"/>
          <w:szCs w:val="30"/>
          <w:lang w:val="zh-CN"/>
        </w:rPr>
      </w:pPr>
      <w:r>
        <w:rPr>
          <w:rFonts w:hint="eastAsia" w:ascii="仿宋" w:hAnsi="仿宋" w:eastAsia="仿宋" w:cs="仿宋"/>
          <w:kern w:val="0"/>
          <w:sz w:val="30"/>
          <w:szCs w:val="30"/>
          <w:lang w:val="zh-CN"/>
        </w:rPr>
        <w:t>二〇二二年十二月七日</w:t>
      </w:r>
    </w:p>
    <w:p>
      <w:pPr>
        <w:autoSpaceDE w:val="0"/>
        <w:autoSpaceDN w:val="0"/>
        <w:spacing w:line="500" w:lineRule="exact"/>
        <w:ind w:right="420" w:rightChars="200"/>
        <w:jc w:val="right"/>
        <w:rPr>
          <w:rFonts w:ascii="仿宋" w:hAnsi="仿宋" w:eastAsia="仿宋" w:cs="仿宋"/>
          <w:kern w:val="0"/>
          <w:sz w:val="30"/>
          <w:szCs w:val="30"/>
          <w:lang w:val="zh-CN"/>
        </w:rPr>
      </w:pPr>
    </w:p>
    <w:p>
      <w:pPr>
        <w:autoSpaceDE w:val="0"/>
        <w:autoSpaceDN w:val="0"/>
        <w:spacing w:line="500" w:lineRule="exact"/>
        <w:ind w:right="420" w:rightChars="200"/>
        <w:jc w:val="right"/>
        <w:rPr>
          <w:rFonts w:ascii="仿宋" w:hAnsi="仿宋" w:eastAsia="仿宋" w:cs="仿宋"/>
          <w:kern w:val="0"/>
          <w:sz w:val="30"/>
          <w:szCs w:val="30"/>
          <w:lang w:val="zh-CN"/>
        </w:rPr>
      </w:pPr>
      <w:r>
        <w:rPr>
          <w:rFonts w:hint="eastAsia" w:ascii="仿宋" w:hAnsi="仿宋" w:eastAsia="仿宋" w:cs="仿宋"/>
          <w:kern w:val="0"/>
          <w:sz w:val="30"/>
          <w:szCs w:val="30"/>
          <w:lang w:val="zh-CN"/>
        </w:rPr>
        <w:t>法官  助理    汤丽娜</w:t>
      </w:r>
    </w:p>
    <w:p>
      <w:pPr>
        <w:autoSpaceDE w:val="0"/>
        <w:autoSpaceDN w:val="0"/>
        <w:spacing w:line="500" w:lineRule="exact"/>
        <w:ind w:right="420" w:rightChars="200"/>
        <w:jc w:val="right"/>
        <w:rPr>
          <w:rFonts w:ascii="仿宋" w:hAnsi="仿宋" w:eastAsia="仿宋" w:cs="仿宋"/>
          <w:kern w:val="0"/>
          <w:sz w:val="30"/>
          <w:szCs w:val="30"/>
          <w:lang w:val="zh-CN"/>
        </w:rPr>
      </w:pPr>
      <w:r>
        <w:rPr>
          <w:rFonts w:hint="eastAsia" w:ascii="仿宋" w:hAnsi="仿宋" w:eastAsia="仿宋" w:cs="仿宋"/>
          <w:kern w:val="0"/>
          <w:sz w:val="30"/>
          <w:szCs w:val="30"/>
          <w:lang w:val="zh-CN"/>
        </w:rPr>
        <w:t>书  记  员    管国珺</w:t>
      </w:r>
    </w:p>
    <w:p>
      <w:pPr>
        <w:widowControl/>
        <w:shd w:val="clear" w:color="auto" w:fill="FFFFFF"/>
        <w:spacing w:line="500" w:lineRule="exact"/>
        <w:ind w:firstLine="200"/>
        <w:rPr>
          <w:rFonts w:ascii="仿宋" w:hAnsi="仿宋" w:eastAsia="仿宋" w:cs="宋体"/>
          <w:kern w:val="0"/>
          <w:sz w:val="30"/>
          <w:szCs w:val="30"/>
        </w:rPr>
      </w:pPr>
    </w:p>
    <w:p>
      <w:pPr>
        <w:widowControl/>
        <w:shd w:val="clear" w:color="auto" w:fill="FFFFFF"/>
        <w:spacing w:line="500" w:lineRule="exact"/>
        <w:ind w:firstLine="200"/>
        <w:rPr>
          <w:rFonts w:ascii="仿宋" w:hAnsi="仿宋" w:eastAsia="仿宋" w:cs="宋体"/>
          <w:kern w:val="0"/>
          <w:sz w:val="30"/>
          <w:szCs w:val="30"/>
        </w:rPr>
      </w:pPr>
      <w:r>
        <w:rPr>
          <w:rFonts w:hint="eastAsia" w:ascii="仿宋" w:hAnsi="仿宋" w:eastAsia="仿宋" w:cs="宋体"/>
          <w:kern w:val="0"/>
          <w:sz w:val="30"/>
          <w:szCs w:val="30"/>
        </w:rPr>
        <w:t>附：本案适用的法律条文</w:t>
      </w:r>
    </w:p>
    <w:p>
      <w:pPr>
        <w:pStyle w:val="9"/>
        <w:shd w:val="clear" w:color="auto" w:fill="FFFFFF"/>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《中华人民共和国行政处罚法》</w:t>
      </w:r>
    </w:p>
    <w:p>
      <w:pPr>
        <w:pStyle w:val="9"/>
        <w:shd w:val="clear" w:color="auto" w:fill="FFFFFF"/>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第四条　行政处罚遵循公正、公开的原则。</w:t>
      </w:r>
    </w:p>
    <w:p>
      <w:pPr>
        <w:pStyle w:val="9"/>
        <w:shd w:val="clear" w:color="auto" w:fill="FFFFFF"/>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设定和实施行政处罚必须以事实为依据，与违法行为的事实、性质、情节以及社会危害程度相当。</w:t>
      </w:r>
    </w:p>
    <w:p>
      <w:pPr>
        <w:pStyle w:val="9"/>
        <w:shd w:val="clear" w:color="auto" w:fill="FFFFFF"/>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对违法行为给予行政处罚的规定必须公布；未经公布的，不得作为行政处罚的依据。</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《中华人民共和国反不正当竞争法》</w:t>
      </w:r>
    </w:p>
    <w:p>
      <w:pPr>
        <w:autoSpaceDE w:val="0"/>
        <w:autoSpaceDN w:val="0"/>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第二条</w:t>
      </w:r>
      <w:r>
        <w:rPr>
          <w:rFonts w:ascii="仿宋" w:hAnsi="仿宋" w:eastAsia="仿宋" w:cs="宋体"/>
          <w:kern w:val="0"/>
          <w:sz w:val="30"/>
          <w:szCs w:val="30"/>
        </w:rPr>
        <w:t xml:space="preserve"> </w:t>
      </w:r>
      <w:r>
        <w:rPr>
          <w:rFonts w:hint="eastAsia" w:ascii="仿宋" w:hAnsi="仿宋" w:eastAsia="仿宋" w:cs="宋体"/>
          <w:kern w:val="0"/>
          <w:sz w:val="30"/>
          <w:szCs w:val="30"/>
        </w:rPr>
        <w:t>经营者在生产经营活动中，应当遵循自愿、平等、公平、诚信的原则，遵守法律和商业道德。</w:t>
      </w:r>
    </w:p>
    <w:p>
      <w:pPr>
        <w:autoSpaceDE w:val="0"/>
        <w:autoSpaceDN w:val="0"/>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本法所称的不正当竞争行为，是指经营者在生产经营活动中，违反本法规定，扰乱市场竞争秩序，损害其他经营者或者消费者的合法权益的行为。</w:t>
      </w:r>
    </w:p>
    <w:p>
      <w:pPr>
        <w:autoSpaceDE w:val="0"/>
        <w:autoSpaceDN w:val="0"/>
        <w:spacing w:line="500" w:lineRule="exact"/>
        <w:ind w:firstLine="600" w:firstLineChars="200"/>
        <w:rPr>
          <w:rFonts w:ascii="仿宋" w:hAnsi="仿宋" w:eastAsia="仿宋"/>
          <w:sz w:val="30"/>
          <w:szCs w:val="30"/>
        </w:rPr>
      </w:pPr>
      <w:r>
        <w:rPr>
          <w:rFonts w:hint="eastAsia" w:ascii="仿宋" w:hAnsi="仿宋" w:eastAsia="仿宋" w:cs="宋体"/>
          <w:kern w:val="0"/>
          <w:sz w:val="30"/>
          <w:szCs w:val="30"/>
        </w:rPr>
        <w:t>本法所称的经营者，是指从事商品生产、经营或者提供服务（以下所称商品包括服务）的自然人、法人和非法人组织。</w:t>
      </w:r>
    </w:p>
    <w:p>
      <w:pPr>
        <w:pStyle w:val="9"/>
        <w:shd w:val="clear" w:color="auto" w:fill="FFFFFF"/>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第六条</w:t>
      </w:r>
      <w:r>
        <w:rPr>
          <w:rFonts w:ascii="仿宋" w:hAnsi="仿宋" w:eastAsia="仿宋"/>
          <w:sz w:val="30"/>
          <w:szCs w:val="30"/>
        </w:rPr>
        <w:t xml:space="preserve"> </w:t>
      </w:r>
      <w:r>
        <w:rPr>
          <w:rFonts w:hint="eastAsia" w:ascii="仿宋" w:hAnsi="仿宋" w:eastAsia="仿宋"/>
          <w:sz w:val="30"/>
          <w:szCs w:val="30"/>
        </w:rPr>
        <w:t>经营者不得实施下列混淆行为，引人误认为是他人商品或者与他人存在特定联系：</w:t>
      </w:r>
    </w:p>
    <w:p>
      <w:pPr>
        <w:pStyle w:val="9"/>
        <w:shd w:val="clear" w:color="auto" w:fill="FFFFFF"/>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（一）擅自使用与他人有一定影响的商品名称、包装、装潢等相同或者近似的标识；</w:t>
      </w:r>
    </w:p>
    <w:p>
      <w:pPr>
        <w:pStyle w:val="9"/>
        <w:shd w:val="clear" w:color="auto" w:fill="FFFFFF"/>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（二）擅自使用他人有一定影响的企业名称（包括简称、字号等）、社会组织名称（包括简称等）、姓名（包括笔名、艺名、译名等）；</w:t>
      </w:r>
    </w:p>
    <w:p>
      <w:pPr>
        <w:pStyle w:val="9"/>
        <w:shd w:val="clear" w:color="auto" w:fill="FFFFFF"/>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（三）擅自使用他人有一定影响的域名主体部分、网站名称、网页等；</w:t>
      </w:r>
    </w:p>
    <w:p>
      <w:pPr>
        <w:pStyle w:val="9"/>
        <w:shd w:val="clear" w:color="auto" w:fill="FFFFFF"/>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（四）其他足以引人误认为是他人商品或者与他人存在特定联系的混淆行为。</w:t>
      </w:r>
    </w:p>
    <w:p>
      <w:pPr>
        <w:autoSpaceDE w:val="0"/>
        <w:autoSpaceDN w:val="0"/>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第十八条</w:t>
      </w:r>
      <w:r>
        <w:rPr>
          <w:rFonts w:ascii="仿宋" w:hAnsi="仿宋" w:eastAsia="仿宋" w:cs="宋体"/>
          <w:kern w:val="0"/>
          <w:sz w:val="30"/>
          <w:szCs w:val="30"/>
        </w:rPr>
        <w:t xml:space="preserve"> </w:t>
      </w:r>
      <w:r>
        <w:rPr>
          <w:rFonts w:hint="eastAsia" w:ascii="仿宋" w:hAnsi="仿宋" w:eastAsia="仿宋" w:cs="宋体"/>
          <w:kern w:val="0"/>
          <w:sz w:val="30"/>
          <w:szCs w:val="30"/>
        </w:rPr>
        <w:t>经营者违反本法第六条规定实施混淆行为的，由监督检查部门责令停止违法行为，没收违法商品。违法经营额五万元以上的，可以并处违法经营额五倍以下的罚款；没有违法经营额或者违法经营额不足五万元的，可以并处二十五万元以下的罚款。情节严重的，吊销营业执照。</w:t>
      </w:r>
    </w:p>
    <w:p>
      <w:pPr>
        <w:autoSpaceDE w:val="0"/>
        <w:autoSpaceDN w:val="0"/>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经营者登记的企业名称违反本法第六条规定的，应当及时办理名称变更登记；名称变更前，由原企业登记机关以统一社会信用代码代替其名称。</w:t>
      </w:r>
    </w:p>
    <w:p>
      <w:pPr>
        <w:spacing w:line="500" w:lineRule="exact"/>
        <w:ind w:firstLine="600" w:firstLineChars="200"/>
        <w:rPr>
          <w:rFonts w:ascii="仿宋" w:hAnsi="仿宋" w:eastAsia="仿宋"/>
          <w:sz w:val="30"/>
          <w:szCs w:val="30"/>
        </w:rPr>
      </w:pPr>
      <w:r>
        <w:rPr>
          <w:rFonts w:hint="eastAsia" w:ascii="仿宋" w:hAnsi="仿宋" w:eastAsia="仿宋"/>
          <w:sz w:val="30"/>
          <w:szCs w:val="30"/>
        </w:rPr>
        <w:t>《最高人民法院关于适用〈中华人民共和国反不正当竞争法〉若干问题的解释》</w:t>
      </w:r>
    </w:p>
    <w:p>
      <w:pPr>
        <w:spacing w:line="500" w:lineRule="exact"/>
        <w:ind w:firstLine="600" w:firstLineChars="200"/>
        <w:rPr>
          <w:rStyle w:val="31"/>
          <w:rFonts w:ascii="仿宋" w:hAnsi="仿宋" w:eastAsia="仿宋"/>
          <w:sz w:val="30"/>
          <w:szCs w:val="30"/>
        </w:rPr>
      </w:pPr>
      <w:r>
        <w:rPr>
          <w:rStyle w:val="44"/>
          <w:rFonts w:hint="default" w:ascii="仿宋" w:hAnsi="仿宋" w:eastAsia="仿宋"/>
          <w:b w:val="0"/>
          <w:sz w:val="30"/>
          <w:szCs w:val="30"/>
        </w:rPr>
        <w:t>第四条</w:t>
      </w:r>
      <w:r>
        <w:rPr>
          <w:rStyle w:val="31"/>
          <w:rFonts w:ascii="仿宋" w:hAnsi="仿宋" w:eastAsia="仿宋"/>
          <w:sz w:val="30"/>
          <w:szCs w:val="30"/>
        </w:rPr>
        <w:t>　具有一定的市场知名度并具有区别商品来源的显著特征的标识，人民法院可以认定为反不正当竞争法第六条规定的“有一定影响的”标识。</w:t>
      </w:r>
      <w:r>
        <w:rPr>
          <w:rFonts w:ascii="仿宋" w:hAnsi="仿宋" w:eastAsia="仿宋"/>
          <w:sz w:val="30"/>
          <w:szCs w:val="30"/>
        </w:rPr>
        <w:br w:type="textWrapping"/>
      </w:r>
      <w:r>
        <w:rPr>
          <w:rStyle w:val="31"/>
          <w:rFonts w:ascii="仿宋" w:hAnsi="仿宋" w:eastAsia="仿宋"/>
          <w:sz w:val="30"/>
          <w:szCs w:val="30"/>
        </w:rPr>
        <w:t>　　人民法院认定反不正当竞争法第六条规定的标识是否具有一定的市场知名度，应当综合考虑中国境内相关公众的知悉程度，商品销售的时间、区域、数额和对象，宣传的持续时间、程度和地域范围，标识受保护的情况等因素。</w:t>
      </w:r>
      <w:r>
        <w:rPr>
          <w:rFonts w:ascii="仿宋" w:hAnsi="仿宋" w:eastAsia="仿宋"/>
          <w:sz w:val="30"/>
          <w:szCs w:val="30"/>
        </w:rPr>
        <w:br w:type="textWrapping"/>
      </w:r>
      <w:r>
        <w:rPr>
          <w:rStyle w:val="44"/>
          <w:rFonts w:hint="default" w:ascii="仿宋" w:hAnsi="仿宋" w:eastAsia="仿宋"/>
          <w:b w:val="0"/>
          <w:sz w:val="30"/>
          <w:szCs w:val="30"/>
        </w:rPr>
        <w:t xml:space="preserve">    第十条</w:t>
      </w:r>
      <w:r>
        <w:rPr>
          <w:rStyle w:val="31"/>
          <w:rFonts w:ascii="仿宋" w:hAnsi="仿宋" w:eastAsia="仿宋"/>
          <w:sz w:val="30"/>
          <w:szCs w:val="30"/>
        </w:rPr>
        <w:t>　在中国境内将有一定影响的标识用于商品、商品包装或者容器以及商品交易文书上，或者广告宣传、展览以及其他商业活动中，用于识别商品来源的行为，人民法院可以认定为反不正当竞争法第六条规定的“使用”。</w:t>
      </w:r>
    </w:p>
    <w:p>
      <w:pPr>
        <w:spacing w:line="500" w:lineRule="exact"/>
        <w:ind w:firstLine="600" w:firstLineChars="200"/>
        <w:rPr>
          <w:rStyle w:val="31"/>
          <w:rFonts w:ascii="仿宋" w:hAnsi="仿宋" w:eastAsia="仿宋"/>
          <w:sz w:val="30"/>
          <w:szCs w:val="30"/>
        </w:rPr>
      </w:pPr>
      <w:r>
        <w:rPr>
          <w:rStyle w:val="44"/>
          <w:rFonts w:hint="default" w:ascii="仿宋" w:hAnsi="仿宋" w:eastAsia="仿宋"/>
          <w:b w:val="0"/>
          <w:sz w:val="30"/>
          <w:szCs w:val="30"/>
        </w:rPr>
        <w:t>第十二条</w:t>
      </w:r>
      <w:r>
        <w:rPr>
          <w:rStyle w:val="31"/>
          <w:rFonts w:ascii="仿宋" w:hAnsi="仿宋" w:eastAsia="仿宋"/>
          <w:sz w:val="30"/>
          <w:szCs w:val="30"/>
        </w:rPr>
        <w:t>　人民法院认定与反不正当竞争法第六条规定的“有一定影响的”标识相同或者近似，可以参照商标相同或者近似的判断原则和方法。</w:t>
      </w:r>
    </w:p>
    <w:p>
      <w:pPr>
        <w:spacing w:line="500" w:lineRule="exact"/>
        <w:ind w:firstLine="600" w:firstLineChars="200"/>
        <w:rPr>
          <w:rStyle w:val="31"/>
          <w:rFonts w:ascii="仿宋" w:hAnsi="仿宋" w:eastAsia="仿宋"/>
          <w:sz w:val="30"/>
          <w:szCs w:val="30"/>
        </w:rPr>
      </w:pPr>
      <w:r>
        <w:rPr>
          <w:rStyle w:val="31"/>
          <w:rFonts w:ascii="仿宋" w:hAnsi="仿宋" w:eastAsia="仿宋"/>
          <w:sz w:val="30"/>
          <w:szCs w:val="30"/>
        </w:rPr>
        <w:t>反不正当竞争法第六条规定的“引人误认为是他人商品或者与他人存在特定联系”，包括误认为与他人具有商业联合、许可使用、商业冠名、广告代言等特定联系。</w:t>
      </w:r>
      <w:r>
        <w:rPr>
          <w:rFonts w:ascii="仿宋" w:hAnsi="仿宋" w:eastAsia="仿宋"/>
          <w:sz w:val="30"/>
          <w:szCs w:val="30"/>
        </w:rPr>
        <w:br w:type="textWrapping"/>
      </w:r>
      <w:r>
        <w:rPr>
          <w:rStyle w:val="31"/>
          <w:rFonts w:ascii="仿宋" w:hAnsi="仿宋" w:eastAsia="仿宋"/>
          <w:sz w:val="30"/>
          <w:szCs w:val="30"/>
        </w:rPr>
        <w:t>　　在相同商品上使用相同或者视觉上基本无差别的商品名称、包装、装潢等标识，应当视为足以造成与他人有一定影响的标识相混淆。</w:t>
      </w:r>
      <w:r>
        <w:rPr>
          <w:rFonts w:ascii="仿宋" w:hAnsi="仿宋" w:eastAsia="仿宋"/>
          <w:sz w:val="30"/>
          <w:szCs w:val="30"/>
        </w:rPr>
        <w:br w:type="textWrapping"/>
      </w:r>
      <w:r>
        <w:rPr>
          <w:rFonts w:hint="eastAsia" w:ascii="仿宋" w:hAnsi="仿宋" w:eastAsia="仿宋"/>
          <w:sz w:val="30"/>
          <w:szCs w:val="30"/>
        </w:rPr>
        <w:t xml:space="preserve">    </w:t>
      </w:r>
      <w:r>
        <w:rPr>
          <w:rStyle w:val="44"/>
          <w:rFonts w:hint="default" w:ascii="仿宋" w:hAnsi="仿宋" w:eastAsia="仿宋"/>
          <w:b w:val="0"/>
          <w:sz w:val="30"/>
          <w:szCs w:val="30"/>
        </w:rPr>
        <w:t>第十四条</w:t>
      </w:r>
      <w:r>
        <w:rPr>
          <w:rStyle w:val="31"/>
          <w:rFonts w:ascii="仿宋" w:hAnsi="仿宋" w:eastAsia="仿宋"/>
          <w:sz w:val="30"/>
          <w:szCs w:val="30"/>
        </w:rPr>
        <w:t>　经营者销售带有违反反不正当竞争法第六条规定的标识的商品，引人误认为是他人商品或者与他人存在特定联系，当事人主张构成反不正当竞争法第六条规定的情形的，人民法院应予支持。</w:t>
      </w:r>
      <w:r>
        <w:rPr>
          <w:rStyle w:val="31"/>
          <w:rFonts w:ascii="仿宋" w:hAnsi="仿宋" w:eastAsia="仿宋"/>
          <w:sz w:val="30"/>
          <w:szCs w:val="30"/>
        </w:rPr>
        <w:br w:type="textWrapping"/>
      </w:r>
      <w:r>
        <w:rPr>
          <w:rStyle w:val="31"/>
          <w:rFonts w:ascii="仿宋" w:hAnsi="仿宋" w:eastAsia="仿宋"/>
          <w:sz w:val="30"/>
          <w:szCs w:val="30"/>
        </w:rPr>
        <w:t>　　销售不知道是前款规定的侵权商品，能证明该商品是自己合法取得并说明提供者，经营者主张不承担赔偿责任的，人民法院应予支持。</w:t>
      </w:r>
      <w:r>
        <w:rPr>
          <w:rFonts w:hint="eastAsia" w:ascii="仿宋" w:hAnsi="仿宋" w:eastAsia="仿宋"/>
          <w:sz w:val="30"/>
          <w:szCs w:val="30"/>
        </w:rPr>
        <w:t xml:space="preserve"> </w:t>
      </w:r>
    </w:p>
    <w:p>
      <w:pPr>
        <w:widowControl/>
        <w:shd w:val="clear" w:color="auto" w:fill="FFFFFF"/>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《中华人民共和国行政诉讼法》</w:t>
      </w:r>
    </w:p>
    <w:p>
      <w:pPr>
        <w:widowControl/>
        <w:shd w:val="clear" w:color="auto" w:fill="FFFFFF"/>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第二十六条  公民、法人或者其他组织直接向人民法院提起诉讼的，作出行政行为的行政机关是被告。</w:t>
      </w:r>
    </w:p>
    <w:p>
      <w:pPr>
        <w:widowControl/>
        <w:shd w:val="clear" w:color="auto" w:fill="FFFFFF"/>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经复议的案件，复议机关决定维持原行政行为的，作出原行政行为的行政机关和复议机关是共同被告；复议机关改变原行政行为的，复议机关是被告。</w:t>
      </w:r>
    </w:p>
    <w:p>
      <w:pPr>
        <w:widowControl/>
        <w:shd w:val="clear" w:color="auto" w:fill="FFFFFF"/>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复议机关在法定期限内未作出复议决定，公民、法人或者其他组织起诉原行政行为的，作出原行政行为的行政机关是被告；起诉复议机关不作为的，复议机关是被告。</w:t>
      </w:r>
    </w:p>
    <w:p>
      <w:pPr>
        <w:widowControl/>
        <w:shd w:val="clear" w:color="auto" w:fill="FFFFFF"/>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两个以上行政机关作出同一行政行为的，共同作出行政行为的行政机关是共同被告。</w:t>
      </w:r>
    </w:p>
    <w:p>
      <w:pPr>
        <w:widowControl/>
        <w:shd w:val="clear" w:color="auto" w:fill="FFFFFF"/>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行政机关委托的组织所作的行政行为，委托的行政机关是被告。</w:t>
      </w:r>
    </w:p>
    <w:p>
      <w:pPr>
        <w:widowControl/>
        <w:shd w:val="clear" w:color="auto" w:fill="FFFFFF"/>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行政机关被撤销或者职权变更的，继续行使其职权的行政机关是被告。</w:t>
      </w:r>
    </w:p>
    <w:p>
      <w:pPr>
        <w:widowControl/>
        <w:shd w:val="clear" w:color="auto" w:fill="FFFFFF"/>
        <w:spacing w:line="500" w:lineRule="exact"/>
        <w:ind w:firstLine="600" w:firstLineChars="200"/>
        <w:rPr>
          <w:rFonts w:ascii="仿宋" w:hAnsi="仿宋" w:eastAsia="仿宋" w:cs="宋体"/>
          <w:kern w:val="0"/>
          <w:sz w:val="30"/>
          <w:szCs w:val="30"/>
        </w:rPr>
      </w:pPr>
      <w:r>
        <w:rPr>
          <w:rFonts w:hint="eastAsia" w:ascii="仿宋" w:hAnsi="仿宋" w:eastAsia="仿宋" w:cs="宋体"/>
          <w:kern w:val="0"/>
          <w:sz w:val="30"/>
          <w:szCs w:val="30"/>
        </w:rPr>
        <w:t>第六十九条  行政行为证据确凿，适用法律、法规正确，符合法定程序的，或者原告申请被告履行法定职责或者给付义务理由不成立的，人民法院判决驳回原告的诉讼请求。</w:t>
      </w:r>
    </w:p>
    <w:p>
      <w:pPr>
        <w:widowControl/>
        <w:shd w:val="clear" w:color="auto" w:fill="FFFFFF"/>
        <w:spacing w:line="500" w:lineRule="exact"/>
        <w:ind w:firstLine="600" w:firstLineChars="200"/>
        <w:rPr>
          <w:rFonts w:ascii="仿宋" w:hAnsi="仿宋" w:eastAsia="仿宋" w:cs="Arial"/>
          <w:sz w:val="30"/>
          <w:szCs w:val="30"/>
        </w:rPr>
      </w:pPr>
      <w:r>
        <w:rPr>
          <w:rFonts w:hint="eastAsia" w:ascii="仿宋" w:hAnsi="仿宋" w:eastAsia="仿宋" w:cs="宋体"/>
          <w:kern w:val="0"/>
          <w:sz w:val="30"/>
          <w:szCs w:val="30"/>
        </w:rPr>
        <w:t>第七十九条  复议机关与作出原行政行为的行政机关为共同被告的案件，人民法院应当对复议决定和原行政行为一并作出裁判。</w:t>
      </w:r>
    </w:p>
    <w:p>
      <w:pPr>
        <w:widowControl/>
        <w:shd w:val="clear" w:color="auto" w:fill="FFFFFF"/>
        <w:spacing w:line="500" w:lineRule="exact"/>
        <w:ind w:firstLine="596" w:firstLineChars="198"/>
        <w:outlineLvl w:val="0"/>
        <w:rPr>
          <w:rFonts w:ascii="仿宋" w:hAnsi="仿宋" w:eastAsia="仿宋"/>
          <w:b/>
          <w:sz w:val="30"/>
          <w:szCs w:val="30"/>
        </w:rPr>
      </w:pPr>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STZhongsong">
    <w:altName w:val="汉仪中秀体简"/>
    <w:panose1 w:val="00000000000000000000"/>
    <w:charset w:val="00"/>
    <w:family w:val="auto"/>
    <w:pitch w:val="default"/>
    <w:sig w:usb0="00000000" w:usb1="00000000" w:usb2="00000010" w:usb3="00000000" w:csb0="00100001" w:csb1="00000000"/>
  </w:font>
  <w:font w:name="微软雅黑">
    <w:altName w:val="黑体"/>
    <w:panose1 w:val="020B0503020204020204"/>
    <w:charset w:val="86"/>
    <w:family w:val="swiss"/>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宋体">
    <w:altName w:val="方正书宋_GBK"/>
    <w:panose1 w:val="02010600040101010101"/>
    <w:charset w:val="86"/>
    <w:family w:val="auto"/>
    <w:pitch w:val="default"/>
    <w:sig w:usb0="00000000" w:usb1="00000000" w:usb2="00000010" w:usb3="00000000" w:csb0="0004009F" w:csb1="00000000"/>
  </w:font>
  <w:font w:name="Arial">
    <w:panose1 w:val="020B0604020202020204"/>
    <w:charset w:val="00"/>
    <w:family w:val="swiss"/>
    <w:pitch w:val="default"/>
    <w:sig w:usb0="E0002AFF" w:usb1="C0007843" w:usb2="00000009" w:usb3="00000000" w:csb0="400001FF" w:csb1="FFFF0000"/>
  </w:font>
  <w:font w:name="方正宋体S-超大字符集">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fldChar w:fldCharType="begin"/>
    </w:r>
    <w:r>
      <w:instrText xml:space="preserve"> PAGE   \* MERGEFORMAT </w:instrText>
    </w:r>
    <w:r>
      <w:fldChar w:fldCharType="separate"/>
    </w:r>
    <w:r>
      <w:rPr>
        <w:lang w:val="zh-CN"/>
      </w:rPr>
      <w:t>32</w:t>
    </w:r>
    <w:r>
      <w:rPr>
        <w:lang w:val="zh-CN"/>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75B1BD1E-58AB-4B94-8B81-388AFABB634A}" w:val="15omSVG6+W0hdD2p9T=IQ3HcuyEOsKFXvZxqwrYkBzC4JfgelibALjtU/RPNa7Mn8"/>
    <w:docVar w:name="DocumentID" w:val="{4BE78C80-788B-4C82-A89D-628064EC0F2E}"/>
  </w:docVars>
  <w:rsids>
    <w:rsidRoot w:val="00A72911"/>
    <w:rsid w:val="000366A4"/>
    <w:rsid w:val="00064887"/>
    <w:rsid w:val="00072FE8"/>
    <w:rsid w:val="00077801"/>
    <w:rsid w:val="000829D2"/>
    <w:rsid w:val="000B0513"/>
    <w:rsid w:val="000C2434"/>
    <w:rsid w:val="000C4545"/>
    <w:rsid w:val="000C563E"/>
    <w:rsid w:val="000D30A6"/>
    <w:rsid w:val="000D364C"/>
    <w:rsid w:val="000E6A38"/>
    <w:rsid w:val="000F101C"/>
    <w:rsid w:val="000F685D"/>
    <w:rsid w:val="00151EFC"/>
    <w:rsid w:val="00186BA2"/>
    <w:rsid w:val="00221663"/>
    <w:rsid w:val="00227492"/>
    <w:rsid w:val="002601F9"/>
    <w:rsid w:val="0026233E"/>
    <w:rsid w:val="00267B02"/>
    <w:rsid w:val="00267C4D"/>
    <w:rsid w:val="002C47EF"/>
    <w:rsid w:val="002D3FE6"/>
    <w:rsid w:val="002E003C"/>
    <w:rsid w:val="002F0D52"/>
    <w:rsid w:val="002F58F2"/>
    <w:rsid w:val="00315A48"/>
    <w:rsid w:val="003228C7"/>
    <w:rsid w:val="003522D4"/>
    <w:rsid w:val="00361DA0"/>
    <w:rsid w:val="0038268B"/>
    <w:rsid w:val="00387AAC"/>
    <w:rsid w:val="0039571B"/>
    <w:rsid w:val="003D1BAF"/>
    <w:rsid w:val="003F5512"/>
    <w:rsid w:val="00423412"/>
    <w:rsid w:val="004252AB"/>
    <w:rsid w:val="00432773"/>
    <w:rsid w:val="004425BD"/>
    <w:rsid w:val="0045219E"/>
    <w:rsid w:val="004629EE"/>
    <w:rsid w:val="00472C4A"/>
    <w:rsid w:val="004770B5"/>
    <w:rsid w:val="00492546"/>
    <w:rsid w:val="004A7244"/>
    <w:rsid w:val="004B7B42"/>
    <w:rsid w:val="004D7490"/>
    <w:rsid w:val="00526BB8"/>
    <w:rsid w:val="005357BF"/>
    <w:rsid w:val="00561023"/>
    <w:rsid w:val="005B61C3"/>
    <w:rsid w:val="005B695B"/>
    <w:rsid w:val="005C4718"/>
    <w:rsid w:val="005D19F3"/>
    <w:rsid w:val="005F24E9"/>
    <w:rsid w:val="005F45AB"/>
    <w:rsid w:val="006035F0"/>
    <w:rsid w:val="006538E1"/>
    <w:rsid w:val="0068141C"/>
    <w:rsid w:val="00684CA3"/>
    <w:rsid w:val="00691040"/>
    <w:rsid w:val="0069171E"/>
    <w:rsid w:val="006B324F"/>
    <w:rsid w:val="006B5E0C"/>
    <w:rsid w:val="00714FE2"/>
    <w:rsid w:val="00726EF7"/>
    <w:rsid w:val="00761121"/>
    <w:rsid w:val="00796788"/>
    <w:rsid w:val="007B0259"/>
    <w:rsid w:val="007B3B96"/>
    <w:rsid w:val="007D0894"/>
    <w:rsid w:val="008253CA"/>
    <w:rsid w:val="008425F1"/>
    <w:rsid w:val="00842604"/>
    <w:rsid w:val="00857C10"/>
    <w:rsid w:val="0086043C"/>
    <w:rsid w:val="0086404B"/>
    <w:rsid w:val="008E6FD2"/>
    <w:rsid w:val="00935E35"/>
    <w:rsid w:val="00953FEC"/>
    <w:rsid w:val="00983073"/>
    <w:rsid w:val="00994570"/>
    <w:rsid w:val="009B3889"/>
    <w:rsid w:val="00A10FBE"/>
    <w:rsid w:val="00A11A67"/>
    <w:rsid w:val="00A72911"/>
    <w:rsid w:val="00A72AC2"/>
    <w:rsid w:val="00A93913"/>
    <w:rsid w:val="00A96215"/>
    <w:rsid w:val="00AE3E39"/>
    <w:rsid w:val="00AE7AEC"/>
    <w:rsid w:val="00AF7277"/>
    <w:rsid w:val="00B216EF"/>
    <w:rsid w:val="00B43D6F"/>
    <w:rsid w:val="00B75DE0"/>
    <w:rsid w:val="00B87252"/>
    <w:rsid w:val="00B95A29"/>
    <w:rsid w:val="00BD004E"/>
    <w:rsid w:val="00BE75BB"/>
    <w:rsid w:val="00C012C8"/>
    <w:rsid w:val="00C053DE"/>
    <w:rsid w:val="00C2267E"/>
    <w:rsid w:val="00C433AE"/>
    <w:rsid w:val="00C44659"/>
    <w:rsid w:val="00C96230"/>
    <w:rsid w:val="00CA3CEB"/>
    <w:rsid w:val="00CA6304"/>
    <w:rsid w:val="00CB30AD"/>
    <w:rsid w:val="00CB706C"/>
    <w:rsid w:val="00CC0F0A"/>
    <w:rsid w:val="00CE7B6A"/>
    <w:rsid w:val="00CF365B"/>
    <w:rsid w:val="00D375C2"/>
    <w:rsid w:val="00D55B20"/>
    <w:rsid w:val="00D81A32"/>
    <w:rsid w:val="00D85D3C"/>
    <w:rsid w:val="00DA58AC"/>
    <w:rsid w:val="00DC14C2"/>
    <w:rsid w:val="00DE2830"/>
    <w:rsid w:val="00E11BDA"/>
    <w:rsid w:val="00E12620"/>
    <w:rsid w:val="00E35395"/>
    <w:rsid w:val="00E725C0"/>
    <w:rsid w:val="00E77593"/>
    <w:rsid w:val="00E9363D"/>
    <w:rsid w:val="00EA784E"/>
    <w:rsid w:val="00EB58F5"/>
    <w:rsid w:val="00EC7993"/>
    <w:rsid w:val="00EE7FB1"/>
    <w:rsid w:val="00F0284A"/>
    <w:rsid w:val="00F16D7D"/>
    <w:rsid w:val="00F47822"/>
    <w:rsid w:val="00F52B99"/>
    <w:rsid w:val="00FB3975"/>
    <w:rsid w:val="00FC5E07"/>
    <w:rsid w:val="00FD1F11"/>
    <w:rsid w:val="00FD2EE0"/>
    <w:rsid w:val="00FE7075"/>
    <w:rsid w:val="56DFE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28"/>
    <w:qFormat/>
    <w:uiPriority w:val="0"/>
    <w:rPr>
      <w:rFonts w:ascii="宋体"/>
      <w:sz w:val="18"/>
      <w:szCs w:val="18"/>
    </w:rPr>
  </w:style>
  <w:style w:type="paragraph" w:styleId="3">
    <w:name w:val="Date"/>
    <w:basedOn w:val="1"/>
    <w:next w:val="1"/>
    <w:link w:val="46"/>
    <w:qFormat/>
    <w:uiPriority w:val="0"/>
    <w:pPr>
      <w:ind w:left="100" w:leftChars="2500"/>
    </w:pPr>
  </w:style>
  <w:style w:type="paragraph" w:styleId="4">
    <w:name w:val="Balloon Text"/>
    <w:basedOn w:val="1"/>
    <w:link w:val="27"/>
    <w:qFormat/>
    <w:uiPriority w:val="0"/>
    <w:rPr>
      <w:sz w:val="18"/>
      <w:szCs w:val="18"/>
    </w:rPr>
  </w:style>
  <w:style w:type="paragraph" w:styleId="5">
    <w:name w:val="footer"/>
    <w:basedOn w:val="1"/>
    <w:link w:val="29"/>
    <w:qFormat/>
    <w:uiPriority w:val="0"/>
    <w:pPr>
      <w:tabs>
        <w:tab w:val="center" w:pos="4153"/>
        <w:tab w:val="right" w:pos="8306"/>
      </w:tabs>
      <w:snapToGrid w:val="0"/>
      <w:jc w:val="left"/>
    </w:pPr>
    <w:rPr>
      <w:sz w:val="18"/>
      <w:szCs w:val="18"/>
    </w:rPr>
  </w:style>
  <w:style w:type="paragraph" w:styleId="6">
    <w:name w:val="header"/>
    <w:basedOn w:val="1"/>
    <w:link w:val="40"/>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41"/>
    <w:unhideWhenUsed/>
    <w:qFormat/>
    <w:uiPriority w:val="0"/>
    <w:pPr>
      <w:snapToGrid w:val="0"/>
      <w:jc w:val="left"/>
    </w:pPr>
    <w:rPr>
      <w:rFonts w:ascii="Calibri" w:hAnsi="Calibri"/>
      <w:sz w:val="18"/>
      <w:szCs w:val="22"/>
    </w:rPr>
  </w:style>
  <w:style w:type="paragraph" w:styleId="8">
    <w:name w:val="HTML Preformatted"/>
    <w:basedOn w:val="1"/>
    <w:link w:val="42"/>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Title"/>
    <w:basedOn w:val="1"/>
    <w:qFormat/>
    <w:uiPriority w:val="0"/>
    <w:pPr>
      <w:widowControl/>
      <w:adjustRightInd w:val="0"/>
      <w:jc w:val="center"/>
      <w:textAlignment w:val="baseline"/>
    </w:pPr>
    <w:rPr>
      <w:rFonts w:ascii="宋体" w:cs="宋体"/>
      <w:b/>
      <w:bCs/>
      <w:color w:val="FF0000"/>
      <w:kern w:val="0"/>
      <w:sz w:val="32"/>
      <w:szCs w:val="32"/>
    </w:rPr>
  </w:style>
  <w:style w:type="character" w:styleId="13">
    <w:name w:val="Strong"/>
    <w:basedOn w:val="12"/>
    <w:qFormat/>
    <w:uiPriority w:val="0"/>
    <w:rPr>
      <w:b/>
      <w:bCs/>
    </w:rPr>
  </w:style>
  <w:style w:type="character" w:styleId="14">
    <w:name w:val="page number"/>
    <w:basedOn w:val="12"/>
    <w:qFormat/>
    <w:uiPriority w:val="0"/>
  </w:style>
  <w:style w:type="character" w:styleId="15">
    <w:name w:val="Hyperlink"/>
    <w:basedOn w:val="12"/>
    <w:qFormat/>
    <w:uiPriority w:val="0"/>
    <w:rPr>
      <w:color w:val="0000FF"/>
      <w:u w:val="single"/>
    </w:rPr>
  </w:style>
  <w:style w:type="character" w:styleId="16">
    <w:name w:val="footnote reference"/>
    <w:basedOn w:val="12"/>
    <w:unhideWhenUsed/>
    <w:qFormat/>
    <w:uiPriority w:val="0"/>
    <w:rPr>
      <w:vertAlign w:val="superscript"/>
    </w:rPr>
  </w:style>
  <w:style w:type="paragraph" w:customStyle="1" w:styleId="17">
    <w:name w:val="Char1 Char Char Char Char Char Char"/>
    <w:basedOn w:val="1"/>
    <w:qFormat/>
    <w:uiPriority w:val="0"/>
    <w:rPr>
      <w:rFonts w:ascii="Tahoma" w:hAnsi="Tahoma" w:eastAsia="仿宋_GB2312"/>
      <w:sz w:val="24"/>
      <w:szCs w:val="20"/>
    </w:rPr>
  </w:style>
  <w:style w:type="paragraph" w:customStyle="1" w:styleId="18">
    <w:name w:val="lawyeeCourtName1"/>
    <w:basedOn w:val="1"/>
    <w:qFormat/>
    <w:uiPriority w:val="0"/>
    <w:pPr>
      <w:spacing w:beforeLines="100" w:line="520" w:lineRule="exact"/>
      <w:jc w:val="center"/>
    </w:pPr>
    <w:rPr>
      <w:rFonts w:hAnsi="宋体"/>
      <w:sz w:val="44"/>
      <w:szCs w:val="20"/>
    </w:rPr>
  </w:style>
  <w:style w:type="paragraph" w:customStyle="1" w:styleId="19">
    <w:name w:val="lawyeeWritName1"/>
    <w:basedOn w:val="1"/>
    <w:qFormat/>
    <w:uiPriority w:val="0"/>
    <w:pPr>
      <w:spacing w:beforeLines="100" w:line="520" w:lineRule="exact"/>
      <w:jc w:val="center"/>
    </w:pPr>
    <w:rPr>
      <w:rFonts w:hAnsi="宋体"/>
      <w:sz w:val="52"/>
      <w:szCs w:val="20"/>
    </w:rPr>
  </w:style>
  <w:style w:type="paragraph" w:customStyle="1" w:styleId="20">
    <w:name w:val="lawyeeManInfo1"/>
    <w:basedOn w:val="1"/>
    <w:qFormat/>
    <w:uiPriority w:val="0"/>
    <w:pPr>
      <w:spacing w:beforeLines="100" w:line="520" w:lineRule="exact"/>
      <w:ind w:firstLine="200" w:firstLineChars="200"/>
    </w:pPr>
    <w:rPr>
      <w:rFonts w:ascii="仿宋_GB2312" w:eastAsia="仿宋_GB2312"/>
      <w:sz w:val="32"/>
    </w:rPr>
  </w:style>
  <w:style w:type="paragraph" w:customStyle="1" w:styleId="21">
    <w:name w:val="lawyeeManInfo0"/>
    <w:basedOn w:val="1"/>
    <w:qFormat/>
    <w:uiPriority w:val="0"/>
    <w:pPr>
      <w:spacing w:line="520" w:lineRule="exact"/>
      <w:ind w:firstLine="200" w:firstLineChars="200"/>
    </w:pPr>
    <w:rPr>
      <w:rFonts w:ascii="仿宋_GB2312" w:eastAsia="仿宋_GB2312"/>
      <w:sz w:val="32"/>
    </w:rPr>
  </w:style>
  <w:style w:type="paragraph" w:customStyle="1" w:styleId="22">
    <w:name w:val="lawyeeWritContent1"/>
    <w:basedOn w:val="1"/>
    <w:qFormat/>
    <w:uiPriority w:val="0"/>
    <w:pPr>
      <w:spacing w:line="520" w:lineRule="exact"/>
      <w:ind w:firstLine="200" w:firstLineChars="200"/>
    </w:pPr>
    <w:rPr>
      <w:rFonts w:ascii="仿宋_GB2312" w:eastAsia="仿宋_GB2312"/>
      <w:sz w:val="32"/>
    </w:rPr>
  </w:style>
  <w:style w:type="paragraph" w:customStyle="1" w:styleId="23">
    <w:name w:val="lawyeeWritContent0"/>
    <w:basedOn w:val="1"/>
    <w:link w:val="30"/>
    <w:qFormat/>
    <w:uiPriority w:val="0"/>
    <w:pPr>
      <w:spacing w:line="520" w:lineRule="exact"/>
      <w:ind w:firstLine="200" w:firstLineChars="200"/>
    </w:pPr>
    <w:rPr>
      <w:rFonts w:ascii="仿宋_GB2312" w:eastAsia="仿宋_GB2312"/>
      <w:sz w:val="32"/>
    </w:rPr>
  </w:style>
  <w:style w:type="paragraph" w:customStyle="1" w:styleId="24">
    <w:name w:val="lawyeeAttach0"/>
    <w:basedOn w:val="1"/>
    <w:qFormat/>
    <w:uiPriority w:val="0"/>
    <w:pPr>
      <w:spacing w:line="520" w:lineRule="exact"/>
      <w:ind w:firstLine="200" w:firstLineChars="200"/>
      <w:jc w:val="left"/>
    </w:pPr>
    <w:rPr>
      <w:rFonts w:ascii="仿宋_GB2312" w:eastAsia="仿宋_GB2312"/>
      <w:sz w:val="32"/>
    </w:rPr>
  </w:style>
  <w:style w:type="paragraph" w:customStyle="1" w:styleId="25">
    <w:name w:val="Char1 Char Char Char Char Char Char1"/>
    <w:basedOn w:val="1"/>
    <w:qFormat/>
    <w:uiPriority w:val="0"/>
    <w:rPr>
      <w:rFonts w:ascii="Tahoma" w:hAnsi="Tahoma"/>
      <w:sz w:val="24"/>
      <w:szCs w:val="20"/>
    </w:rPr>
  </w:style>
  <w:style w:type="paragraph" w:customStyle="1" w:styleId="26">
    <w:name w:val="Char Char Char Char"/>
    <w:basedOn w:val="1"/>
    <w:next w:val="1"/>
    <w:qFormat/>
    <w:uiPriority w:val="0"/>
    <w:pPr>
      <w:widowControl/>
      <w:spacing w:line="360" w:lineRule="auto"/>
      <w:jc w:val="left"/>
    </w:pPr>
  </w:style>
  <w:style w:type="character" w:customStyle="1" w:styleId="27">
    <w:name w:val="批注框文本 Char"/>
    <w:basedOn w:val="12"/>
    <w:link w:val="4"/>
    <w:qFormat/>
    <w:uiPriority w:val="0"/>
    <w:rPr>
      <w:kern w:val="2"/>
      <w:sz w:val="18"/>
      <w:szCs w:val="18"/>
    </w:rPr>
  </w:style>
  <w:style w:type="character" w:customStyle="1" w:styleId="28">
    <w:name w:val="文档结构图 Char"/>
    <w:basedOn w:val="12"/>
    <w:link w:val="2"/>
    <w:qFormat/>
    <w:uiPriority w:val="0"/>
    <w:rPr>
      <w:rFonts w:ascii="宋体"/>
      <w:kern w:val="2"/>
      <w:sz w:val="18"/>
      <w:szCs w:val="18"/>
    </w:rPr>
  </w:style>
  <w:style w:type="character" w:customStyle="1" w:styleId="29">
    <w:name w:val="页脚 Char"/>
    <w:basedOn w:val="12"/>
    <w:link w:val="5"/>
    <w:qFormat/>
    <w:uiPriority w:val="0"/>
    <w:rPr>
      <w:kern w:val="2"/>
      <w:sz w:val="18"/>
      <w:szCs w:val="18"/>
    </w:rPr>
  </w:style>
  <w:style w:type="character" w:customStyle="1" w:styleId="30">
    <w:name w:val="lawyeeWritContent0 Char"/>
    <w:basedOn w:val="12"/>
    <w:link w:val="23"/>
    <w:qFormat/>
    <w:uiPriority w:val="0"/>
    <w:rPr>
      <w:rFonts w:ascii="仿宋_GB2312" w:eastAsia="仿宋_GB2312"/>
      <w:kern w:val="2"/>
      <w:sz w:val="32"/>
      <w:szCs w:val="24"/>
    </w:rPr>
  </w:style>
  <w:style w:type="character" w:customStyle="1" w:styleId="31">
    <w:name w:val="sp_wt_class"/>
    <w:basedOn w:val="12"/>
    <w:qFormat/>
    <w:uiPriority w:val="0"/>
  </w:style>
  <w:style w:type="character" w:customStyle="1" w:styleId="32">
    <w:name w:val="正文文本 (6)_"/>
    <w:basedOn w:val="12"/>
    <w:link w:val="33"/>
    <w:qFormat/>
    <w:uiPriority w:val="0"/>
    <w:rPr>
      <w:rFonts w:ascii="STZhongsong" w:hAnsi="STZhongsong"/>
      <w:spacing w:val="10"/>
      <w:sz w:val="22"/>
      <w:szCs w:val="22"/>
      <w:shd w:val="clear" w:color="auto" w:fill="FFFFFF"/>
    </w:rPr>
  </w:style>
  <w:style w:type="paragraph" w:customStyle="1" w:styleId="33">
    <w:name w:val="正文文本 (6)1"/>
    <w:basedOn w:val="1"/>
    <w:link w:val="32"/>
    <w:qFormat/>
    <w:uiPriority w:val="0"/>
    <w:pPr>
      <w:shd w:val="clear" w:color="auto" w:fill="FFFFFF"/>
      <w:spacing w:before="1080" w:line="461" w:lineRule="exact"/>
      <w:jc w:val="distribute"/>
    </w:pPr>
    <w:rPr>
      <w:rFonts w:ascii="STZhongsong" w:hAnsi="STZhongsong"/>
      <w:spacing w:val="10"/>
      <w:kern w:val="0"/>
      <w:sz w:val="22"/>
      <w:szCs w:val="22"/>
    </w:rPr>
  </w:style>
  <w:style w:type="character" w:customStyle="1" w:styleId="34">
    <w:name w:val="apple-style-span"/>
    <w:basedOn w:val="12"/>
    <w:qFormat/>
    <w:uiPriority w:val="0"/>
    <w:rPr>
      <w:rFonts w:cs="Times New Roman"/>
    </w:rPr>
  </w:style>
  <w:style w:type="character" w:customStyle="1" w:styleId="35">
    <w:name w:val="正文文本 (2)_"/>
    <w:basedOn w:val="12"/>
    <w:link w:val="36"/>
    <w:qFormat/>
    <w:uiPriority w:val="0"/>
    <w:rPr>
      <w:rFonts w:ascii="STZhongsong" w:hAnsi="STZhongsong"/>
      <w:spacing w:val="40"/>
      <w:sz w:val="30"/>
      <w:szCs w:val="30"/>
      <w:shd w:val="clear" w:color="auto" w:fill="FFFFFF"/>
    </w:rPr>
  </w:style>
  <w:style w:type="paragraph" w:customStyle="1" w:styleId="36">
    <w:name w:val="正文文本 (2)1"/>
    <w:basedOn w:val="1"/>
    <w:link w:val="35"/>
    <w:qFormat/>
    <w:uiPriority w:val="0"/>
    <w:pPr>
      <w:shd w:val="clear" w:color="auto" w:fill="FFFFFF"/>
      <w:spacing w:after="420" w:line="240" w:lineRule="atLeast"/>
      <w:ind w:hanging="640"/>
      <w:jc w:val="left"/>
    </w:pPr>
    <w:rPr>
      <w:rFonts w:ascii="STZhongsong" w:hAnsi="STZhongsong"/>
      <w:spacing w:val="40"/>
      <w:kern w:val="0"/>
      <w:sz w:val="30"/>
      <w:szCs w:val="30"/>
    </w:rPr>
  </w:style>
  <w:style w:type="character" w:customStyle="1" w:styleId="37">
    <w:name w:val="正文文本 (2) + 间距 0 pt"/>
    <w:basedOn w:val="35"/>
    <w:qFormat/>
    <w:uiPriority w:val="0"/>
    <w:rPr>
      <w:spacing w:val="0"/>
      <w:lang w:val="en-US" w:eastAsia="en-US"/>
    </w:rPr>
  </w:style>
  <w:style w:type="character" w:customStyle="1" w:styleId="38">
    <w:name w:val="正文文本 (2) + 4 pt"/>
    <w:basedOn w:val="35"/>
    <w:qFormat/>
    <w:uiPriority w:val="0"/>
    <w:rPr>
      <w:rFonts w:cs="STZhongsong"/>
      <w:spacing w:val="0"/>
      <w:sz w:val="8"/>
      <w:szCs w:val="8"/>
      <w:u w:val="none"/>
    </w:rPr>
  </w:style>
  <w:style w:type="paragraph" w:customStyle="1" w:styleId="39">
    <w:name w:val="lawyeeDate1"/>
    <w:basedOn w:val="1"/>
    <w:qFormat/>
    <w:uiPriority w:val="0"/>
    <w:pPr>
      <w:spacing w:line="520" w:lineRule="exact"/>
      <w:ind w:right="400" w:rightChars="400"/>
      <w:jc w:val="right"/>
    </w:pPr>
    <w:rPr>
      <w:rFonts w:ascii="仿宋_GB2312" w:eastAsia="仿宋_GB2312"/>
      <w:sz w:val="32"/>
    </w:rPr>
  </w:style>
  <w:style w:type="character" w:customStyle="1" w:styleId="40">
    <w:name w:val="页眉 Char"/>
    <w:basedOn w:val="12"/>
    <w:link w:val="6"/>
    <w:qFormat/>
    <w:uiPriority w:val="0"/>
    <w:rPr>
      <w:kern w:val="2"/>
      <w:sz w:val="18"/>
      <w:szCs w:val="18"/>
    </w:rPr>
  </w:style>
  <w:style w:type="character" w:customStyle="1" w:styleId="41">
    <w:name w:val="脚注文本 Char"/>
    <w:basedOn w:val="12"/>
    <w:link w:val="7"/>
    <w:qFormat/>
    <w:uiPriority w:val="0"/>
    <w:rPr>
      <w:rFonts w:ascii="Calibri" w:hAnsi="Calibri"/>
      <w:kern w:val="2"/>
      <w:sz w:val="18"/>
      <w:szCs w:val="22"/>
    </w:rPr>
  </w:style>
  <w:style w:type="character" w:customStyle="1" w:styleId="42">
    <w:name w:val="HTML 预设格式 Char"/>
    <w:basedOn w:val="12"/>
    <w:link w:val="8"/>
    <w:qFormat/>
    <w:uiPriority w:val="0"/>
    <w:rPr>
      <w:rFonts w:ascii="宋体" w:hAnsi="宋体"/>
      <w:sz w:val="24"/>
      <w:szCs w:val="24"/>
    </w:rPr>
  </w:style>
  <w:style w:type="character" w:customStyle="1" w:styleId="43">
    <w:name w:val="sect2content"/>
    <w:basedOn w:val="12"/>
    <w:qFormat/>
    <w:uiPriority w:val="0"/>
  </w:style>
  <w:style w:type="character" w:customStyle="1" w:styleId="44">
    <w:name w:val="c_tiao1"/>
    <w:basedOn w:val="12"/>
    <w:qFormat/>
    <w:uiPriority w:val="0"/>
    <w:rPr>
      <w:rFonts w:hint="eastAsia" w:ascii="宋体" w:hAnsi="宋体" w:eastAsia="宋体"/>
      <w:b/>
      <w:bCs/>
      <w:sz w:val="16"/>
      <w:szCs w:val="16"/>
    </w:rPr>
  </w:style>
  <w:style w:type="character" w:customStyle="1" w:styleId="45">
    <w:name w:val="a_contentlink_link"/>
    <w:basedOn w:val="12"/>
    <w:qFormat/>
    <w:uiPriority w:val="0"/>
    <w:rPr>
      <w:rFonts w:ascii="微软雅黑" w:hAnsi="微软雅黑" w:eastAsia="微软雅黑" w:cs="微软雅黑"/>
      <w:color w:val="0000FF"/>
    </w:rPr>
  </w:style>
  <w:style w:type="character" w:customStyle="1" w:styleId="46">
    <w:name w:val="日期 Char"/>
    <w:basedOn w:val="12"/>
    <w:link w:val="3"/>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32</Pages>
  <Words>3334</Words>
  <Characters>19009</Characters>
  <Lines>158</Lines>
  <Paragraphs>44</Paragraphs>
  <TotalTime>545</TotalTime>
  <ScaleCrop>false</ScaleCrop>
  <LinksUpToDate>false</LinksUpToDate>
  <CharactersWithSpaces>22299</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2023-01-28T10:33:00Z</dcterms:created>
  <dc:creator>Administrator</dc:creator>
  <cp:lastModifiedBy>何婷婷</cp:lastModifiedBy>
  <cp:lastPrinted>2022-02-09T13:16:00Z</cp:lastPrinted>
  <dcterms:modified xsi:type="dcterms:W3CDTF">2023-04-20T15:33:56Z</dcterms:modified>
  <dc:title>安徽省芜湖经济技术开发区人民法院</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