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sz w:val="32"/>
        </w:rPr>
      </w:pPr>
    </w:p>
    <w:p>
      <w:pPr>
        <w:pStyle w:val="8"/>
      </w:pPr>
      <w:r>
        <w:rPr>
          <w:rFonts w:hint="eastAsia"/>
        </w:rPr>
        <w:t>安徽省滁州市中级人民法院</w:t>
      </w:r>
    </w:p>
    <w:p>
      <w:pPr>
        <w:pStyle w:val="10"/>
      </w:pPr>
      <w:r>
        <w:rPr>
          <w:rFonts w:hint="eastAsia"/>
        </w:rPr>
        <w:t>民事判决书</w:t>
      </w:r>
    </w:p>
    <w:p>
      <w:pPr>
        <w:pStyle w:val="12"/>
        <w:spacing w:before="312"/>
      </w:pPr>
      <w:r>
        <w:t>(20</w:t>
      </w:r>
      <w:r>
        <w:rPr>
          <w:rFonts w:hint="eastAsia"/>
        </w:rPr>
        <w:t>22</w:t>
      </w:r>
      <w:r>
        <w:t>)皖11民初</w:t>
      </w:r>
      <w:r>
        <w:rPr>
          <w:rFonts w:hint="eastAsia"/>
        </w:rPr>
        <w:t>296</w:t>
      </w:r>
      <w:r>
        <w:t>号</w:t>
      </w:r>
    </w:p>
    <w:p>
      <w:pPr>
        <w:pStyle w:val="12"/>
        <w:spacing w:before="312"/>
      </w:pPr>
    </w:p>
    <w:p>
      <w:pPr>
        <w:pStyle w:val="14"/>
        <w:ind w:firstLine="640"/>
        <w:rPr>
          <w:rFonts w:hAnsi="宋体"/>
          <w:szCs w:val="32"/>
        </w:rPr>
      </w:pPr>
      <w:r>
        <w:rPr>
          <w:rFonts w:hint="eastAsia" w:hAnsi="宋体"/>
          <w:szCs w:val="32"/>
        </w:rPr>
        <w:t>原告: 安徽智浦欣达电器有限公司, 住所地安徽省滁州市南谯区乌衣镇黄圩路与文华路交叉口西北侧，统一社会信用代码91341103MA8NCC6Q14。</w:t>
      </w:r>
    </w:p>
    <w:p>
      <w:pPr>
        <w:pStyle w:val="14"/>
        <w:ind w:firstLine="640"/>
        <w:rPr>
          <w:rFonts w:hAnsi="宋体"/>
          <w:szCs w:val="32"/>
        </w:rPr>
      </w:pPr>
      <w:r>
        <w:rPr>
          <w:rFonts w:hint="eastAsia" w:hAnsi="宋体"/>
          <w:szCs w:val="32"/>
        </w:rPr>
        <w:t>法定代表人:黄辉，该公司总经理。</w:t>
      </w:r>
    </w:p>
    <w:p>
      <w:pPr>
        <w:pStyle w:val="14"/>
        <w:ind w:firstLine="640"/>
        <w:rPr>
          <w:rFonts w:hAnsi="宋体"/>
          <w:szCs w:val="32"/>
        </w:rPr>
      </w:pPr>
      <w:r>
        <w:rPr>
          <w:rFonts w:hint="eastAsia" w:hAnsi="宋体"/>
          <w:szCs w:val="32"/>
        </w:rPr>
        <w:t>委托诉讼代理人：孙行，该公司员工。</w:t>
      </w:r>
    </w:p>
    <w:p>
      <w:pPr>
        <w:pStyle w:val="14"/>
        <w:ind w:firstLine="640"/>
        <w:rPr>
          <w:rFonts w:hAnsi="宋体"/>
          <w:szCs w:val="32"/>
        </w:rPr>
      </w:pPr>
      <w:r>
        <w:rPr>
          <w:rFonts w:hint="eastAsia" w:hAnsi="宋体"/>
          <w:szCs w:val="32"/>
        </w:rPr>
        <w:t>委托诉讼代理人：陈盼，北京大成（深圳）律师事务所律师。</w:t>
      </w:r>
    </w:p>
    <w:p>
      <w:pPr>
        <w:pStyle w:val="14"/>
        <w:ind w:firstLine="640"/>
        <w:rPr>
          <w:rFonts w:hAnsi="宋体"/>
          <w:szCs w:val="32"/>
        </w:rPr>
      </w:pPr>
      <w:r>
        <w:rPr>
          <w:rFonts w:hint="eastAsia" w:hAnsi="宋体"/>
          <w:szCs w:val="32"/>
        </w:rPr>
        <w:t>原告: 南京智浦供应链管理有限公司, 住所地江苏省南京江北新区智能制造产业园科创大道9号A4栋2217室，统一社会信用代码91320115MA20NDHC8A。</w:t>
      </w:r>
    </w:p>
    <w:p>
      <w:pPr>
        <w:pStyle w:val="14"/>
        <w:ind w:firstLine="640"/>
        <w:rPr>
          <w:rFonts w:hAnsi="宋体"/>
          <w:szCs w:val="32"/>
        </w:rPr>
      </w:pPr>
      <w:r>
        <w:rPr>
          <w:rFonts w:hint="eastAsia" w:hAnsi="宋体"/>
          <w:szCs w:val="32"/>
        </w:rPr>
        <w:t>法定代表人:梁志峰,该公司执行董事。</w:t>
      </w:r>
    </w:p>
    <w:p>
      <w:pPr>
        <w:pStyle w:val="14"/>
        <w:ind w:firstLine="640"/>
        <w:rPr>
          <w:rFonts w:hAnsi="宋体"/>
          <w:szCs w:val="32"/>
        </w:rPr>
      </w:pPr>
      <w:r>
        <w:rPr>
          <w:rFonts w:hint="eastAsia" w:hAnsi="宋体"/>
          <w:szCs w:val="32"/>
        </w:rPr>
        <w:t>委托诉讼代理人：陈盼，北京大成（深圳）律师事务所律师。</w:t>
      </w:r>
    </w:p>
    <w:p>
      <w:pPr>
        <w:pStyle w:val="14"/>
        <w:ind w:firstLine="640"/>
        <w:rPr>
          <w:rFonts w:hAnsi="宋体"/>
          <w:szCs w:val="32"/>
        </w:rPr>
      </w:pPr>
      <w:r>
        <w:rPr>
          <w:rFonts w:hint="eastAsia" w:hAnsi="宋体"/>
          <w:szCs w:val="32"/>
        </w:rPr>
        <w:t>被告：青白江新尚居建材经营部，经营场所四川省成都市青白江区大同街道凤凰东六路105号附3947号。</w:t>
      </w:r>
    </w:p>
    <w:p>
      <w:pPr>
        <w:pStyle w:val="14"/>
        <w:ind w:firstLine="640"/>
        <w:rPr>
          <w:rFonts w:hAnsi="宋体"/>
          <w:szCs w:val="32"/>
        </w:rPr>
      </w:pPr>
      <w:r>
        <w:rPr>
          <w:rFonts w:hint="eastAsia" w:hAnsi="宋体"/>
          <w:szCs w:val="32"/>
        </w:rPr>
        <w:t>经营者：王伟懿。</w:t>
      </w:r>
    </w:p>
    <w:p>
      <w:pPr>
        <w:pStyle w:val="14"/>
        <w:ind w:firstLine="640"/>
        <w:rPr>
          <w:rFonts w:hAnsi="宋体"/>
          <w:szCs w:val="32"/>
        </w:rPr>
      </w:pPr>
      <w:r>
        <w:rPr>
          <w:rFonts w:hint="eastAsia" w:hAnsi="宋体"/>
          <w:szCs w:val="32"/>
        </w:rPr>
        <w:t>委托诉讼代理人：齐东明，北京市京师律师事务所律师。</w:t>
      </w:r>
    </w:p>
    <w:p>
      <w:pPr>
        <w:pStyle w:val="14"/>
        <w:ind w:firstLine="640"/>
        <w:rPr>
          <w:rFonts w:hAnsi="宋体"/>
          <w:szCs w:val="32"/>
        </w:rPr>
      </w:pPr>
      <w:r>
        <w:rPr>
          <w:rFonts w:hint="eastAsia" w:hAnsi="宋体"/>
          <w:szCs w:val="32"/>
        </w:rPr>
        <w:t>被告: 王伟懿</w:t>
      </w:r>
      <w:bookmarkStart w:id="0" w:name="_GoBack"/>
      <w:bookmarkEnd w:id="0"/>
      <w:r>
        <w:rPr>
          <w:rFonts w:hint="eastAsia" w:hAnsi="宋体"/>
          <w:szCs w:val="32"/>
        </w:rPr>
        <w:t>。</w:t>
      </w:r>
    </w:p>
    <w:p>
      <w:pPr>
        <w:pStyle w:val="14"/>
        <w:ind w:firstLine="640"/>
        <w:rPr>
          <w:rFonts w:hAnsi="宋体"/>
          <w:szCs w:val="32"/>
        </w:rPr>
      </w:pPr>
      <w:r>
        <w:rPr>
          <w:rFonts w:hint="eastAsia" w:hAnsi="宋体"/>
          <w:szCs w:val="32"/>
        </w:rPr>
        <w:t>委托诉讼代理人：齐东明，北京市京师律师事务所律师。</w:t>
      </w:r>
    </w:p>
    <w:p>
      <w:pPr>
        <w:pStyle w:val="14"/>
        <w:ind w:firstLine="640"/>
        <w:rPr>
          <w:rFonts w:hAnsi="宋体"/>
          <w:szCs w:val="32"/>
        </w:rPr>
      </w:pPr>
      <w:r>
        <w:rPr>
          <w:rFonts w:hint="eastAsia" w:hAnsi="宋体"/>
          <w:szCs w:val="32"/>
        </w:rPr>
        <w:t>被告: 成都给个面子网络科技有限公司,统一社会信用代码91510107MA661YF74L，住所地四川省成都市龙泉驿区大面街道悦来街82号大观城市花园12栋4屋1号附 6号。</w:t>
      </w:r>
    </w:p>
    <w:p>
      <w:pPr>
        <w:pStyle w:val="14"/>
        <w:ind w:firstLine="640"/>
        <w:rPr>
          <w:rFonts w:hAnsi="宋体"/>
          <w:szCs w:val="32"/>
        </w:rPr>
      </w:pPr>
      <w:r>
        <w:rPr>
          <w:rFonts w:hint="eastAsia" w:hAnsi="宋体"/>
          <w:szCs w:val="32"/>
        </w:rPr>
        <w:t>法定代表人: 王伟懿。</w:t>
      </w:r>
    </w:p>
    <w:p>
      <w:pPr>
        <w:pStyle w:val="14"/>
        <w:ind w:firstLine="640"/>
        <w:rPr>
          <w:rFonts w:hAnsi="宋体"/>
          <w:szCs w:val="32"/>
        </w:rPr>
      </w:pPr>
      <w:r>
        <w:rPr>
          <w:rFonts w:hint="eastAsia" w:hAnsi="宋体"/>
          <w:szCs w:val="32"/>
        </w:rPr>
        <w:t>委托诉讼代理人：齐东明，北京市京师律师事务所律师。</w:t>
      </w:r>
    </w:p>
    <w:p>
      <w:pPr>
        <w:pStyle w:val="14"/>
        <w:ind w:firstLine="640"/>
        <w:rPr>
          <w:rFonts w:hAnsi="宋体"/>
          <w:szCs w:val="32"/>
        </w:rPr>
      </w:pPr>
      <w:r>
        <w:rPr>
          <w:rFonts w:hint="eastAsia" w:hAnsi="宋体"/>
          <w:szCs w:val="32"/>
        </w:rPr>
        <w:t>委托诉讼代理人：李书文，北京德和衡（成都）律师事务所律师。</w:t>
      </w:r>
    </w:p>
    <w:p>
      <w:pPr>
        <w:pStyle w:val="14"/>
        <w:ind w:firstLine="640"/>
      </w:pPr>
      <w:r>
        <w:rPr>
          <w:rFonts w:hint="eastAsia"/>
        </w:rPr>
        <w:t>原告</w:t>
      </w:r>
      <w:r>
        <w:rPr>
          <w:rFonts w:hint="eastAsia" w:hAnsi="宋体"/>
          <w:szCs w:val="32"/>
        </w:rPr>
        <w:t>安徽智浦欣达电器有限公司（以下简称安徽智浦公司）、南京智浦供应链管理有限公司（以下简称南京智浦公司）</w:t>
      </w:r>
      <w:r>
        <w:rPr>
          <w:rFonts w:hint="eastAsia"/>
        </w:rPr>
        <w:t>与被告</w:t>
      </w:r>
      <w:r>
        <w:rPr>
          <w:rFonts w:hint="eastAsia" w:hAnsi="宋体"/>
          <w:szCs w:val="32"/>
        </w:rPr>
        <w:t>青白江新尚居建材经营部（以下简称新尚居经营部）、王伟懿、成都给个面子网络科技有限公司（以下简称给个面子公司）</w:t>
      </w:r>
      <w:r>
        <w:rPr>
          <w:rFonts w:hint="eastAsia"/>
        </w:rPr>
        <w:t>商业诋毁纠纷一案，本院于</w:t>
      </w:r>
      <w:r>
        <w:t>20</w:t>
      </w:r>
      <w:r>
        <w:rPr>
          <w:rFonts w:hint="eastAsia"/>
        </w:rPr>
        <w:t>22</w:t>
      </w:r>
      <w:r>
        <w:t>年</w:t>
      </w:r>
      <w:r>
        <w:rPr>
          <w:rFonts w:hint="eastAsia"/>
        </w:rPr>
        <w:t>10</w:t>
      </w:r>
      <w:r>
        <w:t>月</w:t>
      </w:r>
      <w:r>
        <w:rPr>
          <w:rFonts w:hint="eastAsia"/>
        </w:rPr>
        <w:t>12</w:t>
      </w:r>
      <w:r>
        <w:t>日立案后，依法适用普通程序，于20</w:t>
      </w:r>
      <w:r>
        <w:rPr>
          <w:rFonts w:hint="eastAsia"/>
        </w:rPr>
        <w:t>22</w:t>
      </w:r>
      <w:r>
        <w:t>年</w:t>
      </w:r>
      <w:r>
        <w:rPr>
          <w:rFonts w:hint="eastAsia"/>
        </w:rPr>
        <w:t>12</w:t>
      </w:r>
      <w:r>
        <w:t>月</w:t>
      </w:r>
      <w:r>
        <w:rPr>
          <w:rFonts w:hint="eastAsia"/>
        </w:rPr>
        <w:t>2</w:t>
      </w:r>
      <w:r>
        <w:t>日公开开庭进行了审理。</w:t>
      </w:r>
      <w:r>
        <w:rPr>
          <w:rFonts w:hint="eastAsia" w:hAnsi="宋体"/>
          <w:szCs w:val="32"/>
        </w:rPr>
        <w:t>安徽智浦公司</w:t>
      </w:r>
      <w:r>
        <w:t>的委托诉讼代理人</w:t>
      </w:r>
      <w:r>
        <w:rPr>
          <w:rFonts w:hint="eastAsia" w:hAnsi="宋体" w:cs="宋体"/>
          <w:szCs w:val="32"/>
        </w:rPr>
        <w:t>孙行、陈盼、南京智浦公司的委托诉讼代理人陈盼、</w:t>
      </w:r>
      <w:r>
        <w:rPr>
          <w:rFonts w:hint="eastAsia" w:hAnsi="宋体"/>
          <w:szCs w:val="32"/>
        </w:rPr>
        <w:t>新尚居经营部、王伟懿、给个面子公司</w:t>
      </w:r>
      <w:r>
        <w:rPr>
          <w:rFonts w:hint="eastAsia" w:hAnsi="宋体" w:cs="宋体"/>
          <w:szCs w:val="32"/>
        </w:rPr>
        <w:t>的委托诉讼代理人齐东明、给个面子公司的委托诉讼代理人李书文</w:t>
      </w:r>
      <w:r>
        <w:rPr>
          <w:rFonts w:hint="eastAsia"/>
        </w:rPr>
        <w:t>到庭参加诉讼</w:t>
      </w:r>
      <w:r>
        <w:t>。本案现已审理终结。</w:t>
      </w:r>
    </w:p>
    <w:p>
      <w:pPr>
        <w:pStyle w:val="14"/>
        <w:ind w:firstLine="640"/>
      </w:pPr>
      <w:r>
        <w:rPr>
          <w:rFonts w:hint="eastAsia" w:hAnsi="宋体"/>
          <w:szCs w:val="32"/>
        </w:rPr>
        <w:t>安徽智浦公司、南京智浦公司</w:t>
      </w:r>
      <w:r>
        <w:rPr>
          <w:rFonts w:hint="eastAsia"/>
        </w:rPr>
        <w:t>向本院提出诉讼请求：1.判令</w:t>
      </w:r>
      <w:r>
        <w:rPr>
          <w:rFonts w:hint="eastAsia" w:hAnsi="宋体"/>
          <w:szCs w:val="32"/>
        </w:rPr>
        <w:t>新尚居经营部、王伟懿、给个面子公司</w:t>
      </w:r>
      <w:r>
        <w:rPr>
          <w:rFonts w:hint="eastAsia"/>
        </w:rPr>
        <w:t>立即停止侵害</w:t>
      </w:r>
      <w:r>
        <w:rPr>
          <w:rFonts w:hint="eastAsia" w:hAnsi="宋体"/>
          <w:szCs w:val="32"/>
        </w:rPr>
        <w:t>安徽智浦公司、南京智浦公司</w:t>
      </w:r>
      <w:r>
        <w:rPr>
          <w:rFonts w:hint="eastAsia"/>
        </w:rPr>
        <w:t>商业信誉、商品声誉的行为,包括但不限于删除所有侵权链接、不得在任何公开场合散布损害名誉或商誉的任何信息；2.判令</w:t>
      </w:r>
      <w:r>
        <w:rPr>
          <w:rFonts w:hint="eastAsia" w:hAnsi="宋体"/>
          <w:szCs w:val="32"/>
        </w:rPr>
        <w:t>新尚居经营部、王伟懿、给个面子公司</w:t>
      </w:r>
      <w:r>
        <w:rPr>
          <w:rFonts w:hint="eastAsia"/>
        </w:rPr>
        <w:t>在《法制日报》或其他全国性报纸上登报并同时在抖音、快手、西瓜视频、晔哩哗哩、腾讯视频号平台下所有注册账户的主页赔礼道歉,发布公开道歉声明并置顶公示不低于30天,为</w:t>
      </w:r>
      <w:r>
        <w:rPr>
          <w:rFonts w:hint="eastAsia" w:hAnsi="宋体"/>
          <w:szCs w:val="32"/>
        </w:rPr>
        <w:t>安徽智浦公司、南京智浦公司</w:t>
      </w:r>
      <w:r>
        <w:rPr>
          <w:rFonts w:hint="eastAsia"/>
        </w:rPr>
        <w:t>消除影响、恢复名誉；3.判令</w:t>
      </w:r>
      <w:r>
        <w:rPr>
          <w:rFonts w:hint="eastAsia" w:hAnsi="宋体"/>
          <w:szCs w:val="32"/>
        </w:rPr>
        <w:t>新尚居经营部、王伟懿、给个面子公司</w:t>
      </w:r>
      <w:r>
        <w:rPr>
          <w:rFonts w:hint="eastAsia"/>
        </w:rPr>
        <w:t>共同赔偿损失和维权合理支出1000万元；4.本案诉讼费用由</w:t>
      </w:r>
      <w:r>
        <w:rPr>
          <w:rFonts w:hint="eastAsia" w:hAnsi="宋体"/>
          <w:szCs w:val="32"/>
        </w:rPr>
        <w:t>新尚居经营部、王伟懿、给个面子公司</w:t>
      </w:r>
      <w:r>
        <w:rPr>
          <w:rFonts w:hint="eastAsia"/>
        </w:rPr>
        <w:t xml:space="preserve">承担。事实及理由: </w:t>
      </w:r>
      <w:r>
        <w:rPr>
          <w:rFonts w:hint="eastAsia" w:hAnsi="宋体"/>
          <w:szCs w:val="32"/>
        </w:rPr>
        <w:t>安徽智浦公司、南京智浦公司</w:t>
      </w:r>
      <w:r>
        <w:rPr>
          <w:rFonts w:hint="eastAsia"/>
        </w:rPr>
        <w:t>为飞利浦空调在中华人民共和国区域内(含港澳台)的生产销售商,在京东和淘宝均有开设飞利浦空调旗舰店。</w:t>
      </w:r>
      <w:r>
        <w:rPr>
          <w:rFonts w:hint="eastAsia" w:hAnsi="宋体"/>
          <w:szCs w:val="32"/>
        </w:rPr>
        <w:t>新尚居经营部、王伟懿、给个面子公司</w:t>
      </w:r>
      <w:r>
        <w:rPr>
          <w:rFonts w:hint="eastAsia"/>
        </w:rPr>
        <w:t>为家居装修装饰行业的经营者,旗下运营多个家居类生活自媒体达人账号,并通过信息网络为家具、家电、建材等家居类企业提供销售和推广服务。2022年8月31日,为吸引更多流量,</w:t>
      </w:r>
      <w:r>
        <w:rPr>
          <w:rFonts w:hint="eastAsia" w:hAnsi="宋体"/>
          <w:szCs w:val="32"/>
        </w:rPr>
        <w:t xml:space="preserve"> 新尚居经营部、王伟懿、给个面子公司</w:t>
      </w:r>
      <w:r>
        <w:rPr>
          <w:rFonts w:hint="eastAsia"/>
        </w:rPr>
        <w:t>通过抖音网络平台账户“恭喜的家居生活馆”(抖音号:gxszx,粉丝194W,获赞779.2W),制作发布了一条名为“飞利浦空调装修行业最丑人性”的短视频(下称“涉案视频”),并配以“飞利浦空调装置行业最丑人性”的负面描述内容和“格力中央空调井飞利浦空调”的话题标签。涉案视频包含多处不实内容,包括但不限于“飞利浦空调,简直是把装修行业最丑陋的人性表现的淋漓尽致”“白眼狼”“拿一个贴牌空调来赚老百姓的高价,毫无人性”“飞利浦空调,这简直就是在骗老百姓”“整个家电业务全部卖给了高瓴资本”“彻头彻尾的假洋牌”“当老百姓是傻子”“挖墙脚”“挂羊头卖狗肉”“以次充好”“怎么骗钱就怎么来”等不当言论。并在视频中宣称大家要“擦亮眼睛,不要上当”,有什么购买需要的可以直接找</w:t>
      </w:r>
      <w:r>
        <w:rPr>
          <w:rFonts w:hint="eastAsia" w:hAnsi="宋体"/>
          <w:szCs w:val="32"/>
        </w:rPr>
        <w:t>新尚居经营部、王伟懿、给个面子公司</w:t>
      </w:r>
      <w:r>
        <w:rPr>
          <w:rFonts w:hint="eastAsia"/>
        </w:rPr>
        <w:t>。经查询,涉案账号为</w:t>
      </w:r>
      <w:r>
        <w:rPr>
          <w:rFonts w:hint="eastAsia" w:hAnsi="宋体"/>
          <w:szCs w:val="32"/>
        </w:rPr>
        <w:t>新尚居经营部、王伟懿、给个面子公司</w:t>
      </w:r>
      <w:r>
        <w:rPr>
          <w:rFonts w:hint="eastAsia"/>
        </w:rPr>
        <w:t>实际控制,并由王伟懿出镜完成相关视频的制作。该视频截至取证之时已有3.3万赞、4763条评论、1113个收藏、465个分享(含转发下载)。涉案视频亦由</w:t>
      </w:r>
      <w:r>
        <w:rPr>
          <w:rFonts w:hint="eastAsia" w:hAnsi="宋体"/>
          <w:szCs w:val="32"/>
        </w:rPr>
        <w:t>新尚居经营部、王伟懿、给个面子公司</w:t>
      </w:r>
      <w:r>
        <w:rPr>
          <w:rFonts w:hint="eastAsia"/>
        </w:rPr>
        <w:t>通过名为“恭喜的家居生活馆”或“恭喜的家居生活”的相关账户同步散布于快手、西瓜视频、晔哩晔哩、腾讯视频号等平台,其中快手平台账户发布的涉案视频截至取证之时已有71.7万次观看、2.8万点赞、6359条评论和1396个收藏,西瓜视频账户发布的涉案视频截至取证之时有5.3万次观看、2898个赞和277条评论。取证后相关视频仍在持续传播。经</w:t>
      </w:r>
      <w:r>
        <w:rPr>
          <w:rFonts w:hint="eastAsia" w:hAnsi="宋体"/>
          <w:szCs w:val="32"/>
        </w:rPr>
        <w:t>新尚居经营部、王伟懿、给个面子公司</w:t>
      </w:r>
      <w:r>
        <w:rPr>
          <w:rFonts w:hint="eastAsia"/>
        </w:rPr>
        <w:t>运营的相关账户信息显示,</w:t>
      </w:r>
      <w:r>
        <w:rPr>
          <w:rFonts w:hint="eastAsia" w:hAnsi="宋体"/>
          <w:szCs w:val="32"/>
        </w:rPr>
        <w:t xml:space="preserve"> 新尚居经营部、王伟懿、给个面子公司</w:t>
      </w:r>
      <w:r>
        <w:rPr>
          <w:rFonts w:hint="eastAsia"/>
        </w:rPr>
        <w:t>为装修类头部视频号博主,名下账户多为平台大V账户,粉丝破百万,受关注度高,涉案视频经</w:t>
      </w:r>
      <w:r>
        <w:rPr>
          <w:rFonts w:hint="eastAsia" w:hAnsi="宋体"/>
          <w:szCs w:val="32"/>
        </w:rPr>
        <w:t>新尚居经营部、王伟懿、给个面子公司</w:t>
      </w:r>
      <w:r>
        <w:rPr>
          <w:rFonts w:hint="eastAsia"/>
        </w:rPr>
        <w:t>发布后被多方转载,传播范围广,引发了大量关注和负面评论。综上,</w:t>
      </w:r>
      <w:r>
        <w:rPr>
          <w:rFonts w:hint="eastAsia" w:hAnsi="宋体"/>
          <w:szCs w:val="32"/>
        </w:rPr>
        <w:t xml:space="preserve"> 新尚居经营部、王伟懿、给个面子公司</w:t>
      </w:r>
      <w:r>
        <w:rPr>
          <w:rFonts w:hint="eastAsia"/>
        </w:rPr>
        <w:t>作为经营者,其发表相应的商业言论应当具有更高的合理注意义务,现</w:t>
      </w:r>
      <w:r>
        <w:rPr>
          <w:rFonts w:hint="eastAsia" w:hAnsi="宋体"/>
          <w:szCs w:val="32"/>
        </w:rPr>
        <w:t>新尚居经营部、王伟懿、给个面子公司</w:t>
      </w:r>
      <w:r>
        <w:rPr>
          <w:rFonts w:hint="eastAsia"/>
        </w:rPr>
        <w:t>通过信息网络编造和传播虚假、误导性信息,恶意诋毁</w:t>
      </w:r>
      <w:r>
        <w:rPr>
          <w:rFonts w:hint="eastAsia" w:hAnsi="宋体"/>
          <w:szCs w:val="32"/>
        </w:rPr>
        <w:t>安徽智浦公司、南京智浦公司</w:t>
      </w:r>
      <w:r>
        <w:rPr>
          <w:rFonts w:hint="eastAsia"/>
        </w:rPr>
        <w:t>的商业信誉及商品声誉。三被告的行为已经超出了合理客观的商业评论范围,给</w:t>
      </w:r>
      <w:r>
        <w:rPr>
          <w:rFonts w:hint="eastAsia" w:hAnsi="宋体"/>
          <w:szCs w:val="32"/>
        </w:rPr>
        <w:t>安徽智浦公司、南京智浦公司</w:t>
      </w:r>
      <w:r>
        <w:rPr>
          <w:rFonts w:hint="eastAsia"/>
        </w:rPr>
        <w:t>带来了极大的负面影响和重大经济损失。王伟懿为</w:t>
      </w:r>
      <w:r>
        <w:rPr>
          <w:rFonts w:hint="eastAsia" w:hAnsi="宋体"/>
          <w:szCs w:val="32"/>
        </w:rPr>
        <w:t>新尚居经营部、给个面子公司</w:t>
      </w:r>
      <w:r>
        <w:rPr>
          <w:rFonts w:hint="eastAsia"/>
        </w:rPr>
        <w:t>的实际控制人,为</w:t>
      </w:r>
      <w:r>
        <w:rPr>
          <w:rFonts w:hint="eastAsia" w:hAnsi="宋体"/>
          <w:szCs w:val="32"/>
        </w:rPr>
        <w:t>新尚居经营部</w:t>
      </w:r>
      <w:r>
        <w:rPr>
          <w:rFonts w:hint="eastAsia"/>
        </w:rPr>
        <w:t>的经营者,王伟懿也应当承担侵权赔偿责任。</w:t>
      </w:r>
    </w:p>
    <w:p>
      <w:pPr>
        <w:pStyle w:val="14"/>
        <w:ind w:firstLine="640"/>
        <w:rPr>
          <w:rFonts w:hAnsi="宋体"/>
          <w:szCs w:val="32"/>
        </w:rPr>
      </w:pPr>
      <w:r>
        <w:rPr>
          <w:rFonts w:hint="eastAsia" w:hAnsi="宋体"/>
          <w:szCs w:val="32"/>
        </w:rPr>
        <w:t>新尚居经营部、王伟懿辩称，1.新尚居经营部、王伟懿、给个面子公司不是空调行业经营者，与安徽智浦公司、南京智浦公司不具有竞争关系。案涉短视频并非新尚居经营部、给个面子公司所发，是否侵权与新尚居经营部、给个面子公司无关。“恭喜的家居生活馆”（抖音号：gxszx）的主页展示界面“授权资质”显示为新尚居经营部就认定新尚居经营部应当为涉案短视频承担责任错误。“恭喜哥严选”网店是新尚居经营部注册的，其与王伟懿的“恭喜的家居生活馆”的关系仅为授权。“恭喜的家居生活馆”的短视频与 “恭喜哥严选”网店毫无关系。“恭喜的家居生活馆”系王伟懿个人注册所有，其所发短视频与新尚居经营部无关；2.案涉短视频中王伟懿所说的是客观事实，并非虚伪信息，且没有针对特定的对象，其不具有捏造、散布虚伪信息的行为和指向特定的对象，不符合商业诋毁的构成要件即“行为人具有捏造、散布虚伪信息的行为”和“虚伪信息指向特定的诋毁对象”。案涉短视频仅是对装修行业以及飞利浦品牌的现状和发展做的陈述性描述，信息具有真实性和客观性，并非虚假信息其中所提到的“白眼狼”、“在董小姐背后捅刀子”、“毫无人性”并非针对飞利浦品牌所提出，仅是对某些格力空调的线下经销商的行为进行评价，没有特指哪位经销商，更不是针对“飞利浦”这一特定品牌。王伟懿对飞利浦公司的产品、经营活动进行的评论具有正当目的，且是客观真实的。即便有的用词带有情绪化，最多也只是涉及是否侵犯飞利浦公司的名誉权的问题，而不是商业诋毁，事实上该短视频主要是对格力空调的线下经销商用贴牌飞利浦空调的商业行为的评论，并不侵犯飞利浦公司的名誉权；3. 安徽智浦公司、南京智浦公司不是飞利浦公司，不是本案适格主体。安徽智浦公司、南京智浦公司仅仅是在中国制造、销售和分销飞利浦品牌空调机和制造专用配件产品时有权使用飞利浦公司的商标，安徽智浦公司、南京智浦公司不享有代表飞利浦公司主张侵权的权利。案涉短视频中王伟懿所说的内容仅提及：格力空调的线下经销商、飞利浦公司、高瓴资本、 美博制冷公司，虽然其中提到了一句南京智浦公司，但该内容：“ 你们在看飞利浦包装上的公司“南京智浦供应链管理有限公司，这个名字怎么听都不像是个家电公司”，仅是客观陈述事实，发表评论，并不是商业诋毁。王伟懿对飞利浦公司的产品、经营活动进行的评论，无论该评论是否侵犯飞利浦公司的名誉权，该行为指向的特定的对象是飞利浦公司，而不是安徽智浦公司、南京智浦公司，与安徽智浦公司、南京智浦公司无关；4.王伟懿的行为并未对安徽智浦公司、南京智浦公司造成损害。王伟懿在未侵犯安徽智浦公司、南京智浦公司的权益的情况下，为了避免不必要的麻烦，在很短时间内就将案涉视频删除，未造成大规模传播和影响，根本不会对飞利浦公司造成任何影响。安徽智浦公司、南京智浦公司既无证据证明其所说损失1000万元，也无证据证明其所说损失1000万元与王伟懿所发的短视频具有因果关系。王伟懿主观上无商业诋毁的故意。</w:t>
      </w:r>
    </w:p>
    <w:p>
      <w:pPr>
        <w:pStyle w:val="14"/>
        <w:ind w:firstLine="640"/>
        <w:rPr>
          <w:rFonts w:hAnsi="宋体"/>
          <w:szCs w:val="32"/>
        </w:rPr>
      </w:pPr>
      <w:r>
        <w:rPr>
          <w:rFonts w:hint="eastAsia" w:hAnsi="宋体"/>
          <w:szCs w:val="32"/>
        </w:rPr>
        <w:t>给个面子公司辩称，案涉视频是王伟懿的个人行为，其账号“恭喜的家居生活馆”也是王伟懿个人所有，与给个面子公司无关，案涉视频是否侵权均与给个面子公司无关。王伟懿与给个面子公司的合作关系仅限于学习交流和临时挂靠，在挂名期间，被告二独自创作和发表视频，对视频、直播等所获得的收益享有完全的所有权，给个面子公司不向其收取任何费用，双方在合作期限对各自行为承担责任。王伟懿所发的短视频中仅有抖音所发视频关联了答辩人，其它平台所发视频均未关联给个面子公司。案涉视频完全是王伟懿的个人行为，安徽智浦公司、南京智浦公司要求给个面子公司承担相应责任毫无事实和法律依据。给个面子公司不是空调行业经营者，与安徽智浦公司、南京智浦公司不具有竞争关系，不符合商业诋毁的构成要件之“当事人之间具有竞争关系”。</w:t>
      </w:r>
    </w:p>
    <w:p>
      <w:pPr>
        <w:pStyle w:val="14"/>
        <w:ind w:firstLine="640"/>
      </w:pPr>
      <w:r>
        <w:rPr>
          <w:rFonts w:hint="eastAsia"/>
        </w:rPr>
        <w:t>根据上述认定的证据及当事人陈述，本院查明以下事实：</w:t>
      </w:r>
    </w:p>
    <w:p>
      <w:pPr>
        <w:pStyle w:val="14"/>
        <w:ind w:firstLine="640"/>
      </w:pPr>
      <w:r>
        <w:rPr>
          <w:rFonts w:hint="eastAsia"/>
        </w:rPr>
        <w:t>2020年4月24日，皇家飞利浦有限公司（以下简称飞利浦公司）向南京智浦公司出具一份授权书，内容为，飞利浦公司是以下商标的所有者，国际注册号为G991346注册的PHILIPS商标，并在中国注册商标号为2128678PHILIPS商标，和根据国际注册号为G1240236的飞利浦盾型商标，并在中国境内注册商标号为21286784的飞利浦盾型商标。飞利浦公司在此确认，南京智浦公司及其附属公司被授权至2025年12月31日，在中国制造、销售和分销飞利浦品牌空调机和南京智浦公司及其附属公司制造的专用配件产品时使用上述商标，但须遵循飞利浦公司和南京智浦公司之间的商标许可协议中的所有条款和条件。南京智浦公司不得对任何第三方进行转授权。PHILIPS商标的注册人为飞利浦公司，注册日期为2017年11月14日有效期至2027年11月13日。飞利浦公司在第11类商品上使用的PHILIPS商标注册号为G991346，有效期自2012年6月13日至2028年6月13日。飞利浦公司在第11类商品上使用的飞利浦盾型商标注册号为G1240236，有效期自2014年5月12日至2024年5月12日。</w:t>
      </w:r>
    </w:p>
    <w:p>
      <w:pPr>
        <w:pStyle w:val="14"/>
        <w:ind w:firstLine="640"/>
      </w:pPr>
      <w:r>
        <w:rPr>
          <w:rFonts w:hint="eastAsia"/>
        </w:rPr>
        <w:t>2022年8月31日19：22分，抖音账号为</w:t>
      </w:r>
      <w:r>
        <w:t>“</w:t>
      </w:r>
      <w:r>
        <w:rPr>
          <w:rFonts w:hint="eastAsia"/>
        </w:rPr>
        <w:t>恭喜哥的家居生活馆</w:t>
      </w:r>
      <w:r>
        <w:t>”</w:t>
      </w:r>
      <w:r>
        <w:rPr>
          <w:rFonts w:hint="eastAsia"/>
        </w:rPr>
        <w:t>的用户通过抖音、西瓜视频、快手平台等平台发布一则名为飞利浦空调装置行业最丑人性的视频，视频中出镜人为王伟懿，视频经过整理的文字内容为，飞利浦空调装修行业最丑人性飞利浦空调,简直是把装修行业最丑陋的人性表现的淋漓尽致。这群格力空调的线下经销商,根本就是一群白眼很。不仅在董小姐的背后捅刀子,还拿一个贴牌空调来赚老百姓的高价,无人性。首先是这个空调,飞利浦空调,这简直就是在骗老百姓。我作为一个业内人士,有责任告诉大家,其实飞利浦品牌早在2002年开始,就已经全部转卖各项业务。先是把显示器和平板业务给卖了,然后是半导体业务,接着全面退出中国的电视机市场,随后直接把全世界的电视机市场给退了。在去年还把整个家电业务全部卖给了高瓴资本,甚至百年前起家的灯泡,也就是照明业务,也给拆分了。现如今的飞利浦,只剩下呼吸机、助听器这些大健康类目的东西。所以你在市面上要是看到飞利浦什么,那其实就是不同的公司给你贴牌的而已,和你想象中的那个荷兰的飞利浦公司,完全两个概念。所以这个飞利浦空调呢,也是如此。他是在中国的美博制冷公司贴牌的。而这个美博制冷公司也就是2010年才成立的,到现在也才12年。这个飞利浦空调就是一个彻头彻尾的假洋牌。你们再看飞利浦包装上的公司,南京智浦供应链管理有限公司,这个名字怎么听都不像是一个家电公司。其次,产品质量,虽然说空调是一个很成熟的产业了,但是我并不相信,一个才干了12年的企业,在产品质量上能够干得过格力。我一点都不信。至于像飞利浦空调说的,能够10年之内,坏了就免费换新的。十年????呵呵,10年之后你这牌子还在不在都是个问题。所以呢,他这句话我就觉得是在画大饼。更可笑的是,大家可以去查一查,飞利浦空调的价格,一个1.5匹的三级能效的挂机,他卖3100块钱。这个配置2000块钱我都觉得贵。他当老百姓是傻子。不过呢,也有可能他们就是想在线上把价格挂的高高的,方便他们线下然后好操作嘛,毕竟啊,创立飞利浦空调的这群人,就是格力最大的线下经销商。最后恩怨啊,当初董小姐拿出10%的格力股权,拿来扶持经销商,而河北作为格力最大的一群经销商们,现在市场做起来了,渠道打开了,也有钱了,就集体的反水,另起炉灶,这种行为真的让人寒心。我在这个行业10多年,也是卖建材出身,这种事见得太多了。而且这个行业真的是童无人性。很多厂家费尽心思的把一个经销商,把它扶持一下,希望他做起来。结果呢,他确实是做起来了。一旦这些经销商做起来了,他就去搞一个自己的牌子。一边呢,打着大品牌的门头,一边就跟客户说,你看那个我有一个其他牌子的质量差不多,价格更便宜,你买这个。院墙围,挂羊头,卖狗肉,甚至以次充好都会干。毕竟装修嘛,都是一次性的生意,没有回头客的。他们就是怎么能够骗到钱,就怎么干呗。至于影响嘛,反正客户认的是门头上的那个品牌,烂大街了无所谓,换一个继续就行了,受损的是厂家,又不是他经销商。这也是为什么你们去那种一线品牌的门店买东西,买到的却有质量问题,这是根本原因。反正从我的角度,我是支持董小姐的。发展电商,传统企业转型,新零售的兴起,这是发展的趋势。传统企业要是你跟不上,被淘汰那是活该。但这个过程当中,一定会涌现大量的线下经销商,他们会反抗趋势,用更低廉的产品,在最后的时间,把利益最大化。大家千万要擦亮眼睛,不要上当。能网购的就去网购,不要去线下门店了,我也在努力地帮助大家,然后去找一些好货,你们有啥需要的可以问我。装修嘛,也是很多人一生当中最头疼的一次大额消费,我很理解你们的无奈,所以我在很努力的把我知道的实话都告诉你们。但是毕竟实话嘛,肯定会影响很多人的利益。真的有时候,看看评论区啊,心里挺心寒的。还好有更多的朋友呢,愿意支持我,你们是我做下去的动力。关注我,只买对的,不买贵的。养成习惯,看完点赞。涉案视频发布后，较多网友浏览了该视频并发表了评论。涉案视频王伟懿已删除。</w:t>
      </w:r>
    </w:p>
    <w:p>
      <w:pPr>
        <w:pStyle w:val="14"/>
        <w:ind w:firstLine="640"/>
      </w:pPr>
      <w:r>
        <w:rPr>
          <w:rFonts w:hint="eastAsia"/>
        </w:rPr>
        <w:t>2021年3月30日中国工业新闻网发布一则新闻，标题为飞利浦家电业务被高瓴资本收购，主要内容为飞利浦公司宣布将其家用电器业务出售给高瓴，双方签订了飞利浦公司品牌15年的独家全球品牌授权协议。该协议允许家用电器继续使用飞利浦品牌及其旗下特定家用电器产品的品牌在全球范围内进行生产制造、品牌营销和市场销售。2021年3月29日中国家电网发布一则新闻，标题为飞利浦成功甩掉家电包袱，接盘者胜算几何。主要内容为，3月25日飞利浦公司宣布已签署协议，将其家用电器业务出售给投资公司高瓴资本，交易金额约为37亿欧元。2021年3月26日证券时报发布一则新闻，标题为高瓴又出手，340亿收购飞利浦家电，此前已拿下格力15%股权。主要内容为，飞利浦家电最终花落高瓴，2021年3月25日全球领先的健康科技公司飞利浦宣布已签署协议，将其家用电器业务出售给知名投资公司高瓴，交易金额约为37亿欧元。2021年4月22日新浪财经发布一则标题为高瓴资本收购飞利浦家电业务将拥有该品牌15年使用权的新闻，主要内容为飞利浦于3月25日表示，决定将该公司家电业务出售给中国投资公司高瓴资本，出售价为37亿欧元，计划在今年第3季度之前完成出售工作。</w:t>
      </w:r>
    </w:p>
    <w:p>
      <w:pPr>
        <w:pStyle w:val="14"/>
        <w:ind w:firstLine="640"/>
      </w:pPr>
      <w:r>
        <w:rPr>
          <w:rFonts w:hint="eastAsia"/>
        </w:rPr>
        <w:t>经查，恭喜哥的家居生活馆为王伟懿个人注册的抖音账号，账号具体信息为，国际建筑装饰室内设计协会，A级室内装饰配饰设计师，从业十五年，全国对接厂家，直接厂家拿货。商务合作gxszx01。MCN为给个面子公司。授权资质为新尚居经营部。</w:t>
      </w:r>
    </w:p>
    <w:p>
      <w:pPr>
        <w:pStyle w:val="14"/>
        <w:ind w:firstLine="640"/>
      </w:pPr>
      <w:r>
        <w:rPr>
          <w:rFonts w:hint="eastAsia"/>
        </w:rPr>
        <w:t>安徽智浦公司的股东为南京智浦公司，系南京智浦公司的全资子公司。</w:t>
      </w:r>
    </w:p>
    <w:p>
      <w:pPr>
        <w:pStyle w:val="14"/>
        <w:ind w:firstLine="640"/>
      </w:pPr>
      <w:r>
        <w:rPr>
          <w:rFonts w:hint="eastAsia"/>
        </w:rPr>
        <w:t>给个面子公司成立日期为2020年11月16日，法定代表人为王伟懿，经营范围为网络技术服务，物联网技术服务等。新尚居经营部注册日期为2020年9月27日，经营者为王伟懿，经营范围为销售建材、家居用品等。</w:t>
      </w:r>
    </w:p>
    <w:p>
      <w:pPr>
        <w:pStyle w:val="14"/>
        <w:ind w:firstLine="640"/>
      </w:pPr>
      <w:r>
        <w:rPr>
          <w:rFonts w:hint="eastAsia"/>
        </w:rPr>
        <w:t>以上事实，有涉案视频、抖音账户信息及当事人陈述等证据在案佐证。</w:t>
      </w:r>
    </w:p>
    <w:p>
      <w:pPr>
        <w:pStyle w:val="14"/>
        <w:ind w:firstLine="640"/>
      </w:pPr>
      <w:r>
        <w:rPr>
          <w:rFonts w:hint="eastAsia"/>
        </w:rPr>
        <w:t>本院认为，综合双方当事人诉辩意见，本案争议焦点是：1.安徽智浦公司、南京智浦公司是否为本案适格的诉讼主体；2.青白江新尚居建材经营部、成都给个面子网络科技有限公司是否为本案适格被告；3.如果安徽智浦公司、南京智浦公司与新尚居经营部、给个面子公司均为本案适格的诉讼主体，则新尚居经营部、王伟懿、给个面子公司是否构成侵权以及承担本案赔偿责任的主体、赔偿数额如何确定。</w:t>
      </w:r>
    </w:p>
    <w:p>
      <w:pPr>
        <w:pStyle w:val="14"/>
        <w:ind w:firstLine="640"/>
      </w:pPr>
      <w:r>
        <w:rPr>
          <w:rFonts w:hint="eastAsia"/>
        </w:rPr>
        <w:t>关于争议焦点一。2020年4月24日南京智浦公司及其附属公司被授权至2025年12月31日，在中国制造、销售和分销飞利浦品牌空调机和南京智浦公司及其附属公司制造的专用配件产品时使用飞利浦商标。安徽智浦公司系南京智浦公司全资子公司，故安徽智浦公司亦有权使用飞利浦商标。2022年8月31日19：22分，抖音账号为</w:t>
      </w:r>
      <w:r>
        <w:t>“</w:t>
      </w:r>
      <w:r>
        <w:rPr>
          <w:rFonts w:hint="eastAsia"/>
        </w:rPr>
        <w:t>恭喜哥的家居生活馆</w:t>
      </w:r>
      <w:r>
        <w:t>”</w:t>
      </w:r>
      <w:r>
        <w:rPr>
          <w:rFonts w:hint="eastAsia"/>
        </w:rPr>
        <w:t>通过抖音、西瓜视频、快手平台等平台发布一则名为飞利浦空调装置行业最丑人性的视频，视频的主要内容为飞利浦空调为贴牌商品。新尚居经营部、王伟懿、给个面子公司抗辩，南京智浦公司和安徽智浦公司不是飞利浦商标的所有权人，并非本案适格的诉讼主体。经营者的合法权益受到不正当竞争行为损害的，可以向人民法院提起诉讼。南京智浦公司和安徽智浦公司为飞利浦公司的生产销售商，并认为上述视频内容多处内容不实涉及侵权，故南京智浦公司和安徽智浦公司为飞利浦公司系本案适格的诉讼主体。</w:t>
      </w:r>
    </w:p>
    <w:p>
      <w:pPr>
        <w:pStyle w:val="14"/>
        <w:ind w:firstLine="640"/>
        <w:rPr>
          <w:rFonts w:hAnsi="宋体"/>
          <w:szCs w:val="32"/>
        </w:rPr>
      </w:pPr>
      <w:r>
        <w:rPr>
          <w:rFonts w:hint="eastAsia"/>
        </w:rPr>
        <w:t>关于争议焦点二。2022年8月31日19：22分，抖音账号为</w:t>
      </w:r>
      <w:r>
        <w:t>“</w:t>
      </w:r>
      <w:r>
        <w:rPr>
          <w:rFonts w:hint="eastAsia"/>
        </w:rPr>
        <w:t>恭喜哥的家居生活馆</w:t>
      </w:r>
      <w:r>
        <w:t>”</w:t>
      </w:r>
      <w:r>
        <w:rPr>
          <w:rFonts w:hint="eastAsia"/>
        </w:rPr>
        <w:t>的用户通过抖音、西瓜视频、快手平台等平台发布一则名为飞利浦空调装置行业最丑人性的视频。南京智浦公司和安徽智浦公司</w:t>
      </w:r>
      <w:r>
        <w:rPr>
          <w:rFonts w:hint="eastAsia" w:hAnsi="宋体"/>
          <w:szCs w:val="32"/>
        </w:rPr>
        <w:t>主张王伟懿系新尚居经营部、给个面子公司的实际控制人，以构成共同侵权为由要求新尚居经营部、王伟懿、给个面子公司共同承担赔偿责任。经营者违反反不正当竞争法的规定，给他人造成损害的，应当依法承担民事责任。针对本案，如果构成侵权，侵权责任人的认定应当根据实施具体侵权行为的主体进行确定。</w:t>
      </w:r>
      <w:r>
        <w:rPr>
          <w:rFonts w:hAnsi="宋体"/>
          <w:szCs w:val="32"/>
        </w:rPr>
        <w:t>“</w:t>
      </w:r>
      <w:r>
        <w:rPr>
          <w:rFonts w:hint="eastAsia" w:hAnsi="宋体"/>
          <w:szCs w:val="32"/>
        </w:rPr>
        <w:t>恭喜哥的家居生活馆</w:t>
      </w:r>
      <w:r>
        <w:rPr>
          <w:rFonts w:hAnsi="宋体"/>
          <w:szCs w:val="32"/>
        </w:rPr>
        <w:t>”</w:t>
      </w:r>
      <w:r>
        <w:rPr>
          <w:rFonts w:hint="eastAsia" w:hAnsi="宋体"/>
          <w:szCs w:val="32"/>
        </w:rPr>
        <w:t>账号的注册人为王伟懿，王伟懿亦认可涉案视频系其本人所发。抖音MCN是网红孵化服务中心，是专业人才培养和扶持网红达人的经纪公司或者管理机构。从</w:t>
      </w:r>
      <w:r>
        <w:rPr>
          <w:rFonts w:hAnsi="宋体"/>
          <w:szCs w:val="32"/>
        </w:rPr>
        <w:t>“</w:t>
      </w:r>
      <w:r>
        <w:rPr>
          <w:rFonts w:hint="eastAsia" w:hAnsi="宋体"/>
          <w:szCs w:val="32"/>
        </w:rPr>
        <w:t>恭喜哥的家居生活馆</w:t>
      </w:r>
      <w:r>
        <w:rPr>
          <w:rFonts w:hAnsi="宋体"/>
          <w:szCs w:val="32"/>
        </w:rPr>
        <w:t>”</w:t>
      </w:r>
      <w:r>
        <w:rPr>
          <w:rFonts w:hint="eastAsia" w:hAnsi="宋体"/>
          <w:szCs w:val="32"/>
        </w:rPr>
        <w:t>账号的注册信息来看，给个面子系</w:t>
      </w:r>
      <w:r>
        <w:rPr>
          <w:rFonts w:hAnsi="宋体"/>
          <w:szCs w:val="32"/>
        </w:rPr>
        <w:t>“</w:t>
      </w:r>
      <w:r>
        <w:rPr>
          <w:rFonts w:hint="eastAsia" w:hAnsi="宋体"/>
          <w:szCs w:val="32"/>
        </w:rPr>
        <w:t>恭喜哥的家居生活馆</w:t>
      </w:r>
      <w:r>
        <w:rPr>
          <w:rFonts w:hAnsi="宋体"/>
          <w:szCs w:val="32"/>
        </w:rPr>
        <w:t>”</w:t>
      </w:r>
      <w:r>
        <w:rPr>
          <w:rFonts w:hint="eastAsia" w:hAnsi="宋体"/>
          <w:szCs w:val="32"/>
        </w:rPr>
        <w:t>抖音账号的合作平台，能够帮助该用户提高账号活跃度，吸引粉丝，故王伟懿的抖音账号</w:t>
      </w:r>
      <w:r>
        <w:rPr>
          <w:rFonts w:hAnsi="宋体"/>
          <w:szCs w:val="32"/>
        </w:rPr>
        <w:t>“</w:t>
      </w:r>
      <w:r>
        <w:rPr>
          <w:rFonts w:hint="eastAsia" w:hAnsi="宋体"/>
          <w:szCs w:val="32"/>
        </w:rPr>
        <w:t>恭喜哥的家居生活馆</w:t>
      </w:r>
      <w:r>
        <w:rPr>
          <w:rFonts w:hAnsi="宋体"/>
          <w:szCs w:val="32"/>
        </w:rPr>
        <w:t>”</w:t>
      </w:r>
      <w:r>
        <w:rPr>
          <w:rFonts w:hint="eastAsia" w:hAnsi="宋体"/>
          <w:szCs w:val="32"/>
        </w:rPr>
        <w:t>与给个面子公司存在平台合作关系。抖音资质认证可以增加账号可信度，有机会获得推荐并且容易获得更多流量。如果涉案视频涉及侵权，给个面子公司、王伟懿、新尚居经营部应当共同承担侵权责任。给个面子公司抗辩其公司不是涉案视频的发布者，不应当承担侵权责任。给个面子公司的法定代表人系王伟懿，即便给个面子公司与王伟懿签订的合作协议约定了利益分配及结算方式，因王伟懿与给个面子公司存在一定的关联性，故仅凭合作协议的内容不足以对抗对给个面子公司应当承担侵权责任的认定。南京智浦公司和安徽智浦公司要求新尚居经营部、王伟懿、给个面子公司共同承担责任的请求成立，本院予以支持。</w:t>
      </w:r>
    </w:p>
    <w:p>
      <w:pPr>
        <w:pStyle w:val="14"/>
        <w:ind w:firstLine="640"/>
      </w:pPr>
      <w:r>
        <w:rPr>
          <w:rFonts w:hint="eastAsia"/>
        </w:rPr>
        <w:t>关于争议焦点三。《反不正当竞争法》第十一条规定,经营者不得编造、传播虚假信息或者误导性信息,损害竞争对手的商业信誉、商品声誉。因此,认定是否构成商业诋毁,除了行为主体和诋毁对象具有竞争关系外,客观上应具有编造、传播虚假信息或者误导性信息的行为,且对竞争对手的商业信誉、商品声誉造成一定的负面影响。上述规定中的“虚假信息或者误导性信息”,既包括虚构、捏造不存在的事实,也包括部分捏造或者虽然属于真实情况,但是由于其表述不完整、不确切、不客观,歪曲了真实情况足以引起他人误解的情形,而无论是虚假事实,还是其他引人误解的事实,只要该事实足以引起当事人的社会评价减损以致当事人的商业信誉、商品声誉受到损害的,都属于反不正当竞争法所规制的对象 。根据王伟懿个人注册的抖音账号载明的信息，王伟懿从事的商业活动与</w:t>
      </w:r>
      <w:r>
        <w:rPr>
          <w:rFonts w:hint="eastAsia" w:hAnsi="宋体"/>
          <w:szCs w:val="32"/>
        </w:rPr>
        <w:t>南京智浦公司和安徽智浦公司存在竞争关系。</w:t>
      </w:r>
      <w:r>
        <w:rPr>
          <w:rFonts w:hint="eastAsia"/>
        </w:rPr>
        <w:t>本案中，王伟懿发布的“这个飞利浦空调就是一个彻头彻尾的假洋牌”、“拿一个贴牌空调来赚老百姓的高价、毫无人性”、“挖墙脚、挂羊头、卖狗肉，甚至以次充好都会干”的内容，显然属于带有贬低性及强烈的感情色彩、表述不完整、不确切、不中立,具有误导性，属于误导性信息。</w:t>
      </w:r>
    </w:p>
    <w:p>
      <w:pPr>
        <w:pStyle w:val="14"/>
        <w:ind w:firstLine="640"/>
      </w:pPr>
      <w:r>
        <w:rPr>
          <w:rFonts w:hint="eastAsia"/>
        </w:rPr>
        <w:t>王伟懿作为同业竞争者,其在抖音平台等发表的被诉信息明显涉及商业推广,在发表与存在竞争关系的对手相关言论时应当具有更高的审慎注意义务,应当更加客观、中立。从客观上看,相关公众对涉案视频中的评论可以证实,被诉言论使相关公众对飞利浦空调的品牌产生了怀疑,显然对</w:t>
      </w:r>
      <w:r>
        <w:rPr>
          <w:rFonts w:hint="eastAsia" w:hAnsi="宋体"/>
          <w:szCs w:val="32"/>
        </w:rPr>
        <w:t>南京智浦公司和安徽智浦公司</w:t>
      </w:r>
      <w:r>
        <w:rPr>
          <w:rFonts w:hint="eastAsia"/>
        </w:rPr>
        <w:t>的商业信誉、商品声誉造成了负面影响,而且由于是在互联网上发布信息,造成的不良影响范围较为广泛。被诉行为有悖于诚实守信的商业道德,不利于形成良好的竞争秩序,构成商业诋毁的不正当竞争行为。</w:t>
      </w:r>
    </w:p>
    <w:p>
      <w:pPr>
        <w:pStyle w:val="14"/>
        <w:ind w:firstLine="640"/>
      </w:pPr>
      <w:r>
        <w:rPr>
          <w:rFonts w:hint="eastAsia"/>
        </w:rPr>
        <w:t>《中华人民共和国反不正当竞争法》第十七条第一、三款规定,经营者违反本法规定,给他人造成损害的,应当依法承担民事责任。因不正当竞争行为受到损害的经营者的赔偿数额,按照其因被侵权所受到的实际损失确定;实际损失难以计算的,按照侵权人因侵权所获得的利益确定。赔偿数额还应包括经营者为制止侵权行为所支付的合理开支。本案中,王伟懿实施了损害</w:t>
      </w:r>
      <w:r>
        <w:rPr>
          <w:rFonts w:hint="eastAsia" w:hAnsi="宋体"/>
          <w:szCs w:val="32"/>
        </w:rPr>
        <w:t>南京智浦公司和安徽智浦公司</w:t>
      </w:r>
      <w:r>
        <w:rPr>
          <w:rFonts w:hint="eastAsia"/>
        </w:rPr>
        <w:t>商业信誉、商品声誉的诋毁行为,应当依法承担相应的民事责任。关于公开致歉、消除影响的诉请,本案名义上的诋毁对象为</w:t>
      </w:r>
      <w:r>
        <w:rPr>
          <w:rFonts w:hint="eastAsia" w:hAnsi="宋体"/>
          <w:szCs w:val="32"/>
        </w:rPr>
        <w:t>南京智浦公司和安徽智浦公司</w:t>
      </w:r>
      <w:r>
        <w:rPr>
          <w:rFonts w:hint="eastAsia"/>
        </w:rPr>
        <w:t>,由于王伟懿发布的视频已经删除,而本案判决书的公开足以消除对</w:t>
      </w:r>
      <w:r>
        <w:rPr>
          <w:rFonts w:hint="eastAsia" w:hAnsi="宋体"/>
          <w:szCs w:val="32"/>
        </w:rPr>
        <w:t>南京智浦公司和安徽智浦公司</w:t>
      </w:r>
      <w:r>
        <w:rPr>
          <w:rFonts w:hint="eastAsia"/>
        </w:rPr>
        <w:t>的影响,故对于该项诉请,本院不予支持。关于赔偿经济损失及合理开支的诉请,</w:t>
      </w:r>
      <w:r>
        <w:rPr>
          <w:rFonts w:hint="eastAsia" w:hAnsi="宋体"/>
          <w:szCs w:val="32"/>
        </w:rPr>
        <w:t xml:space="preserve"> 南京智浦公司和安徽智浦公司</w:t>
      </w:r>
      <w:r>
        <w:rPr>
          <w:rFonts w:hint="eastAsia"/>
        </w:rPr>
        <w:t>作为飞利浦空调的生产者和销售者,依法有权要求</w:t>
      </w:r>
      <w:r>
        <w:rPr>
          <w:rFonts w:hint="eastAsia" w:hAnsi="宋体"/>
          <w:szCs w:val="32"/>
        </w:rPr>
        <w:t>给个面子公司、王伟懿、新尚居经营部</w:t>
      </w:r>
      <w:r>
        <w:rPr>
          <w:rFonts w:hint="eastAsia"/>
        </w:rPr>
        <w:t>赔偿因涉案商业诋毁给其造成的经济损失。关于赔偿数额,</w:t>
      </w:r>
      <w:r>
        <w:rPr>
          <w:rFonts w:hint="eastAsia" w:hAnsi="宋体"/>
          <w:szCs w:val="32"/>
        </w:rPr>
        <w:t xml:space="preserve"> 南京智浦公司和安徽智浦公司</w:t>
      </w:r>
      <w:r>
        <w:rPr>
          <w:rFonts w:hint="eastAsia"/>
        </w:rPr>
        <w:t>并未举证证明其因被侵权所受的实际损失及</w:t>
      </w:r>
      <w:r>
        <w:rPr>
          <w:rFonts w:hint="eastAsia" w:hAnsi="宋体"/>
          <w:szCs w:val="32"/>
        </w:rPr>
        <w:t>给个面子公司、王伟懿、新尚居经营部</w:t>
      </w:r>
      <w:r>
        <w:rPr>
          <w:rFonts w:hint="eastAsia"/>
        </w:rPr>
        <w:t>因侵权所获得的利益,综合考虑王伟懿实施商业诋毁行为的方式、影响范围、后果、主观过错程度以及合理维权支出等因素,本院酌定</w:t>
      </w:r>
      <w:r>
        <w:rPr>
          <w:rFonts w:hint="eastAsia" w:hAnsi="宋体"/>
          <w:szCs w:val="32"/>
        </w:rPr>
        <w:t>给个面子公司、王伟懿、新尚居经营部</w:t>
      </w:r>
      <w:r>
        <w:rPr>
          <w:rFonts w:hint="eastAsia"/>
        </w:rPr>
        <w:t>赔偿</w:t>
      </w:r>
      <w:r>
        <w:rPr>
          <w:rFonts w:hint="eastAsia" w:hAnsi="宋体"/>
          <w:szCs w:val="32"/>
        </w:rPr>
        <w:t>南京智浦公司和安徽智浦公司</w:t>
      </w:r>
      <w:r>
        <w:rPr>
          <w:rFonts w:hint="eastAsia"/>
        </w:rPr>
        <w:t>经济损失及合理开支共计10万元 。</w:t>
      </w:r>
    </w:p>
    <w:p>
      <w:pPr>
        <w:pStyle w:val="14"/>
        <w:ind w:firstLine="640"/>
      </w:pPr>
      <w:r>
        <w:rPr>
          <w:rFonts w:hint="eastAsia"/>
        </w:rPr>
        <w:t>综上</w:t>
      </w:r>
      <w:r>
        <w:t>，</w:t>
      </w:r>
      <w:r>
        <w:rPr>
          <w:rFonts w:hint="eastAsia" w:hAnsi="宋体"/>
          <w:szCs w:val="32"/>
        </w:rPr>
        <w:t>南京智浦公司和安徽智浦公司的诉讼请求中合理部分，本院予以支持；超出合理部分的诉讼请求不能成立</w:t>
      </w:r>
      <w:r>
        <w:t>，本院依法予以驳回。依照</w:t>
      </w:r>
      <w:r>
        <w:rPr>
          <w:rFonts w:hint="eastAsia"/>
        </w:rPr>
        <w:t>《中华人民共和国反不正当竞争法》第二条、第十一条、第十七条,《最高人民法院关于适用〈中华人民共和国民事诉讼法〉的解释》第九十条之规定，判决如下：</w:t>
      </w:r>
    </w:p>
    <w:p>
      <w:pPr>
        <w:pStyle w:val="14"/>
        <w:ind w:firstLine="640"/>
      </w:pPr>
      <w:r>
        <w:rPr>
          <w:rFonts w:hint="eastAsia"/>
        </w:rPr>
        <w:t>一、被告</w:t>
      </w:r>
      <w:r>
        <w:rPr>
          <w:rFonts w:hint="eastAsia" w:hAnsi="宋体"/>
          <w:szCs w:val="32"/>
        </w:rPr>
        <w:t>成都给个面子网络科技有限公司、王伟懿、青白江新尚居建材经营部于本判决生效后</w:t>
      </w:r>
      <w:r>
        <w:rPr>
          <w:rFonts w:hint="eastAsia"/>
        </w:rPr>
        <w:t>十日内支付原告</w:t>
      </w:r>
      <w:r>
        <w:rPr>
          <w:rFonts w:hint="eastAsia" w:hAnsi="宋体"/>
          <w:szCs w:val="32"/>
        </w:rPr>
        <w:t>安徽智浦欣达电器有限公司、南京智浦供应链管理有限公司</w:t>
      </w:r>
      <w:r>
        <w:rPr>
          <w:rFonts w:hint="eastAsia"/>
        </w:rPr>
        <w:t>损失及合理开支10万元</w:t>
      </w:r>
      <w:r>
        <w:t>；</w:t>
      </w:r>
    </w:p>
    <w:p>
      <w:pPr>
        <w:pStyle w:val="14"/>
        <w:ind w:firstLine="640"/>
      </w:pPr>
      <w:r>
        <w:rPr>
          <w:rFonts w:hint="eastAsia"/>
        </w:rPr>
        <w:t>二、驳回原告</w:t>
      </w:r>
      <w:r>
        <w:rPr>
          <w:rFonts w:hint="eastAsia" w:hAnsi="宋体"/>
          <w:szCs w:val="32"/>
        </w:rPr>
        <w:t>安徽智浦欣达电器有限公司、南京智浦供应链管理有限公司</w:t>
      </w:r>
      <w:r>
        <w:rPr>
          <w:rFonts w:hint="eastAsia"/>
        </w:rPr>
        <w:t>的其他诉讼请求。</w:t>
      </w:r>
    </w:p>
    <w:p>
      <w:pPr>
        <w:pStyle w:val="14"/>
        <w:ind w:firstLine="640"/>
      </w:pPr>
      <w:r>
        <w:rPr>
          <w:rFonts w:hint="eastAsia"/>
        </w:rPr>
        <w:t>如果未按本判决指定的期间履行给付金钱义务的，应当依照《中华人民共和国民事诉讼法》第二百六十条的规定，加倍支付迟延履行期间的债务利息。</w:t>
      </w:r>
    </w:p>
    <w:p>
      <w:pPr>
        <w:pStyle w:val="14"/>
        <w:ind w:firstLine="640"/>
      </w:pPr>
      <w:r>
        <w:rPr>
          <w:rFonts w:hint="eastAsia"/>
        </w:rPr>
        <w:t>案件受理费82600</w:t>
      </w:r>
      <w:r>
        <w:t>元，</w:t>
      </w:r>
      <w:r>
        <w:rPr>
          <w:rFonts w:hint="eastAsia"/>
        </w:rPr>
        <w:t>保全费5000元，合计87600元，</w:t>
      </w:r>
      <w:r>
        <w:t>由原告</w:t>
      </w:r>
      <w:r>
        <w:rPr>
          <w:rFonts w:hint="eastAsia" w:hAnsi="宋体"/>
          <w:szCs w:val="32"/>
        </w:rPr>
        <w:t>安徽智浦欣达电器有限公司、南京智浦供应链管理有限公司</w:t>
      </w:r>
      <w:r>
        <w:t>负担</w:t>
      </w:r>
      <w:r>
        <w:rPr>
          <w:rFonts w:hint="eastAsia"/>
        </w:rPr>
        <w:t>80300</w:t>
      </w:r>
      <w:r>
        <w:t>元，被告</w:t>
      </w:r>
      <w:r>
        <w:rPr>
          <w:rFonts w:hint="eastAsia" w:hAnsi="宋体"/>
          <w:szCs w:val="32"/>
        </w:rPr>
        <w:t>成都给个面子网络科技有限公司、王伟懿、青白江新尚居建材经营部</w:t>
      </w:r>
      <w:r>
        <w:t>负担</w:t>
      </w:r>
      <w:r>
        <w:rPr>
          <w:rFonts w:hint="eastAsia"/>
        </w:rPr>
        <w:t>7300</w:t>
      </w:r>
      <w:r>
        <w:t>元。</w:t>
      </w:r>
    </w:p>
    <w:p>
      <w:pPr>
        <w:pStyle w:val="16"/>
        <w:ind w:firstLine="640"/>
      </w:pPr>
      <w:r>
        <w:rPr>
          <w:rFonts w:hint="eastAsia"/>
        </w:rPr>
        <w:t>如不服本判决</w:t>
      </w:r>
      <w:r>
        <w:t>,可在判决书送达之日起十五日内,向本院递交上诉状,并按对方当事人的人数提出副本,上诉于安徽省高级人民法院。</w:t>
      </w:r>
    </w:p>
    <w:p/>
    <w:p/>
    <w:p/>
    <w:p>
      <w:pPr>
        <w:pStyle w:val="18"/>
        <w:wordWrap w:val="0"/>
      </w:pPr>
      <w:r>
        <w:rPr>
          <w:rFonts w:hint="eastAsia"/>
        </w:rPr>
        <w:t>审　判　长　　</w:t>
      </w:r>
      <w:r>
        <w:t xml:space="preserve"> </w:t>
      </w:r>
      <w:r>
        <w:rPr>
          <w:rFonts w:hint="eastAsia"/>
        </w:rPr>
        <w:t>夏      根</w:t>
      </w:r>
    </w:p>
    <w:p>
      <w:pPr>
        <w:pStyle w:val="20"/>
        <w:wordWrap w:val="0"/>
      </w:pPr>
      <w:r>
        <w:rPr>
          <w:rFonts w:hint="eastAsia"/>
        </w:rPr>
        <w:t>审　判　员　　</w:t>
      </w:r>
      <w:r>
        <w:t xml:space="preserve"> </w:t>
      </w:r>
      <w:r>
        <w:rPr>
          <w:rFonts w:hint="eastAsia"/>
        </w:rPr>
        <w:t>王      敏</w:t>
      </w:r>
    </w:p>
    <w:p>
      <w:pPr>
        <w:pStyle w:val="20"/>
        <w:wordWrap w:val="0"/>
      </w:pPr>
      <w:r>
        <w:rPr>
          <w:rFonts w:hint="eastAsia"/>
        </w:rPr>
        <w:t>审　判　员　　</w:t>
      </w:r>
      <w:r>
        <w:t xml:space="preserve"> </w:t>
      </w:r>
      <w:r>
        <w:rPr>
          <w:rFonts w:hint="eastAsia"/>
        </w:rPr>
        <w:t>刘      勇</w:t>
      </w:r>
    </w:p>
    <w:p>
      <w:pPr>
        <w:pStyle w:val="22"/>
      </w:pPr>
    </w:p>
    <w:p>
      <w:pPr>
        <w:pStyle w:val="22"/>
      </w:pPr>
    </w:p>
    <w:p>
      <w:pPr>
        <w:pStyle w:val="22"/>
      </w:pPr>
      <w:r>
        <w:rPr>
          <w:rFonts w:hint="eastAsia"/>
        </w:rPr>
        <w:t>二</w:t>
      </w:r>
      <w:r>
        <w:rPr>
          <w:rFonts w:hint="eastAsia" w:hAnsi="宋体" w:cs="宋体"/>
        </w:rPr>
        <w:t>0二二</w:t>
      </w:r>
      <w:r>
        <w:rPr>
          <w:rFonts w:hint="eastAsia"/>
        </w:rPr>
        <w:t>年十二月八日</w:t>
      </w:r>
    </w:p>
    <w:p/>
    <w:p>
      <w:pPr>
        <w:pStyle w:val="24"/>
        <w:wordWrap w:val="0"/>
      </w:pPr>
      <w:r>
        <w:rPr>
          <w:rFonts w:hint="eastAsia"/>
        </w:rPr>
        <w:t>书　记　员　　</w:t>
      </w:r>
      <w:r>
        <w:t xml:space="preserve"> </w:t>
      </w:r>
      <w:r>
        <w:rPr>
          <w:rFonts w:hint="eastAsia"/>
        </w:rPr>
        <w:t>徐      婷</w:t>
      </w:r>
    </w:p>
    <w:p>
      <w:pPr>
        <w:pStyle w:val="24"/>
      </w:pPr>
    </w:p>
    <w:p>
      <w:pPr>
        <w:pStyle w:val="26"/>
      </w:pPr>
      <w:r>
        <w:rPr>
          <w:rFonts w:hint="eastAsia"/>
        </w:rPr>
        <w:t>附：本案适用的法律条文</w:t>
      </w:r>
    </w:p>
    <w:p>
      <w:pPr>
        <w:pStyle w:val="30"/>
        <w:ind w:firstLine="480" w:firstLineChars="150"/>
      </w:pPr>
      <w:r>
        <w:rPr>
          <w:rFonts w:hint="eastAsia"/>
        </w:rPr>
        <w:t>《中华人民共和国反不正当竞争法》</w:t>
      </w:r>
    </w:p>
    <w:p>
      <w:pPr>
        <w:pStyle w:val="30"/>
        <w:ind w:firstLine="640"/>
      </w:pPr>
      <w:r>
        <w:rPr>
          <w:rFonts w:hint="eastAsia"/>
        </w:rPr>
        <w:t>第二条　经营者在生产经营活动中，应当遵循自愿、平等、公平、诚信的原则，遵守法律和商业道德。</w:t>
      </w:r>
    </w:p>
    <w:p>
      <w:pPr>
        <w:pStyle w:val="30"/>
        <w:ind w:firstLine="640"/>
      </w:pPr>
      <w:r>
        <w:rPr>
          <w:rFonts w:hint="eastAsia"/>
        </w:rPr>
        <w:t>本法所称的不正当竞争行为，是指经营者在生产经营活动中，违反本法规定，扰乱市场竞争秩序，损害其他经营者或者消费者的合法权益的行为。</w:t>
      </w:r>
    </w:p>
    <w:p>
      <w:pPr>
        <w:pStyle w:val="30"/>
        <w:ind w:firstLine="640"/>
      </w:pPr>
      <w:r>
        <w:rPr>
          <w:rFonts w:hint="eastAsia"/>
        </w:rPr>
        <w:t xml:space="preserve">本法所称的经营者，是指从事商品生产、经营或者提供服务（以下所称商品包括服务）的自然人、法人和非法人组织。   </w:t>
      </w:r>
    </w:p>
    <w:p>
      <w:pPr>
        <w:pStyle w:val="30"/>
        <w:ind w:firstLine="640"/>
      </w:pPr>
      <w:r>
        <w:rPr>
          <w:rFonts w:hint="eastAsia"/>
        </w:rPr>
        <w:t>第十一条　经营者不得编造、传播虚假信息或者误导性信息，损害竞争对手的商业信誉、商品声誉。</w:t>
      </w:r>
    </w:p>
    <w:p>
      <w:pPr>
        <w:pStyle w:val="30"/>
        <w:ind w:firstLine="640"/>
      </w:pPr>
      <w:r>
        <w:rPr>
          <w:rFonts w:hint="eastAsia"/>
        </w:rPr>
        <w:t>第十七条　经营者违反本法规定，给他人造成损害的，应当依法承担民事责任。</w:t>
      </w:r>
    </w:p>
    <w:p>
      <w:pPr>
        <w:pStyle w:val="30"/>
        <w:ind w:firstLine="640"/>
      </w:pPr>
      <w:r>
        <w:rPr>
          <w:rFonts w:hint="eastAsia"/>
        </w:rPr>
        <w:t>经营者的合法权益受到不正当竞争行为损害的，可以向人民法院提起诉讼。</w:t>
      </w:r>
    </w:p>
    <w:p>
      <w:pPr>
        <w:pStyle w:val="30"/>
        <w:ind w:firstLine="640"/>
      </w:pPr>
      <w:r>
        <w:rPr>
          <w:rFonts w:hint="eastAsia"/>
        </w:rPr>
        <w:t>因不正当竞争行为受到损害的经营者的赔偿数额，按照其因被侵权所受到的实际损失确定；实际损失难以计算的，按照侵权人因侵权所获得的利益确定。经营者恶意实施侵犯商业秘密行为，情节严重的，可以在按照上述方法确定数额的一倍以上五倍以下确定赔偿数额。赔偿数额还应当包括经营者为制止侵权行为所支付的合理开支。</w:t>
      </w:r>
    </w:p>
    <w:p>
      <w:pPr>
        <w:pStyle w:val="30"/>
        <w:ind w:firstLine="640"/>
      </w:pPr>
      <w:r>
        <w:rPr>
          <w:rFonts w:hint="eastAsia"/>
        </w:rPr>
        <w:t>经营者违反本法第六条、第九条规定，权利人因被侵权所受到的实际损失、侵权人因侵权所获得的利益难以确定的，由人民法院根据侵权行为的情节判决给予权利人五百万元以下的赔偿。</w:t>
      </w:r>
    </w:p>
    <w:p>
      <w:pPr>
        <w:pStyle w:val="32"/>
        <w:ind w:firstLine="640"/>
      </w:pPr>
      <w:r>
        <w:rPr>
          <w:rFonts w:hint="eastAsia"/>
        </w:rPr>
        <w:t>《最高人民法院关于适用〈中华人民共和国民事诉讼法〉的解释》</w:t>
      </w:r>
    </w:p>
    <w:p>
      <w:pPr>
        <w:pStyle w:val="32"/>
        <w:ind w:firstLine="640"/>
      </w:pPr>
      <w:r>
        <w:rPr>
          <w:rFonts w:hint="eastAsia"/>
        </w:rPr>
        <w:t>第九十条  第九十条　当事人对自己提出的诉讼请求所依据的事实或者反驳对方诉讼请求所依据的事实，应当提供证据加以证明，但法律另有规定的除外。</w:t>
      </w:r>
    </w:p>
    <w:p>
      <w:pPr>
        <w:pStyle w:val="32"/>
        <w:ind w:firstLine="640"/>
        <w:rPr>
          <w:szCs w:val="32"/>
        </w:rPr>
      </w:pPr>
      <w:r>
        <w:rPr>
          <w:rFonts w:hint="eastAsia"/>
        </w:rPr>
        <w:t>在作出判决前，当事人未能提供证据或者证据不足以证明其事实主张的，由负有举证证明责任的当事人承担不利的后果。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g0ODVjMDZkMGU1MTFiZDUzNGNiYzYwMTA0MzRiMmQifQ=="/>
  </w:docVars>
  <w:rsids>
    <w:rsidRoot w:val="00981CB3"/>
    <w:rsid w:val="001C4DE9"/>
    <w:rsid w:val="0025751B"/>
    <w:rsid w:val="00262C2F"/>
    <w:rsid w:val="003D3519"/>
    <w:rsid w:val="003D7507"/>
    <w:rsid w:val="004364A5"/>
    <w:rsid w:val="0047021E"/>
    <w:rsid w:val="005F2C54"/>
    <w:rsid w:val="00981CB3"/>
    <w:rsid w:val="00987586"/>
    <w:rsid w:val="00A3172F"/>
    <w:rsid w:val="00AB0A9E"/>
    <w:rsid w:val="00B049A4"/>
    <w:rsid w:val="00B343DF"/>
    <w:rsid w:val="00C76C8E"/>
    <w:rsid w:val="00CF202E"/>
    <w:rsid w:val="00D25F88"/>
    <w:rsid w:val="00D32E9D"/>
    <w:rsid w:val="00E84F81"/>
    <w:rsid w:val="00E9324D"/>
    <w:rsid w:val="00F26D62"/>
    <w:rsid w:val="00FF08D8"/>
    <w:rsid w:val="292F0523"/>
    <w:rsid w:val="7FDD4F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paragraph" w:customStyle="1" w:styleId="8">
    <w:name w:val="lawyeeCourtName1"/>
    <w:basedOn w:val="1"/>
    <w:link w:val="9"/>
    <w:qFormat/>
    <w:uiPriority w:val="0"/>
    <w:pPr>
      <w:adjustRightInd w:val="0"/>
      <w:spacing w:line="520" w:lineRule="exact"/>
      <w:jc w:val="center"/>
    </w:pPr>
    <w:rPr>
      <w:rFonts w:ascii="黑体" w:hAnsi="黑体" w:eastAsia="黑体" w:cs="Times New Roman"/>
      <w:b/>
      <w:sz w:val="44"/>
      <w:szCs w:val="20"/>
    </w:rPr>
  </w:style>
  <w:style w:type="character" w:customStyle="1" w:styleId="9">
    <w:name w:val="lawyeeCourtName1 Char"/>
    <w:basedOn w:val="5"/>
    <w:link w:val="8"/>
    <w:qFormat/>
    <w:uiPriority w:val="0"/>
    <w:rPr>
      <w:rFonts w:ascii="黑体" w:hAnsi="黑体" w:eastAsia="黑体" w:cs="Times New Roman"/>
      <w:b/>
      <w:sz w:val="44"/>
      <w:szCs w:val="20"/>
    </w:rPr>
  </w:style>
  <w:style w:type="paragraph" w:customStyle="1" w:styleId="10">
    <w:name w:val="lawyeeWritName1"/>
    <w:basedOn w:val="1"/>
    <w:link w:val="11"/>
    <w:qFormat/>
    <w:uiPriority w:val="0"/>
    <w:pPr>
      <w:adjustRightInd w:val="0"/>
      <w:spacing w:line="560" w:lineRule="exact"/>
      <w:jc w:val="center"/>
    </w:pPr>
    <w:rPr>
      <w:rFonts w:ascii="黑体" w:hAnsi="黑体" w:eastAsia="黑体" w:cs="Times New Roman"/>
      <w:b/>
      <w:sz w:val="44"/>
      <w:szCs w:val="20"/>
    </w:rPr>
  </w:style>
  <w:style w:type="character" w:customStyle="1" w:styleId="11">
    <w:name w:val="lawyeeWritName1 Char"/>
    <w:basedOn w:val="9"/>
    <w:link w:val="10"/>
    <w:qFormat/>
    <w:uiPriority w:val="0"/>
  </w:style>
  <w:style w:type="paragraph" w:customStyle="1" w:styleId="12">
    <w:name w:val="lawyeeCaseNum1"/>
    <w:basedOn w:val="1"/>
    <w:link w:val="13"/>
    <w:qFormat/>
    <w:uiPriority w:val="0"/>
    <w:pPr>
      <w:adjustRightInd w:val="0"/>
      <w:spacing w:beforeLines="100" w:line="560" w:lineRule="exact"/>
      <w:jc w:val="right"/>
    </w:pPr>
    <w:rPr>
      <w:rFonts w:ascii="仿宋_GB2312" w:hAnsi="Times New Roman" w:eastAsia="仿宋_GB2312" w:cs="Times New Roman"/>
      <w:sz w:val="32"/>
      <w:szCs w:val="20"/>
    </w:rPr>
  </w:style>
  <w:style w:type="character" w:customStyle="1" w:styleId="13">
    <w:name w:val="lawyeeCaseNum1 Char"/>
    <w:basedOn w:val="9"/>
    <w:link w:val="12"/>
    <w:qFormat/>
    <w:uiPriority w:val="0"/>
    <w:rPr>
      <w:rFonts w:ascii="仿宋_GB2312" w:hAnsi="Times New Roman" w:eastAsia="仿宋_GB2312"/>
      <w:sz w:val="32"/>
    </w:rPr>
  </w:style>
  <w:style w:type="paragraph" w:customStyle="1" w:styleId="14">
    <w:name w:val="lawyeeWritContent0"/>
    <w:basedOn w:val="1"/>
    <w:link w:val="15"/>
    <w:qFormat/>
    <w:uiPriority w:val="0"/>
    <w:pPr>
      <w:adjustRightInd w:val="0"/>
      <w:spacing w:line="560" w:lineRule="exact"/>
      <w:ind w:firstLine="200" w:firstLineChars="200"/>
    </w:pPr>
    <w:rPr>
      <w:rFonts w:ascii="仿宋_GB2312" w:hAnsi="Times New Roman" w:eastAsia="仿宋_GB2312" w:cs="Times New Roman"/>
      <w:sz w:val="32"/>
      <w:szCs w:val="20"/>
    </w:rPr>
  </w:style>
  <w:style w:type="character" w:customStyle="1" w:styleId="15">
    <w:name w:val="lawyeeWritContent0 Char"/>
    <w:basedOn w:val="9"/>
    <w:link w:val="14"/>
    <w:qFormat/>
    <w:uiPriority w:val="0"/>
    <w:rPr>
      <w:rFonts w:ascii="仿宋_GB2312" w:hAnsi="Times New Roman" w:eastAsia="仿宋_GB2312"/>
      <w:sz w:val="32"/>
    </w:rPr>
  </w:style>
  <w:style w:type="paragraph" w:customStyle="1" w:styleId="16">
    <w:name w:val="lawyeeWritContent2"/>
    <w:basedOn w:val="1"/>
    <w:link w:val="17"/>
    <w:qFormat/>
    <w:uiPriority w:val="0"/>
    <w:pPr>
      <w:adjustRightInd w:val="0"/>
      <w:spacing w:line="560" w:lineRule="exact"/>
      <w:ind w:firstLine="200" w:firstLineChars="200"/>
    </w:pPr>
    <w:rPr>
      <w:rFonts w:ascii="仿宋_GB2312" w:hAnsi="Times New Roman" w:eastAsia="仿宋_GB2312" w:cs="Times New Roman"/>
      <w:sz w:val="32"/>
      <w:szCs w:val="20"/>
    </w:rPr>
  </w:style>
  <w:style w:type="character" w:customStyle="1" w:styleId="17">
    <w:name w:val="lawyeeWritContent2 Char"/>
    <w:basedOn w:val="9"/>
    <w:link w:val="16"/>
    <w:qFormat/>
    <w:uiPriority w:val="0"/>
    <w:rPr>
      <w:rFonts w:ascii="仿宋_GB2312" w:hAnsi="Times New Roman" w:eastAsia="仿宋_GB2312"/>
      <w:sz w:val="32"/>
    </w:rPr>
  </w:style>
  <w:style w:type="paragraph" w:customStyle="1" w:styleId="18">
    <w:name w:val="lawyeeJudge1"/>
    <w:basedOn w:val="1"/>
    <w:link w:val="19"/>
    <w:qFormat/>
    <w:uiPriority w:val="0"/>
    <w:pPr>
      <w:adjustRightInd w:val="0"/>
      <w:spacing w:line="560" w:lineRule="exact"/>
      <w:jc w:val="right"/>
    </w:pPr>
    <w:rPr>
      <w:rFonts w:ascii="仿宋_GB2312" w:hAnsi="Times New Roman" w:eastAsia="仿宋_GB2312" w:cs="Times New Roman"/>
      <w:sz w:val="32"/>
      <w:szCs w:val="20"/>
    </w:rPr>
  </w:style>
  <w:style w:type="character" w:customStyle="1" w:styleId="19">
    <w:name w:val="lawyeeJudge1 Char"/>
    <w:basedOn w:val="9"/>
    <w:link w:val="18"/>
    <w:qFormat/>
    <w:uiPriority w:val="0"/>
    <w:rPr>
      <w:rFonts w:ascii="仿宋_GB2312" w:hAnsi="Times New Roman" w:eastAsia="仿宋_GB2312"/>
      <w:sz w:val="32"/>
    </w:rPr>
  </w:style>
  <w:style w:type="paragraph" w:customStyle="1" w:styleId="20">
    <w:name w:val="lawyeeJudge0"/>
    <w:basedOn w:val="1"/>
    <w:link w:val="21"/>
    <w:qFormat/>
    <w:uiPriority w:val="0"/>
    <w:pPr>
      <w:adjustRightInd w:val="0"/>
      <w:spacing w:line="560" w:lineRule="exact"/>
      <w:jc w:val="right"/>
    </w:pPr>
    <w:rPr>
      <w:rFonts w:ascii="仿宋_GB2312" w:hAnsi="Times New Roman" w:eastAsia="仿宋_GB2312" w:cs="Times New Roman"/>
      <w:sz w:val="32"/>
      <w:szCs w:val="20"/>
    </w:rPr>
  </w:style>
  <w:style w:type="character" w:customStyle="1" w:styleId="21">
    <w:name w:val="lawyeeJudge0 Char"/>
    <w:basedOn w:val="9"/>
    <w:link w:val="20"/>
    <w:qFormat/>
    <w:uiPriority w:val="0"/>
    <w:rPr>
      <w:rFonts w:ascii="仿宋_GB2312" w:hAnsi="Times New Roman" w:eastAsia="仿宋_GB2312"/>
      <w:sz w:val="32"/>
    </w:rPr>
  </w:style>
  <w:style w:type="paragraph" w:customStyle="1" w:styleId="22">
    <w:name w:val="lawyeeDate1"/>
    <w:basedOn w:val="1"/>
    <w:link w:val="23"/>
    <w:qFormat/>
    <w:uiPriority w:val="0"/>
    <w:pPr>
      <w:adjustRightInd w:val="0"/>
      <w:spacing w:line="560" w:lineRule="exact"/>
      <w:jc w:val="right"/>
    </w:pPr>
    <w:rPr>
      <w:rFonts w:ascii="仿宋_GB2312" w:hAnsi="Times New Roman" w:eastAsia="仿宋_GB2312" w:cs="Times New Roman"/>
      <w:sz w:val="32"/>
      <w:szCs w:val="20"/>
    </w:rPr>
  </w:style>
  <w:style w:type="character" w:customStyle="1" w:styleId="23">
    <w:name w:val="lawyeeDate1 Char"/>
    <w:basedOn w:val="9"/>
    <w:link w:val="22"/>
    <w:qFormat/>
    <w:uiPriority w:val="0"/>
    <w:rPr>
      <w:rFonts w:ascii="仿宋_GB2312" w:hAnsi="Times New Roman" w:eastAsia="仿宋_GB2312"/>
      <w:sz w:val="32"/>
    </w:rPr>
  </w:style>
  <w:style w:type="paragraph" w:customStyle="1" w:styleId="24">
    <w:name w:val="lawyeeJudge2"/>
    <w:basedOn w:val="1"/>
    <w:link w:val="25"/>
    <w:qFormat/>
    <w:uiPriority w:val="0"/>
    <w:pPr>
      <w:adjustRightInd w:val="0"/>
      <w:spacing w:line="560" w:lineRule="exact"/>
      <w:jc w:val="right"/>
    </w:pPr>
    <w:rPr>
      <w:rFonts w:ascii="仿宋_GB2312" w:hAnsi="Times New Roman" w:eastAsia="仿宋_GB2312" w:cs="Times New Roman"/>
      <w:sz w:val="32"/>
      <w:szCs w:val="20"/>
    </w:rPr>
  </w:style>
  <w:style w:type="character" w:customStyle="1" w:styleId="25">
    <w:name w:val="lawyeeJudge2 Char"/>
    <w:basedOn w:val="9"/>
    <w:link w:val="24"/>
    <w:qFormat/>
    <w:uiPriority w:val="0"/>
    <w:rPr>
      <w:rFonts w:ascii="仿宋_GB2312" w:hAnsi="Times New Roman" w:eastAsia="仿宋_GB2312"/>
      <w:sz w:val="32"/>
    </w:rPr>
  </w:style>
  <w:style w:type="paragraph" w:customStyle="1" w:styleId="26">
    <w:name w:val="lawyeeAttach1"/>
    <w:basedOn w:val="1"/>
    <w:link w:val="27"/>
    <w:qFormat/>
    <w:uiPriority w:val="0"/>
    <w:pPr>
      <w:adjustRightInd w:val="0"/>
      <w:spacing w:line="560" w:lineRule="exact"/>
      <w:jc w:val="left"/>
    </w:pPr>
    <w:rPr>
      <w:rFonts w:ascii="仿宋_GB2312" w:hAnsi="Times New Roman" w:eastAsia="仿宋_GB2312" w:cs="Times New Roman"/>
      <w:sz w:val="32"/>
      <w:szCs w:val="20"/>
    </w:rPr>
  </w:style>
  <w:style w:type="character" w:customStyle="1" w:styleId="27">
    <w:name w:val="lawyeeAttach1 Char"/>
    <w:basedOn w:val="9"/>
    <w:link w:val="26"/>
    <w:qFormat/>
    <w:uiPriority w:val="0"/>
    <w:rPr>
      <w:rFonts w:ascii="仿宋_GB2312" w:hAnsi="Times New Roman" w:eastAsia="仿宋_GB2312"/>
      <w:sz w:val="32"/>
    </w:rPr>
  </w:style>
  <w:style w:type="paragraph" w:customStyle="1" w:styleId="28">
    <w:name w:val="lawyeeAttachContent1"/>
    <w:basedOn w:val="1"/>
    <w:link w:val="29"/>
    <w:qFormat/>
    <w:uiPriority w:val="0"/>
    <w:pPr>
      <w:adjustRightInd w:val="0"/>
      <w:spacing w:line="560" w:lineRule="exact"/>
      <w:ind w:firstLine="200" w:firstLineChars="200"/>
      <w:jc w:val="left"/>
    </w:pPr>
    <w:rPr>
      <w:rFonts w:ascii="仿宋_GB2312" w:hAnsi="Times New Roman" w:eastAsia="仿宋_GB2312" w:cs="Times New Roman"/>
      <w:sz w:val="32"/>
      <w:szCs w:val="20"/>
    </w:rPr>
  </w:style>
  <w:style w:type="character" w:customStyle="1" w:styleId="29">
    <w:name w:val="lawyeeAttachContent1 Char"/>
    <w:basedOn w:val="9"/>
    <w:link w:val="28"/>
    <w:qFormat/>
    <w:uiPriority w:val="0"/>
    <w:rPr>
      <w:rFonts w:ascii="仿宋_GB2312" w:hAnsi="Times New Roman" w:eastAsia="仿宋_GB2312"/>
      <w:sz w:val="32"/>
    </w:rPr>
  </w:style>
  <w:style w:type="paragraph" w:customStyle="1" w:styleId="30">
    <w:name w:val="lawyeeAttachContent0"/>
    <w:basedOn w:val="1"/>
    <w:link w:val="31"/>
    <w:qFormat/>
    <w:uiPriority w:val="0"/>
    <w:pPr>
      <w:adjustRightInd w:val="0"/>
      <w:spacing w:line="560" w:lineRule="exact"/>
      <w:ind w:firstLine="200" w:firstLineChars="200"/>
      <w:jc w:val="left"/>
    </w:pPr>
    <w:rPr>
      <w:rFonts w:ascii="仿宋_GB2312" w:hAnsi="Times New Roman" w:eastAsia="仿宋_GB2312" w:cs="Times New Roman"/>
      <w:sz w:val="32"/>
      <w:szCs w:val="20"/>
    </w:rPr>
  </w:style>
  <w:style w:type="character" w:customStyle="1" w:styleId="31">
    <w:name w:val="lawyeeAttachContent0 Char"/>
    <w:basedOn w:val="9"/>
    <w:link w:val="30"/>
    <w:qFormat/>
    <w:uiPriority w:val="0"/>
    <w:rPr>
      <w:rFonts w:ascii="仿宋_GB2312" w:hAnsi="Times New Roman" w:eastAsia="仿宋_GB2312"/>
      <w:sz w:val="32"/>
    </w:rPr>
  </w:style>
  <w:style w:type="paragraph" w:customStyle="1" w:styleId="32">
    <w:name w:val="lawyeeAttachContent2"/>
    <w:basedOn w:val="1"/>
    <w:link w:val="33"/>
    <w:qFormat/>
    <w:uiPriority w:val="0"/>
    <w:pPr>
      <w:adjustRightInd w:val="0"/>
      <w:spacing w:line="560" w:lineRule="exact"/>
      <w:ind w:firstLine="200" w:firstLineChars="200"/>
      <w:jc w:val="left"/>
    </w:pPr>
    <w:rPr>
      <w:rFonts w:ascii="仿宋_GB2312" w:hAnsi="Times New Roman" w:eastAsia="仿宋_GB2312" w:cs="Times New Roman"/>
      <w:sz w:val="32"/>
      <w:szCs w:val="20"/>
    </w:rPr>
  </w:style>
  <w:style w:type="character" w:customStyle="1" w:styleId="33">
    <w:name w:val="lawyeeAttachContent2 Char"/>
    <w:basedOn w:val="9"/>
    <w:link w:val="32"/>
    <w:qFormat/>
    <w:uiPriority w:val="0"/>
    <w:rPr>
      <w:rFonts w:ascii="仿宋_GB2312" w:hAnsi="Times New Roman" w:eastAsia="仿宋_GB2312"/>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10243</Words>
  <Characters>10668</Characters>
  <Lines>110</Lines>
  <Paragraphs>31</Paragraphs>
  <TotalTime>86</TotalTime>
  <ScaleCrop>false</ScaleCrop>
  <LinksUpToDate>false</LinksUpToDate>
  <CharactersWithSpaces>10741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2023-01-30T14:32:00Z</dcterms:created>
  <dc:creator>CZFY</dc:creator>
  <cp:lastModifiedBy>腹肌猴</cp:lastModifiedBy>
  <dcterms:modified xsi:type="dcterms:W3CDTF">2023-04-20T09:13:12Z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333C5595ABE4488CB9962F46E8870FBC_12</vt:lpwstr>
  </property>
</Properties>
</file>