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方正小标宋简体" w:eastAsia="方正小标宋简体"/>
          <w:sz w:val="44"/>
          <w:szCs w:val="44"/>
        </w:rPr>
      </w:pPr>
    </w:p>
    <w:p>
      <w:pPr>
        <w:spacing w:line="580" w:lineRule="exact"/>
        <w:jc w:val="center"/>
        <w:rPr>
          <w:rFonts w:ascii="方正小标宋简体" w:eastAsia="方正小标宋简体"/>
          <w:sz w:val="44"/>
          <w:szCs w:val="44"/>
        </w:rPr>
      </w:pPr>
      <w:r>
        <w:rPr>
          <w:rFonts w:hint="eastAsia" w:ascii="方正小标宋简体" w:eastAsia="方正小标宋简体"/>
          <w:sz w:val="44"/>
          <w:szCs w:val="44"/>
        </w:rPr>
        <w:t>安徽省六安市中级人民法院</w:t>
      </w:r>
    </w:p>
    <w:p>
      <w:pPr>
        <w:spacing w:line="580" w:lineRule="exact"/>
        <w:jc w:val="center"/>
        <w:rPr>
          <w:rFonts w:ascii="方正小标宋简体" w:eastAsia="方正小标宋简体"/>
          <w:sz w:val="44"/>
          <w:szCs w:val="44"/>
        </w:rPr>
      </w:pPr>
      <w:r>
        <w:rPr>
          <w:rFonts w:hint="eastAsia" w:ascii="方正小标宋简体" w:eastAsia="方正小标宋简体"/>
          <w:sz w:val="44"/>
          <w:szCs w:val="44"/>
        </w:rPr>
        <w:t>民事判决书</w:t>
      </w:r>
    </w:p>
    <w:p>
      <w:pPr>
        <w:spacing w:line="580" w:lineRule="exact"/>
        <w:ind w:firstLine="2720" w:firstLineChars="850"/>
        <w:rPr>
          <w:rFonts w:ascii="宋体"/>
          <w:sz w:val="32"/>
          <w:szCs w:val="24"/>
        </w:rPr>
      </w:pPr>
      <w:r>
        <w:rPr>
          <w:rFonts w:hint="eastAsia" w:ascii="宋体" w:hAnsi="宋体"/>
          <w:sz w:val="32"/>
          <w:szCs w:val="24"/>
        </w:rPr>
        <w:t xml:space="preserve"> </w:t>
      </w:r>
    </w:p>
    <w:p>
      <w:pPr>
        <w:spacing w:line="580" w:lineRule="exact"/>
        <w:ind w:right="640" w:firstLine="640" w:firstLineChars="200"/>
        <w:jc w:val="right"/>
        <w:rPr>
          <w:rFonts w:ascii="仿宋_GB2312" w:hAnsi="宋体" w:eastAsia="仿宋_GB2312"/>
          <w:sz w:val="32"/>
          <w:szCs w:val="24"/>
        </w:rPr>
      </w:pPr>
      <w:r>
        <w:rPr>
          <w:rFonts w:ascii="仿宋_GB2312" w:hAnsi="宋体" w:eastAsia="仿宋_GB2312"/>
          <w:sz w:val="32"/>
          <w:szCs w:val="24"/>
        </w:rPr>
        <w:t>(2022)</w:t>
      </w:r>
      <w:r>
        <w:rPr>
          <w:rFonts w:hint="eastAsia" w:ascii="仿宋_GB2312" w:hAnsi="宋体" w:eastAsia="仿宋_GB2312"/>
          <w:sz w:val="32"/>
          <w:szCs w:val="24"/>
        </w:rPr>
        <w:t>皖</w:t>
      </w:r>
      <w:r>
        <w:rPr>
          <w:rFonts w:ascii="仿宋_GB2312" w:hAnsi="宋体" w:eastAsia="仿宋_GB2312"/>
          <w:sz w:val="32"/>
          <w:szCs w:val="24"/>
        </w:rPr>
        <w:t>15</w:t>
      </w:r>
      <w:r>
        <w:rPr>
          <w:rFonts w:hint="eastAsia" w:ascii="仿宋_GB2312" w:hAnsi="宋体" w:eastAsia="仿宋_GB2312"/>
          <w:sz w:val="32"/>
          <w:szCs w:val="24"/>
        </w:rPr>
        <w:t>民初186号</w:t>
      </w:r>
    </w:p>
    <w:p>
      <w:pPr>
        <w:spacing w:line="580" w:lineRule="exact"/>
        <w:ind w:firstLine="640" w:firstLineChars="200"/>
        <w:rPr>
          <w:rFonts w:ascii="仿宋_GB2312" w:hAnsi="宋体" w:eastAsia="仿宋_GB2312"/>
          <w:sz w:val="32"/>
          <w:szCs w:val="24"/>
        </w:rPr>
      </w:pP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原告（反诉被告）：霍山县霍山石斛产业协会，住所地安徽省六安市霍山县中兴南路19号，统一社会信用代513415257585427194。</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法定代表人：何祥林，系该协会会长。</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委托诉讼代理人：戴文祥，安徽戴文祥律师事务所律师。</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委托诉讼代理人：杨丹丹，安徽戴文祥律师事务所实习律师。</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被告（反诉原告）：六安开发区儿时的味道特产店，住所地六安市经济开发区金凤凰财富广场13幢20号，统一社会信用代码92341500MA2P0YDE3G（1-1）。</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经营者：张载炎。</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委托诉讼代理人：李富华，</w:t>
      </w:r>
      <w:bookmarkStart w:id="1" w:name="_GoBack"/>
      <w:bookmarkEnd w:id="1"/>
      <w:r>
        <w:rPr>
          <w:rFonts w:hint="eastAsia" w:ascii="仿宋_GB2312" w:eastAsia="仿宋_GB2312" w:cs="仿宋_GB2312"/>
          <w:sz w:val="32"/>
          <w:szCs w:val="32"/>
        </w:rPr>
        <w:t>系公民代理。</w:t>
      </w:r>
      <w:r>
        <w:rPr>
          <w:rFonts w:ascii="仿宋_GB2312" w:eastAsia="仿宋_GB2312" w:cs="仿宋_GB2312"/>
          <w:sz w:val="32"/>
          <w:szCs w:val="32"/>
        </w:rPr>
        <w:t xml:space="preserve"> </w:t>
      </w:r>
    </w:p>
    <w:p>
      <w:pPr>
        <w:spacing w:line="580" w:lineRule="exact"/>
        <w:ind w:firstLine="640" w:firstLineChars="200"/>
        <w:rPr>
          <w:rFonts w:ascii="仿宋_GB2312" w:hAnsi="宋体" w:eastAsia="仿宋_GB2312"/>
          <w:kern w:val="0"/>
          <w:sz w:val="32"/>
          <w:szCs w:val="24"/>
        </w:rPr>
      </w:pPr>
      <w:r>
        <w:rPr>
          <w:rFonts w:hint="eastAsia" w:ascii="仿宋_GB2312" w:hAnsi="宋体" w:eastAsia="仿宋_GB2312" w:cs="仿宋_GB2312"/>
          <w:sz w:val="32"/>
          <w:szCs w:val="32"/>
        </w:rPr>
        <w:t>原告霍山县霍山石斛产业协会（以下简称霍山石斛协会）与被告六安开发区儿时的味道特产店（以下简称儿时味道特产店）认定驰名商标、商标权权属纠纷一案中，本院于2022年8月1日立案后，</w:t>
      </w:r>
      <w:r>
        <w:rPr>
          <w:rFonts w:hint="eastAsia" w:ascii="仿宋_GB2312" w:hAnsi="宋体" w:eastAsia="仿宋_GB2312"/>
          <w:sz w:val="32"/>
          <w:szCs w:val="24"/>
        </w:rPr>
        <w:t>依法适用普通程序，公开开庭进行了审理。原告</w:t>
      </w:r>
      <w:r>
        <w:rPr>
          <w:rFonts w:hint="eastAsia" w:ascii="仿宋_GB2312" w:hAnsi="宋体" w:eastAsia="仿宋_GB2312" w:cs="仿宋_GB2312"/>
          <w:sz w:val="32"/>
          <w:szCs w:val="32"/>
        </w:rPr>
        <w:t>霍山石斛协会</w:t>
      </w:r>
      <w:r>
        <w:rPr>
          <w:rFonts w:hint="eastAsia" w:ascii="仿宋_GB2312" w:hAnsi="宋体" w:eastAsia="仿宋_GB2312"/>
          <w:sz w:val="32"/>
          <w:szCs w:val="24"/>
        </w:rPr>
        <w:t>委托诉讼代理人</w:t>
      </w:r>
      <w:r>
        <w:rPr>
          <w:rFonts w:hint="eastAsia" w:ascii="仿宋_GB2312" w:eastAsia="仿宋_GB2312" w:cs="仿宋_GB2312"/>
          <w:sz w:val="32"/>
          <w:szCs w:val="32"/>
        </w:rPr>
        <w:t>戴文祥</w:t>
      </w:r>
      <w:r>
        <w:rPr>
          <w:rFonts w:hint="eastAsia" w:ascii="仿宋_GB2312" w:hAnsi="宋体" w:eastAsia="仿宋_GB2312"/>
          <w:sz w:val="32"/>
          <w:szCs w:val="24"/>
        </w:rPr>
        <w:t>、</w:t>
      </w:r>
      <w:r>
        <w:rPr>
          <w:rFonts w:hint="eastAsia" w:ascii="仿宋_GB2312" w:eastAsia="仿宋_GB2312" w:cs="仿宋_GB2312"/>
          <w:sz w:val="32"/>
          <w:szCs w:val="32"/>
        </w:rPr>
        <w:t>杨丹丹</w:t>
      </w:r>
      <w:r>
        <w:rPr>
          <w:rFonts w:hint="eastAsia" w:ascii="仿宋_GB2312" w:hAnsi="宋体" w:eastAsia="仿宋_GB2312"/>
          <w:sz w:val="32"/>
          <w:szCs w:val="24"/>
        </w:rPr>
        <w:t>，被告</w:t>
      </w:r>
      <w:r>
        <w:rPr>
          <w:rFonts w:hint="eastAsia" w:ascii="仿宋_GB2312" w:eastAsia="仿宋_GB2312" w:cs="仿宋_GB2312"/>
          <w:sz w:val="32"/>
          <w:szCs w:val="32"/>
        </w:rPr>
        <w:t>六安开发区儿时的味道特产店</w:t>
      </w:r>
      <w:r>
        <w:rPr>
          <w:rFonts w:hint="eastAsia" w:ascii="仿宋_GB2312" w:hAnsi="宋体" w:eastAsia="仿宋_GB2312"/>
          <w:sz w:val="32"/>
          <w:szCs w:val="24"/>
        </w:rPr>
        <w:t>委托诉讼代理人</w:t>
      </w:r>
      <w:r>
        <w:rPr>
          <w:rFonts w:hint="eastAsia" w:ascii="仿宋_GB2312" w:eastAsia="仿宋_GB2312" w:cs="仿宋_GB2312"/>
          <w:sz w:val="32"/>
          <w:szCs w:val="32"/>
        </w:rPr>
        <w:t>李富华</w:t>
      </w:r>
      <w:r>
        <w:rPr>
          <w:rFonts w:hint="eastAsia" w:ascii="仿宋_GB2312" w:hAnsi="宋体" w:eastAsia="仿宋_GB2312"/>
          <w:sz w:val="32"/>
          <w:szCs w:val="24"/>
        </w:rPr>
        <w:t>到庭参加诉讼。本案现已审理终结。</w:t>
      </w:r>
    </w:p>
    <w:p>
      <w:pPr>
        <w:spacing w:line="58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s="仿宋_GB2312"/>
          <w:sz w:val="32"/>
          <w:szCs w:val="32"/>
        </w:rPr>
        <w:t>原</w:t>
      </w:r>
      <w:r>
        <w:rPr>
          <w:rFonts w:hint="eastAsia" w:ascii="仿宋_GB2312" w:hAnsi="宋体" w:eastAsia="仿宋_GB2312" w:cs="仿宋_GB2312"/>
          <w:color w:val="000000"/>
          <w:sz w:val="32"/>
          <w:szCs w:val="32"/>
        </w:rPr>
        <w:t>告霍山石斛协会起诉请求：1.依法认定原告的第7921560号注册商标为驰名商标；2.判令被告停止侵权，立即销毁带有“霍山石斛”标志的产品外包装；3.判令被告赔偿原告损失及维权费用10000元；4.判令本案全部诉讼费用由被告承担。庭后</w:t>
      </w:r>
      <w:r>
        <w:rPr>
          <w:rFonts w:hint="eastAsia" w:ascii="仿宋_GB2312" w:hAnsi="宋体" w:eastAsia="仿宋_GB2312" w:cs="仿宋_GB2312"/>
          <w:sz w:val="32"/>
          <w:szCs w:val="32"/>
        </w:rPr>
        <w:t>原</w:t>
      </w:r>
      <w:r>
        <w:rPr>
          <w:rFonts w:hint="eastAsia" w:ascii="仿宋_GB2312" w:hAnsi="宋体" w:eastAsia="仿宋_GB2312" w:cs="仿宋_GB2312"/>
          <w:color w:val="000000"/>
          <w:sz w:val="32"/>
          <w:szCs w:val="32"/>
        </w:rPr>
        <w:t>告对第一项诉讼请求申请撤诉。事实和理由：“霍山石斛”是原告依法注册的地理标志证明商标，应作为驰名商标依法受到保护。霍山石斛历史悠久，享有中华仙草的美誉，其在中药及石斛行业具有很高的知名度，现已编入《中华药典》。“霍山石斛”品牌产业发展稳健，截至2021年，霍山石斛产业链实现总价值达35亿元，利税总额0.5亿元（农产品涉及免税），截至2020年6月，霍山县从事霍山石斛相关生产经营主体有1633个，石斛销售范围已遍及全国并出口海外。“霍山石斛”品牌价值巨大且科研成果斐然，2007年荣授中国地理标志保护产品，2021年品牌估价为63.75亿元人民币，获得安徽省级科技奖等多项表彰荣誉，创立项目带动2000余户贫困户脱贫增收，发挥了巨大的社会效益。“霍山石斛”具有极高知名度，中央、省、市等先后有一百多位领导参观调研霍山石斛，央视、地方卫视等媒体多次报道宣传“霍山石斛”品牌，2015年“霍山石斛”被认定为安徽省著名商标。原告及其会员单位投放了大量资金，通过多种方式对“霍山石斛”商标持续不间断的广告和市场宣传，仅部分少数会员近年的广告收入就有2000多万。根据《中华人民共和国商标法》第十四条规定，“霍山石斛”商标应认定为驰名商标。被告儿时味道特产店属于本市企业，在淘宝网平台其经营的“盒礼堂食品特产店”销售网页上使用“霍山石斛”宣传销售挂面产品，在两款面类商品标题和包装盒上突出使用了“霍山石斛”。被告虽然经营的是挂面产品，与原告产品既不相同也不类似，但“霍山石斛”商标具有极高的知名度，被告使用“霍山石斛”标志的行为，侵犯了原告的商标专用权，应停止侵权并且赔偿原告损失。</w:t>
      </w:r>
    </w:p>
    <w:p>
      <w:pPr>
        <w:spacing w:line="580" w:lineRule="exact"/>
        <w:ind w:firstLine="640" w:firstLineChars="200"/>
        <w:rPr>
          <w:rFonts w:ascii="仿宋_GB2312" w:hAnsi="宋体" w:eastAsia="仿宋_GB2312" w:cs="仿宋_GB2312"/>
          <w:color w:val="000000"/>
          <w:sz w:val="32"/>
          <w:szCs w:val="32"/>
        </w:rPr>
      </w:pPr>
      <w:r>
        <w:rPr>
          <w:rFonts w:hint="eastAsia" w:ascii="仿宋_GB2312" w:hAnsi="宋体" w:eastAsia="仿宋_GB2312" w:cs="仿宋_GB2312"/>
          <w:color w:val="000000"/>
          <w:sz w:val="32"/>
          <w:szCs w:val="32"/>
        </w:rPr>
        <w:t>儿时味道特产店辩称，被告诉讼主体不符，霍山石斛营养挂面生产主体是六安市定青山中药材有限公司，而答辩人只是消费者，认可了该公司挂面产品，将挂面产品上架到答辩人的网店平台，实际没有卖掉几份，因此诉讼主体应该是六安市定青山中药材有限公司。原告提出的认定知名商标与答辩人没有任何关系，且商标和地理标志证明不同。霍山石斛是一个有形产品，商品名称从古使用到今，不是任何人的专利，更不是原告敲诈钱财的工具。原告在答辩人不知情的情况下偷拍（录）答辩人的个人隐私、肖像、住宅等向公众公示，严重侵犯了答辩人的人权。</w:t>
      </w:r>
    </w:p>
    <w:p>
      <w:pPr>
        <w:spacing w:line="580" w:lineRule="exact"/>
        <w:ind w:firstLine="640" w:firstLineChars="200"/>
        <w:rPr>
          <w:rFonts w:ascii="仿宋_GB2312" w:hAnsi="宋体" w:eastAsia="仿宋_GB2312" w:cs="仿宋_GB2312"/>
          <w:sz w:val="32"/>
          <w:szCs w:val="32"/>
        </w:rPr>
      </w:pPr>
      <w:r>
        <w:rPr>
          <w:rFonts w:hint="eastAsia" w:ascii="仿宋_GB2312" w:hAnsi="宋体" w:eastAsia="仿宋_GB2312" w:cs="仿宋_GB2312"/>
          <w:color w:val="000000"/>
          <w:sz w:val="32"/>
          <w:szCs w:val="32"/>
        </w:rPr>
        <w:t>被告</w:t>
      </w:r>
      <w:r>
        <w:rPr>
          <w:rFonts w:hint="eastAsia" w:ascii="仿宋_GB2312" w:hAnsi="宋体" w:eastAsia="仿宋_GB2312" w:cs="仿宋_GB2312"/>
          <w:sz w:val="32"/>
          <w:szCs w:val="32"/>
        </w:rPr>
        <w:t>儿时味道特产店提起反诉，诉讼请求为：1.判令霍山石斛协会支付反诉人侵权损失赔偿费30000元、精神损失赔偿费30000元、诉讼损失费6000元；2.依法驳回霍山石斛协会全部诉求；3.判令霍山石斛协会承担本案的一切费用。事实和理由：反诉人提交的证据证明了霍山石斛协会的侵权事实，霍山石斛协会为实现自己的利益不惜侵犯他人人权，是严重的违法行为。根据《中华人民共和国商标法》规定，销售不知道是侵犯注册商标权人的商品，能说明该商品是自己合法取得的并说明提供者，不承担赔偿责任。注册商标中含有地名的，注册商标权人无权禁止他人使用。地理标志证明商标是政府行为，不是敲诈钱财的工具。霍山石斛侵权事实存在，应予赔偿，反诉人不存在侵权。</w:t>
      </w:r>
    </w:p>
    <w:p>
      <w:pPr>
        <w:spacing w:line="580" w:lineRule="exac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霍山石斛协会辩称，儿时味道特产店的反诉没有事实依据和法律依据，属于滥用诉权，扰乱原告维权。</w:t>
      </w:r>
    </w:p>
    <w:p>
      <w:pPr>
        <w:spacing w:line="580" w:lineRule="exact"/>
        <w:ind w:firstLine="640" w:firstLineChars="200"/>
        <w:rPr>
          <w:rFonts w:ascii="仿宋_GB2312" w:hAnsi="宋体" w:eastAsia="仿宋_GB2312"/>
          <w:kern w:val="0"/>
          <w:sz w:val="32"/>
          <w:szCs w:val="24"/>
        </w:rPr>
      </w:pPr>
      <w:r>
        <w:rPr>
          <w:rFonts w:hint="eastAsia" w:ascii="仿宋_GB2312" w:hAnsi="宋体" w:eastAsia="仿宋_GB2312"/>
          <w:kern w:val="0"/>
          <w:sz w:val="32"/>
          <w:szCs w:val="24"/>
        </w:rPr>
        <w:t>当事人围绕诉讼请求依法提交了证据，本院组织当事人进行了证据交换和质证。</w:t>
      </w:r>
    </w:p>
    <w:p>
      <w:pPr>
        <w:spacing w:line="580" w:lineRule="exact"/>
        <w:ind w:firstLine="640" w:firstLineChars="200"/>
        <w:rPr>
          <w:rFonts w:ascii="仿宋_GB2312" w:hAnsi="宋体" w:eastAsia="仿宋_GB2312"/>
          <w:kern w:val="0"/>
          <w:sz w:val="32"/>
          <w:szCs w:val="24"/>
        </w:rPr>
      </w:pPr>
      <w:r>
        <w:rPr>
          <w:rFonts w:hint="eastAsia" w:ascii="仿宋_GB2312" w:hAnsi="宋体" w:eastAsia="仿宋_GB2312"/>
          <w:kern w:val="0"/>
          <w:sz w:val="32"/>
          <w:szCs w:val="24"/>
        </w:rPr>
        <w:t>对原告霍山石斛协会提交的第一到第七组证据，被告</w:t>
      </w:r>
      <w:r>
        <w:rPr>
          <w:rFonts w:hint="eastAsia" w:ascii="仿宋_GB2312" w:hAnsi="宋体" w:eastAsia="仿宋_GB2312" w:cs="仿宋_GB2312"/>
          <w:sz w:val="32"/>
          <w:szCs w:val="32"/>
        </w:rPr>
        <w:t>儿时味道特产店未提出异议，</w:t>
      </w:r>
      <w:r>
        <w:rPr>
          <w:rFonts w:hint="eastAsia" w:ascii="仿宋_GB2312" w:hAnsi="宋体" w:eastAsia="仿宋_GB2312" w:cs="仿宋_GB2312"/>
          <w:kern w:val="0"/>
          <w:sz w:val="32"/>
          <w:szCs w:val="32"/>
        </w:rPr>
        <w:t>本院将综合分析认定</w:t>
      </w:r>
      <w:r>
        <w:rPr>
          <w:rFonts w:hint="eastAsia" w:ascii="仿宋_GB2312" w:hAnsi="宋体" w:eastAsia="仿宋_GB2312" w:cs="仿宋_GB2312"/>
          <w:sz w:val="32"/>
          <w:szCs w:val="32"/>
        </w:rPr>
        <w:t>。对有争议的证据，本院认定如下：</w:t>
      </w:r>
      <w:r>
        <w:rPr>
          <w:rFonts w:hint="eastAsia" w:ascii="仿宋_GB2312" w:hAnsi="宋体" w:eastAsia="仿宋_GB2312"/>
          <w:kern w:val="0"/>
          <w:sz w:val="32"/>
          <w:szCs w:val="24"/>
        </w:rPr>
        <w:t>霍山石斛协会提交第八组证据证明“霍山石斛”侵权保护情况，不能直接证明本案被告</w:t>
      </w:r>
      <w:r>
        <w:rPr>
          <w:rFonts w:hint="eastAsia" w:ascii="仿宋_GB2312" w:hAnsi="宋体" w:eastAsia="仿宋_GB2312" w:cs="仿宋_GB2312"/>
          <w:sz w:val="32"/>
          <w:szCs w:val="32"/>
        </w:rPr>
        <w:t>儿时味道特产店实施侵权行为、不予认定。对第九组证据证明被告主体信息和侵权事实，</w:t>
      </w:r>
      <w:r>
        <w:rPr>
          <w:rFonts w:hint="eastAsia" w:ascii="仿宋_GB2312" w:hAnsi="仿宋_GB2312" w:eastAsia="仿宋_GB2312" w:cs="仿宋_GB2312"/>
          <w:color w:val="000000"/>
          <w:kern w:val="0"/>
          <w:sz w:val="32"/>
          <w:szCs w:val="24"/>
        </w:rPr>
        <w:t>予以认定。</w:t>
      </w:r>
    </w:p>
    <w:p>
      <w:pPr>
        <w:spacing w:line="580" w:lineRule="exact"/>
        <w:ind w:firstLine="640" w:firstLineChars="200"/>
        <w:rPr>
          <w:rFonts w:ascii="仿宋_GB2312" w:hAnsi="宋体" w:eastAsia="仿宋_GB2312"/>
          <w:color w:val="000000"/>
          <w:kern w:val="0"/>
          <w:sz w:val="32"/>
          <w:szCs w:val="24"/>
        </w:rPr>
      </w:pPr>
      <w:r>
        <w:rPr>
          <w:rFonts w:hint="eastAsia" w:ascii="仿宋_GB2312" w:hAnsi="宋体" w:eastAsia="仿宋_GB2312"/>
          <w:color w:val="000000"/>
          <w:kern w:val="0"/>
          <w:sz w:val="32"/>
          <w:szCs w:val="24"/>
        </w:rPr>
        <w:t>对儿时味道特产店在反诉中提交的证据，霍山石斛协会均提出异议。本院认定如下：对六安市定青山中药材有公司食品经营许可证、“定青山”商标和“霍山石斛”商标的真实性予以确认，对代理费收据和原告提交材料重量的照片不予认定。</w:t>
      </w:r>
    </w:p>
    <w:p>
      <w:pPr>
        <w:spacing w:line="580" w:lineRule="exact"/>
        <w:ind w:firstLine="640" w:firstLineChars="200"/>
        <w:rPr>
          <w:rFonts w:ascii="仿宋_GB2312" w:eastAsia="仿宋_GB2312" w:cs="仿宋_GB2312"/>
          <w:sz w:val="32"/>
          <w:szCs w:val="32"/>
          <w:lang w:val="zh-CN"/>
        </w:rPr>
      </w:pPr>
      <w:r>
        <w:rPr>
          <w:rFonts w:hint="eastAsia" w:ascii="仿宋_GB2312" w:hAnsi="宋体" w:eastAsia="仿宋_GB2312"/>
          <w:kern w:val="0"/>
          <w:sz w:val="32"/>
          <w:szCs w:val="24"/>
        </w:rPr>
        <w:t>根据当事人提供的证据、庭审陈述，本院查明案件事实如下：</w:t>
      </w:r>
      <w:r>
        <w:rPr>
          <w:rFonts w:hint="eastAsia" w:ascii="仿宋_GB2312" w:eastAsia="仿宋_GB2312" w:cs="仿宋_GB2312"/>
          <w:sz w:val="32"/>
          <w:szCs w:val="32"/>
          <w:lang w:val="zh-CN"/>
        </w:rPr>
        <w:t>原告霍山石斛协会系于2003年在霍山县民政局登记成立的社会团体法人，业务范围为发展经营霍山石斛、霍山米</w:t>
      </w:r>
      <w:r>
        <w:rPr>
          <w:rFonts w:hint="eastAsia" w:ascii="仿宋_GB2312" w:eastAsia="仿宋_GB2312" w:cs="宋体"/>
          <w:sz w:val="32"/>
          <w:szCs w:val="32"/>
        </w:rPr>
        <w:t>斛系列产品，开发石斛、米斛生产基地、技术推广应用、培训，引进高新技术等。该协会于2010年11月21日获国家商标局批准，注册第</w:t>
      </w:r>
      <w:r>
        <w:rPr>
          <w:rFonts w:hint="eastAsia" w:ascii="仿宋_GB2312" w:eastAsia="仿宋_GB2312" w:cs="仿宋_GB2312"/>
          <w:sz w:val="32"/>
          <w:szCs w:val="32"/>
          <w:lang w:val="zh-CN"/>
        </w:rPr>
        <w:t>7921560号</w:t>
      </w:r>
      <w:r>
        <w:rPr>
          <w:rFonts w:ascii="仿宋_GB2312" w:eastAsia="仿宋_GB2312" w:cs="仿宋_GB2312"/>
          <w:sz w:val="32"/>
          <w:szCs w:val="32"/>
        </w:rPr>
        <w:drawing>
          <wp:inline distT="0" distB="0" distL="0" distR="0">
            <wp:extent cx="723900" cy="266700"/>
            <wp:effectExtent l="19050" t="0" r="0" b="0"/>
            <wp:docPr id="1" name="图片 1" descr="F:\mmexport1664412473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mmexport1664412473147.jpg"/>
                    <pic:cNvPicPr>
                      <a:picLocks noChangeAspect="1" noChangeArrowheads="1"/>
                    </pic:cNvPicPr>
                  </pic:nvPicPr>
                  <pic:blipFill>
                    <a:blip r:embed="rId4"/>
                    <a:srcRect/>
                    <a:stretch>
                      <a:fillRect/>
                    </a:stretch>
                  </pic:blipFill>
                  <pic:spPr>
                    <a:xfrm>
                      <a:off x="0" y="0"/>
                      <a:ext cx="723900" cy="266700"/>
                    </a:xfrm>
                    <a:prstGeom prst="rect">
                      <a:avLst/>
                    </a:prstGeom>
                    <a:noFill/>
                    <a:ln w="9525">
                      <a:noFill/>
                      <a:miter lim="800000"/>
                      <a:headEnd/>
                      <a:tailEnd/>
                    </a:ln>
                  </pic:spPr>
                </pic:pic>
              </a:graphicData>
            </a:graphic>
          </wp:inline>
        </w:drawing>
      </w:r>
      <w:r>
        <w:rPr>
          <w:rFonts w:hint="eastAsia" w:ascii="仿宋_GB2312" w:eastAsia="仿宋_GB2312" w:cs="仿宋_GB2312"/>
          <w:sz w:val="32"/>
          <w:szCs w:val="32"/>
          <w:lang w:val="zh-CN"/>
        </w:rPr>
        <w:t>地理标志证明商标，核定使用商品（第5类）：石斛（截至），注册有效期限自2010年11月21日至2020年11月20日，续展注册有效期至2030年11月20日。</w:t>
      </w:r>
      <w:r>
        <w:rPr>
          <w:rFonts w:hint="eastAsia" w:ascii="仿宋_GB2312" w:eastAsia="仿宋_GB2312" w:cs="仿宋_GB2312"/>
          <w:color w:val="000000"/>
          <w:sz w:val="32"/>
          <w:szCs w:val="32"/>
          <w:lang w:val="zh-CN"/>
        </w:rPr>
        <w:t>该注册商标公告的《“霍山石斛”地理标志证明商标使用管理规则》第四条规定：申请使用“霍山石斛”地理标志证明商标的，应当按照本规则的规定，经霍山石斛协会审核批准。</w:t>
      </w:r>
      <w:r>
        <w:rPr>
          <w:rFonts w:hint="eastAsia" w:ascii="仿宋_GB2312" w:eastAsia="仿宋_GB2312" w:cs="仿宋_GB2312"/>
          <w:sz w:val="32"/>
          <w:szCs w:val="32"/>
          <w:lang w:val="zh-CN"/>
        </w:rPr>
        <w:t>第十六条规定：霍山石斛协会是“霍山石斛”地理标志证明商标的管理机构，具体实施下列工作：1.负责《地理标志证明商标使用管理规则》的制定和实施；2.组织、监督按规定使用该地理标志商标及“中国地理标志产品专用标志”；3.负责对使用该地理标志证明商标的商品进行全方位的跟踪管理；4.对商品质量进行监督检测；5.维护“霍山石斛”地理标志证明商标专用权；6.协助工商行政管理部分调查处理侵权、假冒案件；7.对违反本规则的经营者作出处理。第二十二条规定：使用“霍山石斛”地理标志证明商标的具体管理费标准，由霍山石斛协会按照国家有关规定并报有关部门审批后实施。第二十三条规定：“霍山石斛”地理标志证明商标的管理费专款专用，主要用于商标注册、续展事宜、印制地理标志证明商标标识和“中国地理标志产品专用标志”标识，检测产品，受理地理标志证明商标投诉、收集案件证据材料和宣传地理标志证明商标等工作，以保障“霍山石斛”地理标志证明商标商品的声誉，维护使用者和消费者的合法权益。截至起诉时间，霍山石斛协会共有90个申请会员。</w:t>
      </w:r>
    </w:p>
    <w:p>
      <w:pPr>
        <w:spacing w:line="580" w:lineRule="exact"/>
        <w:ind w:firstLine="640" w:firstLineChars="200"/>
        <w:rPr>
          <w:rFonts w:ascii="仿宋_GB2312" w:eastAsia="仿宋_GB2312" w:cs="仿宋_GB2312"/>
          <w:sz w:val="32"/>
          <w:szCs w:val="32"/>
          <w:lang w:val="zh-CN"/>
        </w:rPr>
      </w:pPr>
      <w:r>
        <w:rPr>
          <w:rFonts w:hint="eastAsia" w:ascii="仿宋_GB2312" w:eastAsia="仿宋_GB2312" w:cs="仿宋_GB2312"/>
          <w:sz w:val="32"/>
          <w:szCs w:val="32"/>
          <w:lang w:val="zh-CN"/>
        </w:rPr>
        <w:t>《中华药典》将石斛细分为霍山石斛与金钗石斛、鼓槌石斛、流苏石斛等品类，霍山石斛在石斛相关药材市场具有较高知名度。使用“霍山石斛”地理标志证明商标的霍山石斛具有特定品质，其生产地域范围为安徽省霍山县太平畈乡等12个乡镇现辖行政区域。据霍山县统计局统计数据，2021年霍山石斛全产业链实现总产值达35亿元，利税总额0.5亿元（霍山石斛种植属于部分免税项目范围）。</w:t>
      </w:r>
    </w:p>
    <w:p>
      <w:pPr>
        <w:spacing w:line="580" w:lineRule="exact"/>
        <w:ind w:firstLine="640" w:firstLineChars="200"/>
        <w:rPr>
          <w:rFonts w:ascii="仿宋_GB2312" w:eastAsia="仿宋_GB2312" w:cs="仿宋_GB2312"/>
          <w:sz w:val="32"/>
          <w:szCs w:val="32"/>
          <w:lang w:val="zh-CN"/>
        </w:rPr>
      </w:pPr>
      <w:r>
        <w:rPr>
          <w:rFonts w:hint="eastAsia" w:ascii="仿宋_GB2312" w:eastAsia="仿宋_GB2312" w:cs="仿宋_GB2312"/>
          <w:sz w:val="32"/>
          <w:szCs w:val="32"/>
        </w:rPr>
        <w:t>霍山石斛经CCTV4、CCTV7、新华网、央广网、安徽卫视、中国联合商报、安徽六安新闻网、凤凰资讯网等多家媒体宣传报道。</w:t>
      </w:r>
      <w:r>
        <w:rPr>
          <w:rFonts w:hint="eastAsia" w:ascii="仿宋_GB2312" w:eastAsia="仿宋_GB2312" w:cs="仿宋_GB2312"/>
          <w:sz w:val="32"/>
          <w:szCs w:val="32"/>
          <w:lang w:val="zh-CN"/>
        </w:rPr>
        <w:t>2022年6月1日，霍山衡达会计事务所对霍山石斛广告宣传费支出情况作出专项审计报告，经审计：安徽大别山霍斛科技有限公司等四家会员单位2017年1月1日至2021年12月31日对霍山石斛广告宣传支出合计27399251.08元。</w:t>
      </w:r>
    </w:p>
    <w:p>
      <w:pPr>
        <w:spacing w:line="580" w:lineRule="exact"/>
        <w:ind w:firstLine="640" w:firstLineChars="200"/>
        <w:rPr>
          <w:rFonts w:ascii="仿宋_GB2312" w:eastAsia="仿宋_GB2312" w:cs="仿宋_GB2312"/>
          <w:sz w:val="32"/>
          <w:szCs w:val="32"/>
          <w:lang w:val="zh-CN"/>
        </w:rPr>
      </w:pPr>
      <w:r>
        <w:rPr>
          <w:rFonts w:hint="eastAsia" w:ascii="仿宋_GB2312" w:hAnsi="宋体" w:eastAsia="仿宋_GB2312"/>
          <w:color w:val="000000"/>
          <w:kern w:val="0"/>
          <w:sz w:val="32"/>
          <w:szCs w:val="24"/>
        </w:rPr>
        <w:t>另查明，被告儿时味道特产店系2017年9月13日注册的个体工商户,其于淘宝平台经营“盒礼堂食品特产店”，销售有“霍山石斛”突出标示的的面条。</w:t>
      </w:r>
    </w:p>
    <w:p>
      <w:pPr>
        <w:spacing w:line="580" w:lineRule="exact"/>
        <w:ind w:firstLine="640" w:firstLineChars="200"/>
        <w:rPr>
          <w:rFonts w:ascii="仿宋_GB2312" w:eastAsia="仿宋_GB2312" w:cs="仿宋_GB2312"/>
          <w:sz w:val="32"/>
          <w:szCs w:val="32"/>
        </w:rPr>
      </w:pPr>
      <w:r>
        <w:rPr>
          <w:rFonts w:hint="eastAsia" w:ascii="仿宋_GB2312" w:hAnsi="仿宋_GB2312" w:eastAsia="仿宋_GB2312" w:cs="仿宋_GB2312"/>
          <w:kern w:val="0"/>
          <w:sz w:val="32"/>
          <w:szCs w:val="24"/>
        </w:rPr>
        <w:t>本院认为，</w:t>
      </w:r>
      <w:r>
        <w:rPr>
          <w:rFonts w:hint="eastAsia" w:ascii="仿宋_GB2312" w:eastAsia="仿宋_GB2312" w:cs="仿宋_GB2312"/>
          <w:sz w:val="32"/>
          <w:szCs w:val="32"/>
          <w:lang w:val="zh-CN"/>
        </w:rPr>
        <w:t>原告</w:t>
      </w:r>
      <w:r>
        <w:rPr>
          <w:rFonts w:hint="eastAsia" w:ascii="仿宋_GB2312" w:hAnsi="宋体" w:eastAsia="仿宋_GB2312"/>
          <w:color w:val="000000"/>
          <w:kern w:val="0"/>
          <w:sz w:val="32"/>
          <w:szCs w:val="24"/>
        </w:rPr>
        <w:t>霍山石斛协会申请撤回第一项诉讼请求，依法予以准许。</w:t>
      </w:r>
      <w:r>
        <w:rPr>
          <w:rFonts w:hint="eastAsia" w:ascii="仿宋_GB2312" w:hAnsi="宋体" w:eastAsia="仿宋_GB2312" w:cs="宋体"/>
          <w:sz w:val="32"/>
          <w:szCs w:val="32"/>
        </w:rPr>
        <w:t>本案系侵害商标权纠纷，双方当事人争议焦点为：</w:t>
      </w:r>
      <w:r>
        <w:rPr>
          <w:rFonts w:hint="eastAsia" w:ascii="仿宋_GB2312" w:eastAsia="仿宋_GB2312" w:cs="仿宋_GB2312"/>
          <w:sz w:val="32"/>
          <w:szCs w:val="32"/>
        </w:rPr>
        <w:t>一、霍山石斛协会注册的7921560号</w:t>
      </w:r>
      <w:r>
        <w:rPr>
          <w:rFonts w:hint="eastAsia" w:ascii="仿宋_GB2312" w:eastAsia="仿宋_GB2312" w:cs="仿宋_GB2312"/>
          <w:sz w:val="32"/>
          <w:szCs w:val="32"/>
          <w:lang w:val="zh-CN"/>
        </w:rPr>
        <w:t>地理标志证明商标是否</w:t>
      </w:r>
      <w:r>
        <w:rPr>
          <w:rFonts w:hint="eastAsia" w:ascii="仿宋_GB2312" w:eastAsia="仿宋_GB2312" w:cs="仿宋_GB2312"/>
          <w:sz w:val="32"/>
          <w:szCs w:val="32"/>
        </w:rPr>
        <w:t>符合认定驰名商标条件；二、被告是否存在侵犯原告注册商标使用权的行为，以及如构成侵权，被告应当如何承担责任；三、被告当庭提出的反诉请求能否得到支持。</w:t>
      </w:r>
    </w:p>
    <w:p>
      <w:pPr>
        <w:spacing w:line="580" w:lineRule="exact"/>
        <w:ind w:firstLine="640" w:firstLineChars="200"/>
        <w:rPr>
          <w:rFonts w:ascii="仿宋_GB2312" w:hAnsi="宋体" w:eastAsia="仿宋_GB2312"/>
          <w:color w:val="000000"/>
          <w:kern w:val="0"/>
          <w:sz w:val="32"/>
          <w:szCs w:val="24"/>
        </w:rPr>
      </w:pPr>
      <w:r>
        <w:rPr>
          <w:rFonts w:hint="eastAsia" w:ascii="仿宋_GB2312" w:eastAsia="仿宋_GB2312" w:cs="仿宋_GB2312"/>
          <w:sz w:val="32"/>
          <w:szCs w:val="32"/>
        </w:rPr>
        <w:t>关于焦点一，霍山石斛协会以注册的</w:t>
      </w:r>
      <w:r>
        <w:rPr>
          <w:rFonts w:hint="eastAsia" w:ascii="仿宋_GB2312" w:eastAsia="仿宋_GB2312" w:cs="宋体"/>
          <w:sz w:val="32"/>
          <w:szCs w:val="32"/>
        </w:rPr>
        <w:t>第</w:t>
      </w:r>
      <w:r>
        <w:rPr>
          <w:rFonts w:hint="eastAsia" w:ascii="仿宋_GB2312" w:eastAsia="仿宋_GB2312" w:cs="仿宋_GB2312"/>
          <w:sz w:val="32"/>
          <w:szCs w:val="32"/>
          <w:lang w:val="zh-CN"/>
        </w:rPr>
        <w:t>7921560号</w:t>
      </w:r>
      <w:r>
        <w:rPr>
          <w:rFonts w:ascii="仿宋_GB2312" w:eastAsia="仿宋_GB2312" w:cs="仿宋_GB2312"/>
          <w:sz w:val="32"/>
          <w:szCs w:val="32"/>
        </w:rPr>
        <w:drawing>
          <wp:inline distT="0" distB="0" distL="0" distR="0">
            <wp:extent cx="723900" cy="266700"/>
            <wp:effectExtent l="19050" t="0" r="0" b="0"/>
            <wp:docPr id="2" name="图片 2" descr="F:\mmexport1664412473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mmexport1664412473147.jpg"/>
                    <pic:cNvPicPr>
                      <a:picLocks noChangeAspect="1" noChangeArrowheads="1"/>
                    </pic:cNvPicPr>
                  </pic:nvPicPr>
                  <pic:blipFill>
                    <a:blip r:embed="rId4"/>
                    <a:srcRect/>
                    <a:stretch>
                      <a:fillRect/>
                    </a:stretch>
                  </pic:blipFill>
                  <pic:spPr>
                    <a:xfrm>
                      <a:off x="0" y="0"/>
                      <a:ext cx="723900" cy="266700"/>
                    </a:xfrm>
                    <a:prstGeom prst="rect">
                      <a:avLst/>
                    </a:prstGeom>
                    <a:noFill/>
                    <a:ln w="9525">
                      <a:noFill/>
                      <a:miter lim="800000"/>
                      <a:headEnd/>
                      <a:tailEnd/>
                    </a:ln>
                  </pic:spPr>
                </pic:pic>
              </a:graphicData>
            </a:graphic>
          </wp:inline>
        </w:drawing>
      </w:r>
      <w:r>
        <w:rPr>
          <w:rFonts w:hint="eastAsia" w:ascii="仿宋_GB2312" w:eastAsia="仿宋_GB2312" w:cs="仿宋_GB2312"/>
          <w:sz w:val="32"/>
          <w:szCs w:val="32"/>
          <w:lang w:val="zh-CN"/>
        </w:rPr>
        <w:t>地理标志证明商标为权利基础提起诉讼，该商标核定使用商品为石斛，</w:t>
      </w:r>
      <w:r>
        <w:rPr>
          <w:rFonts w:hint="eastAsia" w:ascii="仿宋_GB2312" w:hAnsi="宋体" w:eastAsia="仿宋_GB2312"/>
          <w:color w:val="000000"/>
          <w:kern w:val="0"/>
          <w:sz w:val="32"/>
          <w:szCs w:val="24"/>
        </w:rPr>
        <w:t>该类商品与被诉侵权产品面条不是同一类产品，权利人如不选择驰名商标跨类保护难以维权。因此本案根据具体情况，作为个案有必要对涉案商标是否驰名作出认定。</w:t>
      </w:r>
    </w:p>
    <w:p>
      <w:pPr>
        <w:spacing w:line="580" w:lineRule="exact"/>
        <w:ind w:firstLine="640" w:firstLineChars="200"/>
        <w:rPr>
          <w:rFonts w:ascii="仿宋_GB2312" w:hAnsi="宋体" w:eastAsia="仿宋_GB2312"/>
          <w:color w:val="000000"/>
          <w:kern w:val="0"/>
          <w:sz w:val="32"/>
          <w:szCs w:val="24"/>
        </w:rPr>
      </w:pPr>
      <w:r>
        <w:rPr>
          <w:rFonts w:hint="eastAsia" w:ascii="仿宋_GB2312" w:eastAsia="仿宋_GB2312"/>
          <w:sz w:val="32"/>
          <w:szCs w:val="32"/>
        </w:rPr>
        <w:t>《中华人民共和国商标法》第十四条规定，认定驰名商标应当考虑相关</w:t>
      </w:r>
      <w:r>
        <w:rPr>
          <w:rFonts w:hint="eastAsia" w:ascii="仿宋_GB2312" w:hAnsi="宋体" w:eastAsia="仿宋_GB2312"/>
          <w:color w:val="000000"/>
          <w:kern w:val="0"/>
          <w:sz w:val="32"/>
          <w:szCs w:val="24"/>
        </w:rPr>
        <w:t>公众对该商标的知晓程度、该商标使用的持续时间、该商标的任何宣传工作的持续时间、程度和地理范围以及该商标作为驰名商标受保护的记录等因素。《最高人民法院关于审理涉及驰名商标保护的民事纠纷案件应用法律若干问题的解释》</w:t>
      </w:r>
      <w:r>
        <w:rPr>
          <w:rFonts w:ascii="仿宋_GB2312" w:hAnsi="宋体" w:eastAsia="仿宋_GB2312"/>
          <w:color w:val="000000"/>
          <w:kern w:val="0"/>
          <w:sz w:val="32"/>
          <w:szCs w:val="24"/>
        </w:rPr>
        <w:t>第</w:t>
      </w:r>
      <w:r>
        <w:rPr>
          <w:rFonts w:hint="eastAsia" w:ascii="仿宋_GB2312" w:hAnsi="宋体" w:eastAsia="仿宋_GB2312"/>
          <w:color w:val="000000"/>
          <w:kern w:val="0"/>
          <w:sz w:val="32"/>
          <w:szCs w:val="24"/>
        </w:rPr>
        <w:t>五</w:t>
      </w:r>
      <w:r>
        <w:rPr>
          <w:rFonts w:ascii="仿宋_GB2312" w:hAnsi="宋体" w:eastAsia="仿宋_GB2312"/>
          <w:color w:val="000000"/>
          <w:kern w:val="0"/>
          <w:sz w:val="32"/>
          <w:szCs w:val="24"/>
        </w:rPr>
        <w:t>条</w:t>
      </w:r>
      <w:r>
        <w:rPr>
          <w:rFonts w:hint="eastAsia" w:ascii="仿宋_GB2312" w:hAnsi="宋体" w:eastAsia="仿宋_GB2312"/>
          <w:color w:val="000000"/>
          <w:kern w:val="0"/>
          <w:sz w:val="32"/>
          <w:szCs w:val="24"/>
        </w:rPr>
        <w:t>对权利人为证明商标驰名而提交的证据类别作了进一步规定，具体包括：使用该商标的商品的市场份额、销售区域、利税等；该商标的持续使用时间；该商标的宣传或者促销活动的方式、持续时间、程度、资金投入和地域范围；该商标曾被作为驰名商标受保护的记录；该商标享有的市场声誉；证明该商标已属驰名的其他事实。关于使用涉案商标的商品的销售情况，霍山石斛是石斛中的一种优良品种，拥有国家药品标准，</w:t>
      </w:r>
      <w:r>
        <w:rPr>
          <w:rFonts w:hint="eastAsia" w:ascii="仿宋_GB2312" w:eastAsia="仿宋_GB2312" w:cs="仿宋_GB2312"/>
          <w:sz w:val="32"/>
          <w:szCs w:val="32"/>
          <w:lang w:val="zh-CN"/>
        </w:rPr>
        <w:t>使用“霍山石斛”地理标志证明商标的霍山石斛具有特定品质，畅销全国。</w:t>
      </w:r>
      <w:r>
        <w:rPr>
          <w:rFonts w:hint="eastAsia" w:ascii="仿宋_GB2312" w:hAnsi="宋体" w:eastAsia="仿宋_GB2312"/>
          <w:color w:val="000000"/>
          <w:kern w:val="0"/>
          <w:sz w:val="32"/>
          <w:szCs w:val="24"/>
        </w:rPr>
        <w:t>关于商标使用时间，涉案商标作为</w:t>
      </w:r>
      <w:r>
        <w:rPr>
          <w:rFonts w:hint="eastAsia" w:ascii="仿宋_GB2312" w:eastAsia="仿宋_GB2312" w:cs="仿宋_GB2312"/>
          <w:sz w:val="32"/>
          <w:szCs w:val="32"/>
          <w:lang w:val="zh-CN"/>
        </w:rPr>
        <w:t>地理标志证明自20</w:t>
      </w:r>
      <w:r>
        <w:rPr>
          <w:rFonts w:hint="eastAsia" w:ascii="仿宋_GB2312" w:eastAsia="仿宋_GB2312" w:cs="宋体"/>
          <w:sz w:val="32"/>
          <w:szCs w:val="32"/>
        </w:rPr>
        <w:t>10年11月21日使用至今。</w:t>
      </w:r>
      <w:r>
        <w:rPr>
          <w:rFonts w:hint="eastAsia" w:ascii="仿宋_GB2312" w:hAnsi="宋体" w:eastAsia="仿宋_GB2312"/>
          <w:color w:val="000000"/>
          <w:kern w:val="0"/>
          <w:sz w:val="32"/>
          <w:szCs w:val="24"/>
        </w:rPr>
        <w:t>关于涉案商标的宣传情况，霍山石斛协会</w:t>
      </w:r>
      <w:r>
        <w:rPr>
          <w:rFonts w:hint="eastAsia" w:ascii="仿宋_GB2312" w:eastAsia="仿宋_GB2312" w:cs="仿宋_GB2312"/>
          <w:sz w:val="32"/>
          <w:szCs w:val="32"/>
          <w:lang w:val="zh-CN"/>
        </w:rPr>
        <w:t>四家会员单位自2017年1月1日至2021年12月31日以电视广播、网络媒体等方式，用于霍山石斛广告宣传支出合计27399251.08元。</w:t>
      </w:r>
      <w:r>
        <w:rPr>
          <w:rFonts w:hint="eastAsia" w:ascii="仿宋_GB2312" w:hAnsi="宋体" w:eastAsia="仿宋_GB2312"/>
          <w:color w:val="000000"/>
          <w:kern w:val="0"/>
          <w:sz w:val="32"/>
          <w:szCs w:val="24"/>
        </w:rPr>
        <w:t>关于涉案商标享有的市场声誉，2019年农村农业部等部联合发文，认定安徽省霍山县霍山石斛为中国特色农产品优势区，2020年中国野生植物保护协会授予安徽省霍山县“中国石斛之乡”荣誉，中共霍山县委、霍山县人民政府于2020年制作《霍山石斛企业发展白皮书》，载述霍山石斛作为享誉全国的名贵道地药材，如今成为安徽省特色名片产业。据中国品牌建设促进会2021年评定，“霍山石斛”品牌价值为63.75亿元。关于涉案商标受保护记录这一因素，《最高人民法院关于审理涉及驰名商标保护的民事纠纷案件应用法律若干问题的解释》</w:t>
      </w:r>
      <w:r>
        <w:rPr>
          <w:rFonts w:ascii="仿宋_GB2312" w:hAnsi="宋体" w:eastAsia="仿宋_GB2312"/>
          <w:color w:val="000000"/>
          <w:kern w:val="0"/>
          <w:sz w:val="32"/>
          <w:szCs w:val="24"/>
        </w:rPr>
        <w:t>第四条</w:t>
      </w:r>
      <w:r>
        <w:rPr>
          <w:rFonts w:hint="eastAsia" w:ascii="仿宋_GB2312" w:hAnsi="宋体" w:eastAsia="仿宋_GB2312"/>
          <w:color w:val="000000"/>
          <w:kern w:val="0"/>
          <w:sz w:val="32"/>
          <w:szCs w:val="24"/>
        </w:rPr>
        <w:t>规定，人民法院认定商标是否驰名，应当以证明其驰名的事实为依据，综合考虑</w:t>
      </w:r>
      <w:r>
        <w:fldChar w:fldCharType="begin"/>
      </w:r>
      <w:r>
        <w:instrText xml:space="preserve"> HYPERLINK "javascript:void(0);" </w:instrText>
      </w:r>
      <w:r>
        <w:fldChar w:fldCharType="separate"/>
      </w:r>
      <w:r>
        <w:rPr>
          <w:rFonts w:hint="eastAsia" w:ascii="仿宋_GB2312" w:hAnsi="宋体" w:eastAsia="仿宋_GB2312"/>
          <w:color w:val="000000"/>
          <w:kern w:val="0"/>
          <w:sz w:val="32"/>
          <w:szCs w:val="24"/>
        </w:rPr>
        <w:t>商标法</w:t>
      </w:r>
      <w:r>
        <w:rPr>
          <w:rFonts w:hint="eastAsia" w:ascii="仿宋_GB2312" w:hAnsi="宋体" w:eastAsia="仿宋_GB2312"/>
          <w:color w:val="000000"/>
          <w:kern w:val="0"/>
          <w:sz w:val="32"/>
          <w:szCs w:val="24"/>
        </w:rPr>
        <w:fldChar w:fldCharType="end"/>
      </w:r>
      <w:r>
        <w:rPr>
          <w:rFonts w:hint="eastAsia" w:ascii="仿宋_GB2312" w:hAnsi="宋体" w:eastAsia="仿宋_GB2312"/>
          <w:color w:val="000000"/>
          <w:kern w:val="0"/>
          <w:sz w:val="32"/>
          <w:szCs w:val="24"/>
        </w:rPr>
        <w:t>第</w:t>
      </w:r>
      <w:r>
        <w:fldChar w:fldCharType="begin"/>
      </w:r>
      <w:r>
        <w:instrText xml:space="preserve"> HYPERLINK "javascript:void(0);" </w:instrText>
      </w:r>
      <w:r>
        <w:fldChar w:fldCharType="separate"/>
      </w:r>
      <w:r>
        <w:rPr>
          <w:rFonts w:hint="eastAsia" w:ascii="仿宋_GB2312" w:hAnsi="宋体" w:eastAsia="仿宋_GB2312"/>
          <w:color w:val="000000"/>
          <w:kern w:val="0"/>
          <w:sz w:val="32"/>
          <w:szCs w:val="24"/>
        </w:rPr>
        <w:t>十四条</w:t>
      </w:r>
      <w:r>
        <w:rPr>
          <w:rFonts w:hint="eastAsia" w:ascii="仿宋_GB2312" w:hAnsi="宋体" w:eastAsia="仿宋_GB2312"/>
          <w:color w:val="000000"/>
          <w:kern w:val="0"/>
          <w:sz w:val="32"/>
          <w:szCs w:val="24"/>
        </w:rPr>
        <w:fldChar w:fldCharType="end"/>
      </w:r>
      <w:r>
        <w:rPr>
          <w:rFonts w:hint="eastAsia" w:ascii="仿宋_GB2312" w:hAnsi="宋体" w:eastAsia="仿宋_GB2312"/>
          <w:color w:val="000000"/>
          <w:kern w:val="0"/>
          <w:sz w:val="32"/>
          <w:szCs w:val="24"/>
        </w:rPr>
        <w:t>第一款规定的各项因素，但是根据案件具体情况无需考虑该条规定的全部因素即足以认定商标驰名的情形除外。据此，</w:t>
      </w:r>
      <w:r>
        <w:rPr>
          <w:rFonts w:hint="eastAsia" w:ascii="仿宋_GB2312" w:eastAsia="仿宋_GB2312"/>
          <w:sz w:val="32"/>
          <w:szCs w:val="32"/>
        </w:rPr>
        <w:t>《中华人民共和国商标法》第十四条规定的全部因素并非缺一不可，如果考虑部分因素即足以认定涉案商标驰名的，则无需机械地考虑其全部因素；如果将“</w:t>
      </w:r>
      <w:r>
        <w:rPr>
          <w:rFonts w:hint="eastAsia" w:ascii="仿宋_GB2312" w:hAnsi="宋体" w:eastAsia="仿宋_GB2312"/>
          <w:color w:val="000000"/>
          <w:kern w:val="0"/>
          <w:sz w:val="32"/>
          <w:szCs w:val="24"/>
        </w:rPr>
        <w:t>涉案商标受保护记录”作为必须具备的条件，那么此前未经司法或者行政程序被认定为驰名商标的，即使已为公众熟知，也无法在诉讼中被认定为驰名商标，这显然不利于商标权的保护。故本案虽未提供涉案商标曾被作为驰名商标受保护的记录，但结合霍山石斛的销售、涉案商标的使用、宣传情况、市场声誉以及其他相关事实，本院认为霍山石斛协会提交的在案证据可以证明涉案商标在被诉侵权行为发生时处于驰名状态。</w:t>
      </w:r>
    </w:p>
    <w:p>
      <w:pPr>
        <w:spacing w:line="580" w:lineRule="exact"/>
        <w:ind w:firstLine="640" w:firstLineChars="200"/>
        <w:rPr>
          <w:rFonts w:ascii="仿宋_GB2312" w:hAnsi="宋体" w:eastAsia="仿宋_GB2312"/>
          <w:color w:val="000000"/>
          <w:kern w:val="0"/>
          <w:sz w:val="32"/>
          <w:szCs w:val="24"/>
        </w:rPr>
      </w:pPr>
      <w:r>
        <w:rPr>
          <w:rFonts w:hint="eastAsia" w:ascii="仿宋_GB2312" w:hAnsi="宋体" w:eastAsia="仿宋_GB2312"/>
          <w:color w:val="000000"/>
          <w:kern w:val="0"/>
          <w:sz w:val="32"/>
          <w:szCs w:val="24"/>
        </w:rPr>
        <w:t>关于焦点二，根据《中华人民共和国商标法》第五十七条第三项规定，销售侵犯注册商标专用权的商品的，属侵犯注册商标专用权。</w:t>
      </w:r>
      <w:r>
        <w:rPr>
          <w:rFonts w:hint="eastAsia" w:ascii="仿宋_GB2312" w:eastAsia="仿宋_GB2312"/>
          <w:sz w:val="32"/>
          <w:szCs w:val="32"/>
        </w:rPr>
        <w:t>《中华人民共和国反不正当竞争法》第六条第一项规定，经营者不得擅自使用与他人有一定影响的商品名称、包装、装潢等相同或者近似的标识。</w:t>
      </w:r>
      <w:r>
        <w:rPr>
          <w:rFonts w:hint="eastAsia" w:ascii="仿宋_GB2312" w:hAnsi="宋体" w:eastAsia="仿宋_GB2312"/>
          <w:color w:val="000000"/>
          <w:kern w:val="0"/>
          <w:sz w:val="32"/>
          <w:szCs w:val="24"/>
        </w:rPr>
        <w:t>被告儿时味道特产店在淘宝平台经营“盒礼堂食品特产店”，销售的面条在包装显著位置标示“霍山石斛”字样，</w:t>
      </w:r>
      <w:r>
        <w:rPr>
          <w:rFonts w:hint="eastAsia" w:ascii="仿宋_GB2312" w:eastAsia="仿宋_GB2312"/>
          <w:sz w:val="32"/>
          <w:szCs w:val="32"/>
        </w:rPr>
        <w:t>容易造成相关公众误认为其提供的商品与霍山石斛存在特定联系，构成对涉案商标权的侵害及不正当竞争。涉案商标核定</w:t>
      </w:r>
      <w:r>
        <w:rPr>
          <w:rFonts w:hint="eastAsia" w:ascii="仿宋_GB2312" w:eastAsia="仿宋_GB2312" w:cs="仿宋_GB2312"/>
          <w:sz w:val="32"/>
          <w:szCs w:val="32"/>
          <w:lang w:val="zh-CN"/>
        </w:rPr>
        <w:t>使用商品为石斛，产地在安徽省霍山县境内，被告销售的侵权产品系</w:t>
      </w:r>
      <w:r>
        <w:rPr>
          <w:rFonts w:hint="eastAsia" w:ascii="仿宋_GB2312" w:hAnsi="宋体" w:eastAsia="仿宋_GB2312"/>
          <w:color w:val="000000"/>
          <w:kern w:val="0"/>
          <w:sz w:val="32"/>
          <w:szCs w:val="24"/>
        </w:rPr>
        <w:t>面条，提供的生产者经营场所位于安徽省六安市裕安区、经营项目不包含石斛，被告</w:t>
      </w:r>
      <w:r>
        <w:rPr>
          <w:rFonts w:hint="eastAsia" w:ascii="仿宋_GB2312" w:eastAsia="仿宋_GB2312"/>
          <w:sz w:val="32"/>
          <w:szCs w:val="32"/>
        </w:rPr>
        <w:t>儿时味道特产店</w:t>
      </w:r>
      <w:r>
        <w:rPr>
          <w:rFonts w:hint="eastAsia" w:ascii="仿宋_GB2312" w:hAnsi="宋体" w:eastAsia="仿宋_GB2312"/>
          <w:color w:val="000000"/>
          <w:kern w:val="0"/>
          <w:sz w:val="32"/>
          <w:szCs w:val="24"/>
        </w:rPr>
        <w:t>主张不是侵权主体、“不知道”销售侵权商标依据不足，</w:t>
      </w:r>
      <w:r>
        <w:rPr>
          <w:rFonts w:hint="eastAsia" w:ascii="仿宋_GB2312" w:eastAsia="仿宋_GB2312"/>
          <w:sz w:val="32"/>
          <w:szCs w:val="32"/>
        </w:rPr>
        <w:t>应对其侵权行为承担赔偿责任</w:t>
      </w:r>
      <w:r>
        <w:rPr>
          <w:rFonts w:hint="eastAsia" w:ascii="仿宋_GB2312" w:hAnsi="宋体" w:eastAsia="仿宋_GB2312"/>
          <w:color w:val="000000"/>
          <w:kern w:val="0"/>
          <w:sz w:val="32"/>
          <w:szCs w:val="24"/>
        </w:rPr>
        <w:t>。对于</w:t>
      </w:r>
      <w:r>
        <w:rPr>
          <w:rFonts w:hint="eastAsia" w:ascii="仿宋_GB2312" w:eastAsia="仿宋_GB2312"/>
          <w:sz w:val="32"/>
          <w:szCs w:val="32"/>
        </w:rPr>
        <w:t>赔偿数额，霍山石斛协会提交的证据不足以证明其因侵权受到的损失及儿时味道特产店的侵权获利情况，亦无可以参考的商标许可使用费，综合考虑涉案商标的知名度，儿时味道特产店及其网店经营规模及被诉侵权行为的具体情节，以及霍山石斛协会因制止侵权所支付的合理开支等因素，本院确定儿时味道特产店赔偿霍山石斛协会经济损失6000元。</w:t>
      </w:r>
    </w:p>
    <w:p>
      <w:pPr>
        <w:spacing w:line="580" w:lineRule="exact"/>
        <w:ind w:firstLine="640" w:firstLineChars="200"/>
        <w:rPr>
          <w:rFonts w:ascii="仿宋_GB2312" w:hAnsi="宋体" w:eastAsia="仿宋_GB2312" w:cs="仿宋_GB2312"/>
          <w:sz w:val="32"/>
          <w:szCs w:val="32"/>
        </w:rPr>
      </w:pPr>
      <w:r>
        <w:rPr>
          <w:rFonts w:hint="eastAsia" w:ascii="仿宋_GB2312" w:hAnsi="宋体" w:eastAsia="仿宋_GB2312"/>
          <w:color w:val="000000"/>
          <w:kern w:val="0"/>
          <w:sz w:val="32"/>
          <w:szCs w:val="24"/>
        </w:rPr>
        <w:t>关于焦点三，儿时味道特产店反诉要求</w:t>
      </w:r>
      <w:r>
        <w:rPr>
          <w:rFonts w:hint="eastAsia" w:ascii="仿宋_GB2312" w:hAnsi="宋体" w:eastAsia="仿宋_GB2312" w:cs="仿宋_GB2312"/>
          <w:sz w:val="32"/>
          <w:szCs w:val="32"/>
        </w:rPr>
        <w:t>霍山石斛协会赔偿损失，其提交的证据不足以证明发生了损害事实和损害结果，故对</w:t>
      </w:r>
      <w:r>
        <w:rPr>
          <w:rFonts w:hint="eastAsia" w:ascii="仿宋_GB2312" w:hAnsi="宋体" w:eastAsia="仿宋_GB2312"/>
          <w:color w:val="000000"/>
          <w:kern w:val="0"/>
          <w:sz w:val="32"/>
          <w:szCs w:val="24"/>
        </w:rPr>
        <w:t>儿时味道特产店的</w:t>
      </w:r>
      <w:r>
        <w:rPr>
          <w:rFonts w:hint="eastAsia" w:ascii="仿宋_GB2312" w:hAnsi="宋体" w:eastAsia="仿宋_GB2312" w:cs="仿宋_GB2312"/>
          <w:sz w:val="32"/>
          <w:szCs w:val="32"/>
        </w:rPr>
        <w:t>反诉请求不予支持。</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综上所述，对霍山石斛协会的部分诉讼请求，予以支持，对</w:t>
      </w:r>
      <w:r>
        <w:rPr>
          <w:rFonts w:hint="eastAsia" w:ascii="仿宋_GB2312" w:eastAsia="仿宋_GB2312" w:cs="仿宋_GB2312"/>
          <w:sz w:val="32"/>
          <w:szCs w:val="32"/>
        </w:rPr>
        <w:t>六安开发区儿时的味道特产店的反诉请求不予支持。</w:t>
      </w:r>
      <w:r>
        <w:rPr>
          <w:rFonts w:hint="eastAsia" w:ascii="仿宋_GB2312" w:eastAsia="仿宋_GB2312"/>
          <w:sz w:val="32"/>
          <w:szCs w:val="32"/>
        </w:rPr>
        <w:t>依照《中华人民共和国商标法》</w:t>
      </w:r>
      <w:r>
        <w:rPr>
          <w:rFonts w:ascii="仿宋_GB2312" w:eastAsia="仿宋_GB2312"/>
          <w:bCs/>
          <w:sz w:val="32"/>
          <w:szCs w:val="32"/>
        </w:rPr>
        <w:t>第十四条</w:t>
      </w:r>
      <w:r>
        <w:rPr>
          <w:rFonts w:hint="eastAsia" w:ascii="仿宋_GB2312" w:eastAsia="仿宋_GB2312"/>
          <w:bCs/>
          <w:sz w:val="32"/>
          <w:szCs w:val="32"/>
        </w:rPr>
        <w:t>、</w:t>
      </w:r>
      <w:r>
        <w:rPr>
          <w:rFonts w:hint="eastAsia" w:ascii="仿宋_GB2312" w:eastAsia="仿宋_GB2312"/>
          <w:sz w:val="32"/>
          <w:szCs w:val="32"/>
        </w:rPr>
        <w:t>第五十七条第三项、第六十三条第三款，《中华人民共和国反不正当竞争法》第六条第一项、第十七条第四款规定，判决如下：</w:t>
      </w:r>
    </w:p>
    <w:p>
      <w:pPr>
        <w:spacing w:line="580" w:lineRule="exact"/>
        <w:ind w:firstLine="672" w:firstLineChars="210"/>
        <w:rPr>
          <w:rFonts w:ascii="仿宋_GB2312" w:eastAsia="仿宋_GB2312"/>
          <w:sz w:val="32"/>
          <w:szCs w:val="32"/>
        </w:rPr>
      </w:pPr>
      <w:r>
        <w:rPr>
          <w:rFonts w:hint="eastAsia" w:ascii="仿宋_GB2312" w:eastAsia="仿宋_GB2312"/>
          <w:sz w:val="32"/>
          <w:szCs w:val="32"/>
        </w:rPr>
        <w:t>一、</w:t>
      </w:r>
      <w:r>
        <w:rPr>
          <w:rFonts w:hint="eastAsia" w:ascii="仿宋_GB2312" w:eastAsia="仿宋_GB2312" w:cs="仿宋_GB2312"/>
          <w:sz w:val="32"/>
          <w:szCs w:val="32"/>
        </w:rPr>
        <w:t>六安开发区儿时的味道特产店</w:t>
      </w:r>
      <w:r>
        <w:rPr>
          <w:rFonts w:hint="eastAsia" w:ascii="仿宋_GB2312" w:eastAsia="仿宋_GB2312"/>
          <w:sz w:val="32"/>
          <w:szCs w:val="32"/>
        </w:rPr>
        <w:t>自本判决书生效之日立即停止销售载有“霍山石斛”标志的商品，销毁“霍山石斛”标志产品的外包装；</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二、</w:t>
      </w:r>
      <w:r>
        <w:rPr>
          <w:rFonts w:hint="eastAsia" w:ascii="仿宋_GB2312" w:eastAsia="仿宋_GB2312" w:cs="仿宋_GB2312"/>
          <w:sz w:val="32"/>
          <w:szCs w:val="32"/>
        </w:rPr>
        <w:t>六安开发区儿时的味道特产店</w:t>
      </w:r>
      <w:r>
        <w:rPr>
          <w:rFonts w:hint="eastAsia" w:ascii="仿宋_GB2312" w:eastAsia="仿宋_GB2312"/>
          <w:sz w:val="32"/>
          <w:szCs w:val="32"/>
        </w:rPr>
        <w:t>自本判决书生效之日赔偿</w:t>
      </w:r>
      <w:r>
        <w:rPr>
          <w:rFonts w:hint="eastAsia" w:ascii="仿宋_GB2312" w:hAnsi="仿宋" w:eastAsia="仿宋_GB2312" w:cs="宋体"/>
          <w:bCs/>
          <w:sz w:val="32"/>
          <w:szCs w:val="32"/>
        </w:rPr>
        <w:t>霍山县霍山石斛产业协会经济损失及合理支出6000元；</w:t>
      </w:r>
      <w:r>
        <w:rPr>
          <w:rFonts w:hint="eastAsia" w:ascii="仿宋_GB2312" w:eastAsia="仿宋_GB2312"/>
          <w:sz w:val="32"/>
          <w:szCs w:val="32"/>
        </w:rPr>
        <w:t xml:space="preserve">    </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三、驳回</w:t>
      </w:r>
      <w:r>
        <w:rPr>
          <w:rFonts w:hint="eastAsia" w:ascii="仿宋_GB2312" w:hAnsi="仿宋" w:eastAsia="仿宋_GB2312" w:cs="宋体"/>
          <w:bCs/>
          <w:sz w:val="32"/>
          <w:szCs w:val="32"/>
        </w:rPr>
        <w:t>霍山县霍山石斛产业协会</w:t>
      </w:r>
      <w:r>
        <w:rPr>
          <w:rFonts w:hint="eastAsia" w:ascii="仿宋_GB2312" w:eastAsia="仿宋_GB2312"/>
          <w:sz w:val="32"/>
          <w:szCs w:val="32"/>
        </w:rPr>
        <w:t>的其他诉讼请求；</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四、驳回</w:t>
      </w:r>
      <w:r>
        <w:rPr>
          <w:rFonts w:hint="eastAsia" w:ascii="仿宋_GB2312" w:eastAsia="仿宋_GB2312" w:cs="仿宋_GB2312"/>
          <w:sz w:val="32"/>
          <w:szCs w:val="32"/>
        </w:rPr>
        <w:t>六安开发区儿时的味道特产的反诉请求。</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如果未按本判决指定的期间履行给付金钱义务，应当依照《中华人民共和国民事诉讼法》第二百六十条规定，加倍支付迟延履行期间的债务利息。</w:t>
      </w:r>
    </w:p>
    <w:p>
      <w:pPr>
        <w:spacing w:line="580" w:lineRule="exact"/>
        <w:ind w:firstLine="640" w:firstLineChars="200"/>
        <w:rPr>
          <w:rFonts w:ascii="仿宋_GB2312" w:eastAsia="仿宋_GB2312"/>
          <w:sz w:val="32"/>
          <w:szCs w:val="32"/>
        </w:rPr>
      </w:pPr>
      <w:r>
        <w:rPr>
          <w:rFonts w:hint="eastAsia" w:ascii="仿宋_GB2312" w:eastAsia="仿宋_GB2312"/>
          <w:sz w:val="32"/>
          <w:szCs w:val="32"/>
        </w:rPr>
        <w:t>案件受理费775元，由</w:t>
      </w:r>
      <w:r>
        <w:rPr>
          <w:rFonts w:hint="eastAsia" w:ascii="仿宋_GB2312" w:eastAsia="仿宋_GB2312" w:cs="仿宋_GB2312"/>
          <w:sz w:val="32"/>
          <w:szCs w:val="32"/>
        </w:rPr>
        <w:t>六安开发区儿时的味道特产店</w:t>
      </w:r>
      <w:r>
        <w:rPr>
          <w:rFonts w:hint="eastAsia" w:ascii="仿宋_GB2312" w:eastAsia="仿宋_GB2312"/>
          <w:sz w:val="32"/>
          <w:szCs w:val="32"/>
        </w:rPr>
        <w:t>负担。</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如不服本判决，可以在判决书送达之日起十五日内，向本院递交上诉状，并按照对方当事人或者代表人的人数提出副本，上诉于安徽省高级人民法院。</w:t>
      </w:r>
    </w:p>
    <w:p>
      <w:pPr>
        <w:spacing w:line="600" w:lineRule="exact"/>
        <w:ind w:right="1280"/>
        <w:rPr>
          <w:rFonts w:ascii="仿宋_GB2312" w:eastAsia="仿宋_GB2312"/>
          <w:sz w:val="32"/>
          <w:szCs w:val="32"/>
        </w:rPr>
      </w:pPr>
    </w:p>
    <w:p>
      <w:pPr>
        <w:spacing w:line="600" w:lineRule="exact"/>
        <w:ind w:right="640" w:firstLine="640" w:firstLineChars="200"/>
        <w:jc w:val="right"/>
        <w:rPr>
          <w:rFonts w:hint="eastAsia" w:ascii="仿宋_GB2312" w:eastAsia="仿宋_GB2312"/>
          <w:sz w:val="32"/>
          <w:szCs w:val="32"/>
        </w:rPr>
      </w:pPr>
    </w:p>
    <w:p>
      <w:pPr>
        <w:spacing w:line="600" w:lineRule="exact"/>
        <w:ind w:right="640" w:firstLine="640" w:firstLineChars="200"/>
        <w:jc w:val="right"/>
        <w:rPr>
          <w:rFonts w:ascii="仿宋_GB2312" w:eastAsia="仿宋_GB2312"/>
          <w:sz w:val="32"/>
          <w:szCs w:val="32"/>
        </w:rPr>
      </w:pPr>
    </w:p>
    <w:p>
      <w:pPr>
        <w:spacing w:line="600" w:lineRule="exact"/>
        <w:ind w:right="640" w:firstLine="640" w:firstLineChars="200"/>
        <w:jc w:val="right"/>
        <w:rPr>
          <w:rFonts w:ascii="仿宋_GB2312" w:eastAsia="仿宋_GB2312"/>
          <w:sz w:val="32"/>
          <w:szCs w:val="32"/>
        </w:rPr>
      </w:pPr>
      <w:r>
        <w:rPr>
          <w:rFonts w:hint="eastAsia" w:ascii="仿宋_GB2312" w:eastAsia="仿宋_GB2312"/>
          <w:sz w:val="32"/>
          <w:szCs w:val="32"/>
        </w:rPr>
        <w:t>审    判    长　  　高      华</w:t>
      </w:r>
    </w:p>
    <w:p>
      <w:pPr>
        <w:spacing w:line="600" w:lineRule="exact"/>
        <w:ind w:right="640" w:firstLine="640" w:firstLineChars="200"/>
        <w:jc w:val="right"/>
        <w:rPr>
          <w:rFonts w:ascii="仿宋_GB2312" w:eastAsia="仿宋_GB2312"/>
          <w:sz w:val="32"/>
          <w:szCs w:val="32"/>
        </w:rPr>
      </w:pPr>
      <w:r>
        <w:rPr>
          <w:rFonts w:hint="eastAsia" w:ascii="仿宋_GB2312" w:eastAsia="仿宋_GB2312"/>
          <w:sz w:val="32"/>
          <w:szCs w:val="32"/>
        </w:rPr>
        <w:t>审    判    员　  　魏      晋</w:t>
      </w:r>
    </w:p>
    <w:p>
      <w:pPr>
        <w:spacing w:line="600" w:lineRule="exact"/>
        <w:ind w:right="640" w:firstLine="640" w:firstLineChars="200"/>
        <w:jc w:val="right"/>
        <w:rPr>
          <w:rFonts w:ascii="仿宋_GB2312" w:eastAsia="仿宋_GB2312"/>
          <w:sz w:val="32"/>
          <w:szCs w:val="32"/>
        </w:rPr>
      </w:pPr>
      <w:r>
        <w:rPr>
          <w:rFonts w:hint="eastAsia" w:ascii="仿宋_GB2312" w:eastAsia="仿宋_GB2312"/>
          <w:sz w:val="32"/>
          <w:szCs w:val="32"/>
        </w:rPr>
        <w:t>审    判    员　　  卢  文  乐</w:t>
      </w:r>
    </w:p>
    <w:p>
      <w:pPr>
        <w:spacing w:line="600" w:lineRule="exact"/>
        <w:ind w:right="800" w:firstLine="640" w:firstLineChars="200"/>
        <w:jc w:val="center"/>
        <w:rPr>
          <w:rFonts w:ascii="仿宋_GB2312" w:eastAsia="仿宋_GB2312"/>
          <w:sz w:val="32"/>
          <w:szCs w:val="32"/>
        </w:rPr>
      </w:pPr>
      <w:r>
        <w:rPr>
          <w:rFonts w:hint="eastAsia" w:ascii="仿宋_GB2312" w:eastAsia="仿宋_GB2312"/>
          <w:sz w:val="32"/>
          <w:szCs w:val="32"/>
        </w:rPr>
        <w:t xml:space="preserve">               </w:t>
      </w:r>
    </w:p>
    <w:p>
      <w:pPr>
        <w:spacing w:line="600" w:lineRule="exact"/>
        <w:ind w:right="799" w:firstLine="640" w:firstLineChars="200"/>
        <w:jc w:val="center"/>
        <w:rPr>
          <w:rFonts w:ascii="仿宋_GB2312" w:eastAsia="仿宋_GB2312"/>
          <w:sz w:val="32"/>
          <w:szCs w:val="32"/>
        </w:rPr>
      </w:pPr>
      <w:r>
        <w:rPr>
          <w:rFonts w:hint="eastAsia" w:ascii="仿宋_GB2312" w:eastAsia="仿宋_GB2312"/>
          <w:sz w:val="32"/>
          <w:szCs w:val="32"/>
        </w:rPr>
        <w:t xml:space="preserve">                 </w:t>
      </w:r>
    </w:p>
    <w:p>
      <w:pPr>
        <w:spacing w:line="600" w:lineRule="exact"/>
        <w:ind w:right="800" w:firstLine="640" w:firstLineChars="200"/>
        <w:jc w:val="center"/>
        <w:rPr>
          <w:rFonts w:ascii="仿宋_GB2312" w:eastAsia="仿宋_GB2312"/>
          <w:sz w:val="32"/>
          <w:szCs w:val="32"/>
        </w:rPr>
      </w:pPr>
      <w:r>
        <w:rPr>
          <w:rFonts w:ascii="仿宋_GB2312" w:eastAsia="仿宋_GB2312"/>
          <w:sz w:val="32"/>
          <w:szCs w:val="32"/>
        </w:rPr>
        <w:pict>
          <v:shape id="_x0000_s1028" o:spid="_x0000_s1028" o:spt="201" type="#_x0000_t201" style="position:absolute;left:0pt;margin-left:296.4pt;margin-top:374.35pt;height:138pt;width:138pt;mso-position-horizontal-relative:page;mso-position-vertical-relative:page;z-index:-251655168;mso-width-relative:page;mso-height-relative:page;" o:ole="t" filled="f" stroked="f" coordsize="21600,21600">
            <v:path/>
            <v:fill on="f" focussize="0,0"/>
            <v:stroke on="f" joinstyle="miter"/>
            <v:imagedata r:id="rId6" o:title=""/>
            <o:lock v:ext="edit"/>
          </v:shape>
          <w:control r:id="rId5" w:name="SignatureCtrl2" w:shapeid="_x0000_s1028"/>
        </w:pict>
      </w:r>
      <w:r>
        <w:rPr>
          <w:rFonts w:ascii="仿宋_GB2312" w:eastAsia="仿宋_GB2312"/>
          <w:sz w:val="32"/>
          <w:szCs w:val="32"/>
        </w:rPr>
        <w:pict>
          <v:shape id="_x0000_s1027" o:spid="_x0000_s1027" o:spt="201" type="#_x0000_t201" style="position:absolute;left:0pt;margin-left:289.2pt;margin-top:464.35pt;height:0.6pt;width:0.6pt;mso-position-horizontal-relative:page;mso-position-vertical-relative:page;z-index:-251656192;mso-width-relative:page;mso-height-relative:page;" o:ole="t" filled="f" stroked="f" coordsize="21600,21600">
            <v:path/>
            <v:fill on="f" focussize="0,0"/>
            <v:stroke on="f" joinstyle="miter"/>
            <v:imagedata r:id="rId8" o:title=""/>
            <o:lock v:ext="edit"/>
          </v:shape>
          <w:control r:id="rId7" w:name="SignatureCtrl1" w:shapeid="_x0000_s1027"/>
        </w:pict>
      </w:r>
    </w:p>
    <w:p>
      <w:pPr>
        <w:spacing w:line="600" w:lineRule="exact"/>
        <w:ind w:right="800" w:firstLine="420" w:firstLineChars="200"/>
        <w:jc w:val="center"/>
        <w:rPr>
          <w:rFonts w:ascii="仿宋_GB2312" w:eastAsia="仿宋_GB2312"/>
          <w:sz w:val="32"/>
          <w:szCs w:val="32"/>
        </w:rPr>
      </w:pPr>
      <w:r>
        <w:drawing>
          <wp:anchor distT="0" distB="0" distL="114300" distR="114300" simplePos="0" relativeHeight="251659264" behindDoc="0" locked="0" layoutInCell="1" allowOverlap="1">
            <wp:simplePos x="0" y="0"/>
            <wp:positionH relativeFrom="column">
              <wp:posOffset>-260350</wp:posOffset>
            </wp:positionH>
            <wp:positionV relativeFrom="paragraph">
              <wp:posOffset>309245</wp:posOffset>
            </wp:positionV>
            <wp:extent cx="1981200" cy="434340"/>
            <wp:effectExtent l="19050" t="0" r="0" b="0"/>
            <wp:wrapNone/>
            <wp:docPr id="5" name="图片 2" descr="核对无异议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核对无异议章"/>
                    <pic:cNvPicPr>
                      <a:picLocks noChangeAspect="1" noChangeArrowheads="1"/>
                    </pic:cNvPicPr>
                  </pic:nvPicPr>
                  <pic:blipFill>
                    <a:blip r:embed="rId9" cstate="print"/>
                    <a:srcRect/>
                    <a:stretch>
                      <a:fillRect/>
                    </a:stretch>
                  </pic:blipFill>
                  <pic:spPr>
                    <a:xfrm>
                      <a:off x="0" y="0"/>
                      <a:ext cx="1981200" cy="434340"/>
                    </a:xfrm>
                    <a:prstGeom prst="rect">
                      <a:avLst/>
                    </a:prstGeom>
                    <a:noFill/>
                    <a:ln w="9525">
                      <a:noFill/>
                      <a:miter lim="800000"/>
                      <a:headEnd/>
                      <a:tailEnd/>
                    </a:ln>
                  </pic:spPr>
                </pic:pic>
              </a:graphicData>
            </a:graphic>
          </wp:anchor>
        </w:drawing>
      </w:r>
      <w:r>
        <w:rPr>
          <w:rFonts w:hint="eastAsia" w:ascii="仿宋_GB2312" w:eastAsia="仿宋_GB2312"/>
          <w:sz w:val="32"/>
          <w:szCs w:val="32"/>
        </w:rPr>
        <w:t xml:space="preserve">                  二</w:t>
      </w:r>
      <w:r>
        <w:rPr>
          <w:rFonts w:hint="eastAsia" w:ascii="仿宋_GB2312" w:hAnsi="宋体" w:eastAsia="仿宋_GB2312" w:cs="宋体"/>
          <w:sz w:val="32"/>
          <w:szCs w:val="32"/>
        </w:rPr>
        <w:t>○</w:t>
      </w:r>
      <w:r>
        <w:rPr>
          <w:rFonts w:hint="eastAsia" w:ascii="仿宋_GB2312" w:eastAsia="仿宋_GB2312"/>
          <w:sz w:val="32"/>
          <w:szCs w:val="32"/>
        </w:rPr>
        <w:t>二</w:t>
      </w:r>
      <w:r>
        <w:rPr>
          <w:rFonts w:hint="eastAsia" w:ascii="仿宋_GB2312" w:hAnsi="宋体" w:eastAsia="仿宋_GB2312" w:cs="宋体"/>
          <w:sz w:val="32"/>
          <w:szCs w:val="32"/>
        </w:rPr>
        <w:t>二</w:t>
      </w:r>
      <w:r>
        <w:rPr>
          <w:rFonts w:hint="eastAsia" w:ascii="仿宋_GB2312" w:eastAsia="仿宋_GB2312"/>
          <w:sz w:val="32"/>
          <w:szCs w:val="32"/>
        </w:rPr>
        <w:t>年十一月二十九日</w:t>
      </w:r>
    </w:p>
    <w:p>
      <w:pPr>
        <w:spacing w:line="600" w:lineRule="exact"/>
        <w:ind w:right="800" w:firstLine="640" w:firstLineChars="200"/>
        <w:jc w:val="center"/>
        <w:rPr>
          <w:rFonts w:ascii="仿宋_GB2312" w:eastAsia="仿宋_GB2312"/>
          <w:sz w:val="32"/>
          <w:szCs w:val="32"/>
        </w:rPr>
      </w:pPr>
    </w:p>
    <w:p>
      <w:pPr>
        <w:spacing w:line="600" w:lineRule="exact"/>
        <w:ind w:right="640"/>
        <w:jc w:val="right"/>
        <w:rPr>
          <w:rFonts w:ascii="仿宋_GB2312" w:eastAsia="仿宋_GB2312"/>
          <w:sz w:val="32"/>
          <w:szCs w:val="32"/>
        </w:rPr>
      </w:pPr>
      <w:r>
        <w:rPr>
          <w:rFonts w:hint="eastAsia" w:ascii="仿宋_GB2312" w:eastAsia="仿宋_GB2312"/>
          <w:sz w:val="32"/>
          <w:szCs w:val="32"/>
        </w:rPr>
        <w:t>法  官  助  理      施  媛  媛</w:t>
      </w:r>
    </w:p>
    <w:p>
      <w:pPr>
        <w:spacing w:line="600" w:lineRule="exact"/>
        <w:ind w:right="640"/>
        <w:jc w:val="right"/>
        <w:rPr>
          <w:rFonts w:ascii="仿宋_GB2312" w:eastAsia="仿宋_GB2312"/>
          <w:sz w:val="32"/>
          <w:szCs w:val="32"/>
        </w:rPr>
      </w:pPr>
      <w:r>
        <w:rPr>
          <w:rFonts w:hint="eastAsia" w:ascii="仿宋_GB2312" w:eastAsia="仿宋_GB2312"/>
          <w:sz w:val="32"/>
          <w:szCs w:val="32"/>
        </w:rPr>
        <w:t>书　  记  　员　  　</w:t>
      </w:r>
      <w:bookmarkStart w:id="0" w:name="15"/>
      <w:bookmarkEnd w:id="0"/>
      <w:r>
        <w:rPr>
          <w:rFonts w:hint="eastAsia" w:ascii="仿宋_GB2312" w:eastAsia="仿宋_GB2312"/>
          <w:sz w:val="32"/>
          <w:szCs w:val="32"/>
        </w:rPr>
        <w:t>刘      鑫</w:t>
      </w:r>
    </w:p>
    <w:p/>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ind w:firstLine="640" w:firstLineChars="200"/>
        <w:rPr>
          <w:rFonts w:ascii="仿宋_GB2312" w:eastAsia="仿宋_GB2312"/>
          <w:sz w:val="32"/>
          <w:szCs w:val="32"/>
        </w:rPr>
      </w:pPr>
    </w:p>
    <w:p>
      <w:pPr>
        <w:spacing w:line="600" w:lineRule="exact"/>
        <w:rPr>
          <w:rFonts w:hint="eastAsia" w:ascii="仿宋_GB2312" w:eastAsia="仿宋_GB2312"/>
          <w:sz w:val="32"/>
          <w:szCs w:val="32"/>
        </w:rPr>
      </w:pPr>
    </w:p>
    <w:p>
      <w:pPr>
        <w:spacing w:line="600" w:lineRule="exact"/>
        <w:rPr>
          <w:rFonts w:ascii="仿宋_GB2312" w:eastAsia="仿宋_GB2312"/>
          <w:sz w:val="32"/>
          <w:szCs w:val="32"/>
        </w:rPr>
      </w:pPr>
      <w:r>
        <w:rPr>
          <w:rFonts w:hint="eastAsia" w:ascii="仿宋_GB2312" w:eastAsia="仿宋_GB2312"/>
          <w:sz w:val="32"/>
          <w:szCs w:val="32"/>
        </w:rPr>
        <w:t>附：法律条文</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《中华人民共和国商标法》</w:t>
      </w:r>
    </w:p>
    <w:p>
      <w:pPr>
        <w:spacing w:line="600" w:lineRule="exact"/>
        <w:ind w:firstLine="640" w:firstLineChars="200"/>
        <w:rPr>
          <w:rFonts w:ascii="仿宋_GB2312" w:eastAsia="仿宋_GB2312"/>
          <w:sz w:val="32"/>
          <w:szCs w:val="32"/>
        </w:rPr>
      </w:pPr>
      <w:r>
        <w:rPr>
          <w:rFonts w:ascii="仿宋_GB2312" w:eastAsia="仿宋_GB2312"/>
          <w:bCs/>
          <w:sz w:val="32"/>
          <w:szCs w:val="32"/>
        </w:rPr>
        <w:t>第十四条</w:t>
      </w:r>
      <w:r>
        <w:rPr>
          <w:rFonts w:hint="eastAsia" w:ascii="仿宋_GB2312" w:eastAsia="仿宋_GB2312"/>
          <w:sz w:val="32"/>
          <w:szCs w:val="32"/>
        </w:rPr>
        <w:t>　驰名商标应当根据当事人的请求，作为处理涉及商标案件需要认定的事实进行认定。认定驰名商标应当考虑下列因素：</w:t>
      </w:r>
      <w:r>
        <w:rPr>
          <w:rFonts w:hint="eastAsia" w:ascii="仿宋_GB2312" w:eastAsia="仿宋_GB2312"/>
          <w:sz w:val="32"/>
          <w:szCs w:val="32"/>
        </w:rPr>
        <w:br w:type="textWrapping"/>
      </w:r>
      <w:r>
        <w:rPr>
          <w:rFonts w:hint="eastAsia" w:ascii="仿宋_GB2312" w:eastAsia="仿宋_GB2312"/>
          <w:sz w:val="32"/>
          <w:szCs w:val="32"/>
        </w:rPr>
        <w:t>　　（一）相关公众对该商标的知晓程度；</w:t>
      </w:r>
      <w:r>
        <w:rPr>
          <w:rFonts w:hint="eastAsia" w:ascii="仿宋_GB2312" w:eastAsia="仿宋_GB2312"/>
          <w:sz w:val="32"/>
          <w:szCs w:val="32"/>
        </w:rPr>
        <w:br w:type="textWrapping"/>
      </w:r>
      <w:r>
        <w:rPr>
          <w:rFonts w:hint="eastAsia" w:ascii="仿宋_GB2312" w:eastAsia="仿宋_GB2312"/>
          <w:sz w:val="32"/>
          <w:szCs w:val="32"/>
        </w:rPr>
        <w:t>　　（二）该商标使用的持续时间；</w:t>
      </w:r>
      <w:r>
        <w:rPr>
          <w:rFonts w:hint="eastAsia" w:ascii="仿宋_GB2312" w:eastAsia="仿宋_GB2312"/>
          <w:sz w:val="32"/>
          <w:szCs w:val="32"/>
        </w:rPr>
        <w:br w:type="textWrapping"/>
      </w:r>
      <w:r>
        <w:rPr>
          <w:rFonts w:hint="eastAsia" w:ascii="仿宋_GB2312" w:eastAsia="仿宋_GB2312"/>
          <w:sz w:val="32"/>
          <w:szCs w:val="32"/>
        </w:rPr>
        <w:t>　　（三）该商标的任何宣传工作的持续时间、程度和地理范围；</w:t>
      </w:r>
      <w:r>
        <w:rPr>
          <w:rFonts w:hint="eastAsia" w:ascii="仿宋_GB2312" w:eastAsia="仿宋_GB2312"/>
          <w:sz w:val="32"/>
          <w:szCs w:val="32"/>
        </w:rPr>
        <w:br w:type="textWrapping"/>
      </w:r>
      <w:r>
        <w:rPr>
          <w:rFonts w:hint="eastAsia" w:ascii="仿宋_GB2312" w:eastAsia="仿宋_GB2312"/>
          <w:sz w:val="32"/>
          <w:szCs w:val="32"/>
        </w:rPr>
        <w:t>　　（四）该商标作为驰名商标受保护的记录；</w:t>
      </w:r>
      <w:r>
        <w:rPr>
          <w:rFonts w:hint="eastAsia" w:ascii="仿宋_GB2312" w:eastAsia="仿宋_GB2312"/>
          <w:sz w:val="32"/>
          <w:szCs w:val="32"/>
        </w:rPr>
        <w:br w:type="textWrapping"/>
      </w:r>
      <w:r>
        <w:rPr>
          <w:rFonts w:hint="eastAsia" w:ascii="仿宋_GB2312" w:eastAsia="仿宋_GB2312"/>
          <w:sz w:val="32"/>
          <w:szCs w:val="32"/>
        </w:rPr>
        <w:t>　　（五）该商标驰名的其他因素。</w:t>
      </w:r>
      <w:r>
        <w:rPr>
          <w:rFonts w:hint="eastAsia" w:ascii="仿宋_GB2312" w:eastAsia="仿宋_GB2312"/>
          <w:sz w:val="32"/>
          <w:szCs w:val="32"/>
        </w:rPr>
        <w:br w:type="textWrapping"/>
      </w:r>
      <w:r>
        <w:rPr>
          <w:rFonts w:hint="eastAsia" w:ascii="仿宋_GB2312" w:eastAsia="仿宋_GB2312"/>
          <w:sz w:val="32"/>
          <w:szCs w:val="32"/>
        </w:rPr>
        <w:t>　　在商标注册审查、工商行政管理部门查处商标违法案件过程中，当事人依照本法第十三条规定主张权利的，商标局根据审查、处理案件的需要，可以对商标驰名情况作出认定。</w:t>
      </w:r>
      <w:r>
        <w:rPr>
          <w:rFonts w:hint="eastAsia" w:ascii="仿宋_GB2312" w:eastAsia="仿宋_GB2312"/>
          <w:sz w:val="32"/>
          <w:szCs w:val="32"/>
        </w:rPr>
        <w:br w:type="textWrapping"/>
      </w:r>
      <w:r>
        <w:rPr>
          <w:rFonts w:hint="eastAsia" w:ascii="仿宋_GB2312" w:eastAsia="仿宋_GB2312"/>
          <w:sz w:val="32"/>
          <w:szCs w:val="32"/>
        </w:rPr>
        <w:t>　　在商标争议处理过程中，当事人依照本法第十三条规定主张权利的，商标评审委员会根据处理案件的需要，可以对商标驰名情况作出认定。</w:t>
      </w:r>
      <w:r>
        <w:rPr>
          <w:rFonts w:hint="eastAsia" w:ascii="仿宋_GB2312" w:eastAsia="仿宋_GB2312"/>
          <w:sz w:val="32"/>
          <w:szCs w:val="32"/>
        </w:rPr>
        <w:br w:type="textWrapping"/>
      </w:r>
      <w:r>
        <w:rPr>
          <w:rFonts w:hint="eastAsia" w:ascii="仿宋_GB2312" w:eastAsia="仿宋_GB2312"/>
          <w:sz w:val="32"/>
          <w:szCs w:val="32"/>
        </w:rPr>
        <w:t>　　在商标民事、行政案件审理过程中，当事人依照本法第十三条规定主张权利的，最高人民法院指定的人民法院根据审理案件的需要，可以对商标驰名情况作出认定。</w:t>
      </w:r>
      <w:r>
        <w:rPr>
          <w:rFonts w:hint="eastAsia" w:ascii="仿宋_GB2312" w:eastAsia="仿宋_GB2312"/>
          <w:sz w:val="32"/>
          <w:szCs w:val="32"/>
        </w:rPr>
        <w:br w:type="textWrapping"/>
      </w:r>
      <w:r>
        <w:rPr>
          <w:rFonts w:hint="eastAsia" w:ascii="仿宋_GB2312" w:eastAsia="仿宋_GB2312"/>
          <w:sz w:val="32"/>
          <w:szCs w:val="32"/>
        </w:rPr>
        <w:t>　　生产、经营者不得将“驰名商标”字样用于商品、商品包装或者容器上，或者用于广告宣传、展览以及其他商业活动中。</w:t>
      </w:r>
    </w:p>
    <w:p>
      <w:pPr>
        <w:spacing w:line="600" w:lineRule="exact"/>
        <w:ind w:firstLine="640" w:firstLineChars="200"/>
        <w:rPr>
          <w:rFonts w:ascii="仿宋_GB2312" w:eastAsia="仿宋_GB2312"/>
          <w:sz w:val="32"/>
          <w:szCs w:val="32"/>
        </w:rPr>
      </w:pP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第五十七条  有下列行为之一的，均属侵犯注册商标专用权：</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（一）未经商标注册人的许可，在同一种商品上使用与其注册商标相同的商标的；</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（二）未经商标注册人的许可，在同一种商品上使用与其注册商标近似的商标，或者在类似商品上使用与其注册商标相同或者近似的商标，容易导致混淆的；</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（三）销售侵犯注册商标专用权的商品的；</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（四）伪造、擅自制造他人注册商标标识或者销售伪造、擅自制造的注册商标标识的；</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（五）未经商标注册人同意，更换其注册商标并将该更换商标的商品又投入市场的；</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（六）故意为侵犯他人商标专用权行为提供便利条件，帮助他人实施侵犯商标专用权行为的；</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（七）给他人的注册商标专用权造成其他损害的。</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第六十三条  侵犯商标专用权的赔偿数额，按照权利人因被侵权所受到的实际损失确定；实际损失难以确定的，可以按照侵权人因侵权所获得的利益确定；权利人的损失或者侵权人获得的利益难以确定的，参照该商标许可使用费的倍数合理确定。对恶意侵犯商标专用权，情节严重的，可以在按照上述方法确定数额的一倍以上五倍以下确定赔偿数额。赔偿数额应当包括权利人为制止侵权行为所支付的合理开支。</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人民法院为确定赔偿数额，在权利人已经尽力举证，而与侵权行为相关的账簿、资料主要由侵权人掌握的情况下，可以责令侵权人提供与侵权行为相关的账簿、资料的，人民法院可以参考权利人的主张和提供的证据判定赔偿数额。</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权利人因被侵权所受到的实际损失、侵权人因侵权所获得的利益、注册商标许可使用费难以确定的，由人民法院根据侵权行为的情节判决给予五百万元以下的赔偿。</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人民法院审理商标纠纷案件，应权利人请求，对属于假冒注册商标的商品，除特殊情况外，责令销毁；对主要用于制造假冒注册商标的商品的材料、工具，责令销毁，且不予补偿；或者在特殊情况下，责令禁止前述材料、工具进入商业渠道，且不予补偿。</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假冒注册商标的商品不得在仅去除假冒注册商标后进入商业渠道。</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《中华人民共和国反不正当竞争法》</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第六条  经营者不得实施下列混淆行为，引人误认为是他人商品或者与他人存在特定联系：</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（一）擅自使用与他人有一定影响的商品名称、包装、装潢等相同或者近似的标识；</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（二）擅自使用他人有一定影响的企业名称（包括简称、字号等）、社会组织名称（包括简称等）、姓名（包括笔名、艺名、译名等）；</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（三）擅自使用他人有一定影响的域名主体部分、网站名称、网页等；</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（四）其他足以引人误认为是他人商品或者与他人存在特定联系的混淆行为。</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第十七条  经营者违反本法规定，给他人造成损害的，应当依法承担民事责任。</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经营者的合法权益受到不正当竞争行为损害的，可以向人民法院提起诉讼。</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因不正当竞争行为受到损害的经营者的赔偿数额，按照其因被侵权所受到的实际损失确定；实际损失难以计算的，按照侵权人因侵权所获得的利益确定。经营者恶意实施侵犯商业秘密行为，情节严重的，可以在按照上述方法确定数额的一倍以上五倍以下确定赔偿数额。赔偿数额还应当包括经营者为制止侵权行为所支付的合理开支。</w:t>
      </w:r>
    </w:p>
    <w:p>
      <w:pPr>
        <w:spacing w:line="600" w:lineRule="exact"/>
        <w:ind w:right="-64" w:firstLine="640" w:firstLineChars="200"/>
        <w:rPr>
          <w:rFonts w:ascii="仿宋_GB2312" w:eastAsia="仿宋_GB2312"/>
          <w:sz w:val="32"/>
          <w:szCs w:val="32"/>
        </w:rPr>
      </w:pPr>
      <w:r>
        <w:rPr>
          <w:rFonts w:hint="eastAsia" w:ascii="仿宋_GB2312" w:eastAsia="仿宋_GB2312"/>
          <w:sz w:val="32"/>
          <w:szCs w:val="32"/>
        </w:rPr>
        <w:t>经营者违反本法第六条、第九条规定，权利人因被侵权所受到的实际损失、侵权人因侵权所获得的利益难以确定的，由人民法院根据侵权行为的情节判决给予权利人五百万元以下的赔偿。</w:t>
      </w:r>
    </w:p>
    <w:p>
      <w:pPr>
        <w:spacing w:line="600" w:lineRule="exact"/>
        <w:ind w:firstLine="640" w:firstLineChars="200"/>
        <w:rPr>
          <w:rFonts w:ascii="仿宋_GB2312" w:hAnsi="宋体" w:eastAsia="仿宋_GB2312"/>
          <w:color w:val="000000"/>
          <w:kern w:val="0"/>
          <w:sz w:val="32"/>
          <w:szCs w:val="24"/>
        </w:rPr>
      </w:pPr>
    </w:p>
    <w:p>
      <w:pPr>
        <w:spacing w:line="580" w:lineRule="exact"/>
        <w:ind w:firstLine="420" w:firstLineChars="200"/>
      </w:pPr>
    </w:p>
    <w:p>
      <w:pPr>
        <w:ind w:firstLine="602" w:firstLineChars="200"/>
        <w:rPr>
          <w:rFonts w:ascii="仿宋" w:hAnsi="仿宋" w:eastAsia="仿宋"/>
          <w:b/>
          <w:sz w:val="30"/>
          <w:szCs w:val="30"/>
        </w:rPr>
      </w:pPr>
    </w:p>
    <w:p>
      <w:pPr>
        <w:rPr>
          <w:rFonts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g0ODVjMDZkMGU1MTFiZDUzNGNiYzYwMTA0MzRiMmQifQ=="/>
  </w:docVars>
  <w:rsids>
    <w:rsidRoot w:val="001348BA"/>
    <w:rsid w:val="00001AAB"/>
    <w:rsid w:val="00005025"/>
    <w:rsid w:val="00005A26"/>
    <w:rsid w:val="000117D6"/>
    <w:rsid w:val="00011EBC"/>
    <w:rsid w:val="0001318B"/>
    <w:rsid w:val="00015595"/>
    <w:rsid w:val="0002229E"/>
    <w:rsid w:val="00031067"/>
    <w:rsid w:val="000332E5"/>
    <w:rsid w:val="00037B74"/>
    <w:rsid w:val="00041D61"/>
    <w:rsid w:val="00046356"/>
    <w:rsid w:val="0004788D"/>
    <w:rsid w:val="000624CA"/>
    <w:rsid w:val="00062E5C"/>
    <w:rsid w:val="0006684E"/>
    <w:rsid w:val="00072E8F"/>
    <w:rsid w:val="00073CC8"/>
    <w:rsid w:val="00074F5C"/>
    <w:rsid w:val="00080CB6"/>
    <w:rsid w:val="00082B57"/>
    <w:rsid w:val="00085700"/>
    <w:rsid w:val="00093714"/>
    <w:rsid w:val="000A3896"/>
    <w:rsid w:val="000C08FA"/>
    <w:rsid w:val="000C3A89"/>
    <w:rsid w:val="000C68D8"/>
    <w:rsid w:val="000D2E94"/>
    <w:rsid w:val="000D5801"/>
    <w:rsid w:val="00104703"/>
    <w:rsid w:val="001140A8"/>
    <w:rsid w:val="00122782"/>
    <w:rsid w:val="001246EA"/>
    <w:rsid w:val="00126CB1"/>
    <w:rsid w:val="001348BA"/>
    <w:rsid w:val="00150B1E"/>
    <w:rsid w:val="001515D5"/>
    <w:rsid w:val="00155E0E"/>
    <w:rsid w:val="00162260"/>
    <w:rsid w:val="00162A61"/>
    <w:rsid w:val="001707FF"/>
    <w:rsid w:val="001709B5"/>
    <w:rsid w:val="00172794"/>
    <w:rsid w:val="001765C4"/>
    <w:rsid w:val="0017788F"/>
    <w:rsid w:val="00184872"/>
    <w:rsid w:val="001923BF"/>
    <w:rsid w:val="001A5AF7"/>
    <w:rsid w:val="001A63B3"/>
    <w:rsid w:val="001C56BE"/>
    <w:rsid w:val="001C7116"/>
    <w:rsid w:val="001C7D54"/>
    <w:rsid w:val="001D0310"/>
    <w:rsid w:val="001D25DA"/>
    <w:rsid w:val="001D60C5"/>
    <w:rsid w:val="001D62DD"/>
    <w:rsid w:val="001D7A06"/>
    <w:rsid w:val="001E6738"/>
    <w:rsid w:val="001E7C9B"/>
    <w:rsid w:val="001F525E"/>
    <w:rsid w:val="001F62FC"/>
    <w:rsid w:val="001F7C8C"/>
    <w:rsid w:val="002011A9"/>
    <w:rsid w:val="002023DD"/>
    <w:rsid w:val="002107F3"/>
    <w:rsid w:val="00211B89"/>
    <w:rsid w:val="00211CF9"/>
    <w:rsid w:val="00217295"/>
    <w:rsid w:val="00230E9A"/>
    <w:rsid w:val="00241116"/>
    <w:rsid w:val="00241BC7"/>
    <w:rsid w:val="00243E37"/>
    <w:rsid w:val="0024415C"/>
    <w:rsid w:val="002572D4"/>
    <w:rsid w:val="002573D8"/>
    <w:rsid w:val="002578A6"/>
    <w:rsid w:val="00263806"/>
    <w:rsid w:val="00286DF7"/>
    <w:rsid w:val="00294B68"/>
    <w:rsid w:val="002A51E5"/>
    <w:rsid w:val="002D1553"/>
    <w:rsid w:val="002E308B"/>
    <w:rsid w:val="002E473E"/>
    <w:rsid w:val="002F2031"/>
    <w:rsid w:val="002F369F"/>
    <w:rsid w:val="002F72A9"/>
    <w:rsid w:val="0030386D"/>
    <w:rsid w:val="00303BFE"/>
    <w:rsid w:val="0030673B"/>
    <w:rsid w:val="003100B0"/>
    <w:rsid w:val="003119BF"/>
    <w:rsid w:val="00316CC7"/>
    <w:rsid w:val="003307D2"/>
    <w:rsid w:val="00332690"/>
    <w:rsid w:val="00336DEC"/>
    <w:rsid w:val="00343476"/>
    <w:rsid w:val="00351AB9"/>
    <w:rsid w:val="00360A7F"/>
    <w:rsid w:val="0037068A"/>
    <w:rsid w:val="00370843"/>
    <w:rsid w:val="003744A6"/>
    <w:rsid w:val="00392103"/>
    <w:rsid w:val="00393A52"/>
    <w:rsid w:val="003941B0"/>
    <w:rsid w:val="003A0B01"/>
    <w:rsid w:val="003A10F4"/>
    <w:rsid w:val="003A2A78"/>
    <w:rsid w:val="003B10F8"/>
    <w:rsid w:val="003C0573"/>
    <w:rsid w:val="003D210F"/>
    <w:rsid w:val="003D36A2"/>
    <w:rsid w:val="003D725C"/>
    <w:rsid w:val="003E20DD"/>
    <w:rsid w:val="003E261C"/>
    <w:rsid w:val="003E5223"/>
    <w:rsid w:val="00405CA0"/>
    <w:rsid w:val="00405E05"/>
    <w:rsid w:val="004121C4"/>
    <w:rsid w:val="004123F0"/>
    <w:rsid w:val="00423F12"/>
    <w:rsid w:val="00425F38"/>
    <w:rsid w:val="00440265"/>
    <w:rsid w:val="00461E09"/>
    <w:rsid w:val="004668BA"/>
    <w:rsid w:val="00473DA4"/>
    <w:rsid w:val="00484557"/>
    <w:rsid w:val="00485E4A"/>
    <w:rsid w:val="004951D5"/>
    <w:rsid w:val="004962EF"/>
    <w:rsid w:val="004A0DF9"/>
    <w:rsid w:val="004A1FDB"/>
    <w:rsid w:val="004A3390"/>
    <w:rsid w:val="004A7FC4"/>
    <w:rsid w:val="004B00FD"/>
    <w:rsid w:val="004C23C0"/>
    <w:rsid w:val="004C249C"/>
    <w:rsid w:val="004D005E"/>
    <w:rsid w:val="004D7ADA"/>
    <w:rsid w:val="004E4436"/>
    <w:rsid w:val="004E4848"/>
    <w:rsid w:val="004E5475"/>
    <w:rsid w:val="00516628"/>
    <w:rsid w:val="00526B72"/>
    <w:rsid w:val="005438CD"/>
    <w:rsid w:val="00546D21"/>
    <w:rsid w:val="00555BCF"/>
    <w:rsid w:val="005634A8"/>
    <w:rsid w:val="0056480E"/>
    <w:rsid w:val="00570F73"/>
    <w:rsid w:val="00573BA0"/>
    <w:rsid w:val="005825BD"/>
    <w:rsid w:val="00587992"/>
    <w:rsid w:val="005A1B83"/>
    <w:rsid w:val="005B5852"/>
    <w:rsid w:val="005B67A0"/>
    <w:rsid w:val="005B721E"/>
    <w:rsid w:val="005C07B4"/>
    <w:rsid w:val="005D06C8"/>
    <w:rsid w:val="005D6DE4"/>
    <w:rsid w:val="005E25EE"/>
    <w:rsid w:val="00601F89"/>
    <w:rsid w:val="00610998"/>
    <w:rsid w:val="00627763"/>
    <w:rsid w:val="00634C77"/>
    <w:rsid w:val="00634D7E"/>
    <w:rsid w:val="00640F57"/>
    <w:rsid w:val="00650811"/>
    <w:rsid w:val="006564B5"/>
    <w:rsid w:val="0066400C"/>
    <w:rsid w:val="0066595D"/>
    <w:rsid w:val="0066780F"/>
    <w:rsid w:val="0067222A"/>
    <w:rsid w:val="006739E5"/>
    <w:rsid w:val="00673F72"/>
    <w:rsid w:val="0067649A"/>
    <w:rsid w:val="00676A6C"/>
    <w:rsid w:val="00685BFF"/>
    <w:rsid w:val="006936BF"/>
    <w:rsid w:val="00697D32"/>
    <w:rsid w:val="006A120B"/>
    <w:rsid w:val="006A1384"/>
    <w:rsid w:val="006A1A74"/>
    <w:rsid w:val="006A1D3E"/>
    <w:rsid w:val="006A2A52"/>
    <w:rsid w:val="006A3969"/>
    <w:rsid w:val="006A3A42"/>
    <w:rsid w:val="006B1254"/>
    <w:rsid w:val="006D4E97"/>
    <w:rsid w:val="006E6E34"/>
    <w:rsid w:val="006E7112"/>
    <w:rsid w:val="006F1CE1"/>
    <w:rsid w:val="006F7C2E"/>
    <w:rsid w:val="00700429"/>
    <w:rsid w:val="00700BE2"/>
    <w:rsid w:val="007056E0"/>
    <w:rsid w:val="00711290"/>
    <w:rsid w:val="00713F9F"/>
    <w:rsid w:val="007163AD"/>
    <w:rsid w:val="00722004"/>
    <w:rsid w:val="00724055"/>
    <w:rsid w:val="00724213"/>
    <w:rsid w:val="007271EC"/>
    <w:rsid w:val="00734B12"/>
    <w:rsid w:val="00737566"/>
    <w:rsid w:val="0074308D"/>
    <w:rsid w:val="007452F3"/>
    <w:rsid w:val="0075269A"/>
    <w:rsid w:val="00761E1B"/>
    <w:rsid w:val="00773B48"/>
    <w:rsid w:val="00781B62"/>
    <w:rsid w:val="0078585B"/>
    <w:rsid w:val="0079718C"/>
    <w:rsid w:val="007B1504"/>
    <w:rsid w:val="007C3B27"/>
    <w:rsid w:val="007C636A"/>
    <w:rsid w:val="007D1586"/>
    <w:rsid w:val="007E1B70"/>
    <w:rsid w:val="007E2FF3"/>
    <w:rsid w:val="007E57AD"/>
    <w:rsid w:val="007E5E08"/>
    <w:rsid w:val="007F2E63"/>
    <w:rsid w:val="007F7661"/>
    <w:rsid w:val="00800D84"/>
    <w:rsid w:val="008163DF"/>
    <w:rsid w:val="0082165E"/>
    <w:rsid w:val="00830660"/>
    <w:rsid w:val="00835437"/>
    <w:rsid w:val="008357BE"/>
    <w:rsid w:val="008507A8"/>
    <w:rsid w:val="008552F1"/>
    <w:rsid w:val="00857DED"/>
    <w:rsid w:val="008604DD"/>
    <w:rsid w:val="008608C2"/>
    <w:rsid w:val="00862241"/>
    <w:rsid w:val="008704A4"/>
    <w:rsid w:val="00876516"/>
    <w:rsid w:val="0088412D"/>
    <w:rsid w:val="00884298"/>
    <w:rsid w:val="00891773"/>
    <w:rsid w:val="00893000"/>
    <w:rsid w:val="00893A89"/>
    <w:rsid w:val="008950A1"/>
    <w:rsid w:val="0089544D"/>
    <w:rsid w:val="00897897"/>
    <w:rsid w:val="008A0C1C"/>
    <w:rsid w:val="008A5A9B"/>
    <w:rsid w:val="008A669B"/>
    <w:rsid w:val="008A6962"/>
    <w:rsid w:val="008B73BA"/>
    <w:rsid w:val="008D07DD"/>
    <w:rsid w:val="008D789C"/>
    <w:rsid w:val="008E13AF"/>
    <w:rsid w:val="008E476D"/>
    <w:rsid w:val="008F3B59"/>
    <w:rsid w:val="00904A65"/>
    <w:rsid w:val="009115B1"/>
    <w:rsid w:val="0091486B"/>
    <w:rsid w:val="00916D4F"/>
    <w:rsid w:val="0092485D"/>
    <w:rsid w:val="00930304"/>
    <w:rsid w:val="0093278E"/>
    <w:rsid w:val="00934B97"/>
    <w:rsid w:val="00935619"/>
    <w:rsid w:val="009359A6"/>
    <w:rsid w:val="009367B6"/>
    <w:rsid w:val="00953EAB"/>
    <w:rsid w:val="00955017"/>
    <w:rsid w:val="00961BD2"/>
    <w:rsid w:val="00966436"/>
    <w:rsid w:val="00970D11"/>
    <w:rsid w:val="00970D7A"/>
    <w:rsid w:val="00971A7B"/>
    <w:rsid w:val="009750D1"/>
    <w:rsid w:val="00983E2B"/>
    <w:rsid w:val="009870A1"/>
    <w:rsid w:val="00997AF1"/>
    <w:rsid w:val="009A7255"/>
    <w:rsid w:val="009C4032"/>
    <w:rsid w:val="009C5925"/>
    <w:rsid w:val="009C6019"/>
    <w:rsid w:val="009D26A8"/>
    <w:rsid w:val="009D2CB9"/>
    <w:rsid w:val="009D4AFA"/>
    <w:rsid w:val="009D6507"/>
    <w:rsid w:val="009D798B"/>
    <w:rsid w:val="009D7B0E"/>
    <w:rsid w:val="009E1165"/>
    <w:rsid w:val="009F0043"/>
    <w:rsid w:val="009F06A4"/>
    <w:rsid w:val="00A01FDF"/>
    <w:rsid w:val="00A03BB0"/>
    <w:rsid w:val="00A03C38"/>
    <w:rsid w:val="00A120E3"/>
    <w:rsid w:val="00A225A7"/>
    <w:rsid w:val="00A22A20"/>
    <w:rsid w:val="00A23C77"/>
    <w:rsid w:val="00A23F82"/>
    <w:rsid w:val="00A272C0"/>
    <w:rsid w:val="00A33A4C"/>
    <w:rsid w:val="00A37AC5"/>
    <w:rsid w:val="00A46639"/>
    <w:rsid w:val="00A46C9C"/>
    <w:rsid w:val="00A52D33"/>
    <w:rsid w:val="00A53A26"/>
    <w:rsid w:val="00A5403F"/>
    <w:rsid w:val="00A553AF"/>
    <w:rsid w:val="00A576A8"/>
    <w:rsid w:val="00A611D6"/>
    <w:rsid w:val="00A61A04"/>
    <w:rsid w:val="00A64FD2"/>
    <w:rsid w:val="00A65B07"/>
    <w:rsid w:val="00A65FDC"/>
    <w:rsid w:val="00A705C3"/>
    <w:rsid w:val="00A70B39"/>
    <w:rsid w:val="00A73464"/>
    <w:rsid w:val="00A73AEA"/>
    <w:rsid w:val="00A773CF"/>
    <w:rsid w:val="00A77A6E"/>
    <w:rsid w:val="00A823C2"/>
    <w:rsid w:val="00A8265C"/>
    <w:rsid w:val="00A82F0F"/>
    <w:rsid w:val="00A974B2"/>
    <w:rsid w:val="00AA033F"/>
    <w:rsid w:val="00AA3357"/>
    <w:rsid w:val="00AA3514"/>
    <w:rsid w:val="00AB26E3"/>
    <w:rsid w:val="00AB2B66"/>
    <w:rsid w:val="00AB46A4"/>
    <w:rsid w:val="00AC42E0"/>
    <w:rsid w:val="00AD054B"/>
    <w:rsid w:val="00AD4DD6"/>
    <w:rsid w:val="00AE0C1F"/>
    <w:rsid w:val="00AE4B1B"/>
    <w:rsid w:val="00AF00AC"/>
    <w:rsid w:val="00AF2C5B"/>
    <w:rsid w:val="00B0635E"/>
    <w:rsid w:val="00B1404A"/>
    <w:rsid w:val="00B14395"/>
    <w:rsid w:val="00B200E4"/>
    <w:rsid w:val="00B20333"/>
    <w:rsid w:val="00B32D5C"/>
    <w:rsid w:val="00B43252"/>
    <w:rsid w:val="00B4375F"/>
    <w:rsid w:val="00B515E2"/>
    <w:rsid w:val="00B730C3"/>
    <w:rsid w:val="00B81633"/>
    <w:rsid w:val="00B86A6D"/>
    <w:rsid w:val="00B90F30"/>
    <w:rsid w:val="00B9673B"/>
    <w:rsid w:val="00BA0F38"/>
    <w:rsid w:val="00BA641F"/>
    <w:rsid w:val="00BA759A"/>
    <w:rsid w:val="00BB1153"/>
    <w:rsid w:val="00BB1B3C"/>
    <w:rsid w:val="00BB763D"/>
    <w:rsid w:val="00BC3B7C"/>
    <w:rsid w:val="00BC43A3"/>
    <w:rsid w:val="00BC542D"/>
    <w:rsid w:val="00BC7877"/>
    <w:rsid w:val="00BD1007"/>
    <w:rsid w:val="00BD25ED"/>
    <w:rsid w:val="00BD3CCE"/>
    <w:rsid w:val="00BD7239"/>
    <w:rsid w:val="00BE260A"/>
    <w:rsid w:val="00BE2970"/>
    <w:rsid w:val="00BE6EB2"/>
    <w:rsid w:val="00C01B92"/>
    <w:rsid w:val="00C147DF"/>
    <w:rsid w:val="00C15216"/>
    <w:rsid w:val="00C21800"/>
    <w:rsid w:val="00C21C1D"/>
    <w:rsid w:val="00C2453C"/>
    <w:rsid w:val="00C36363"/>
    <w:rsid w:val="00C434BD"/>
    <w:rsid w:val="00C52B67"/>
    <w:rsid w:val="00C54AE8"/>
    <w:rsid w:val="00C55995"/>
    <w:rsid w:val="00C56157"/>
    <w:rsid w:val="00C57F6A"/>
    <w:rsid w:val="00C6662B"/>
    <w:rsid w:val="00C719AA"/>
    <w:rsid w:val="00C74A43"/>
    <w:rsid w:val="00C85757"/>
    <w:rsid w:val="00CA17C0"/>
    <w:rsid w:val="00CA27C4"/>
    <w:rsid w:val="00CA3E00"/>
    <w:rsid w:val="00CA7ABB"/>
    <w:rsid w:val="00CC3F07"/>
    <w:rsid w:val="00CD50B2"/>
    <w:rsid w:val="00CD5767"/>
    <w:rsid w:val="00CD7373"/>
    <w:rsid w:val="00CE2096"/>
    <w:rsid w:val="00CF1059"/>
    <w:rsid w:val="00CF215D"/>
    <w:rsid w:val="00CF59C0"/>
    <w:rsid w:val="00CF5BCC"/>
    <w:rsid w:val="00D00468"/>
    <w:rsid w:val="00D12558"/>
    <w:rsid w:val="00D12C06"/>
    <w:rsid w:val="00D136E7"/>
    <w:rsid w:val="00D15A25"/>
    <w:rsid w:val="00D24810"/>
    <w:rsid w:val="00D2544B"/>
    <w:rsid w:val="00D26B60"/>
    <w:rsid w:val="00D27EA7"/>
    <w:rsid w:val="00D3140F"/>
    <w:rsid w:val="00D5564B"/>
    <w:rsid w:val="00D614F4"/>
    <w:rsid w:val="00D63B13"/>
    <w:rsid w:val="00D74A2B"/>
    <w:rsid w:val="00DA0DB6"/>
    <w:rsid w:val="00DA286B"/>
    <w:rsid w:val="00DA3950"/>
    <w:rsid w:val="00DB0518"/>
    <w:rsid w:val="00DB40E2"/>
    <w:rsid w:val="00DB688C"/>
    <w:rsid w:val="00DF2DCD"/>
    <w:rsid w:val="00DF5FAB"/>
    <w:rsid w:val="00E01AAB"/>
    <w:rsid w:val="00E1651A"/>
    <w:rsid w:val="00E209F0"/>
    <w:rsid w:val="00E2260D"/>
    <w:rsid w:val="00E226B9"/>
    <w:rsid w:val="00E27628"/>
    <w:rsid w:val="00E40D86"/>
    <w:rsid w:val="00E44A1B"/>
    <w:rsid w:val="00E57EFF"/>
    <w:rsid w:val="00E57F37"/>
    <w:rsid w:val="00E6676F"/>
    <w:rsid w:val="00E708FE"/>
    <w:rsid w:val="00E73CEC"/>
    <w:rsid w:val="00E8301F"/>
    <w:rsid w:val="00E84C38"/>
    <w:rsid w:val="00E860EF"/>
    <w:rsid w:val="00E87CE6"/>
    <w:rsid w:val="00E91C2E"/>
    <w:rsid w:val="00E92CE9"/>
    <w:rsid w:val="00EA6BBF"/>
    <w:rsid w:val="00EB24F6"/>
    <w:rsid w:val="00EB7DA5"/>
    <w:rsid w:val="00ED582A"/>
    <w:rsid w:val="00EE48AD"/>
    <w:rsid w:val="00EF10C7"/>
    <w:rsid w:val="00EF2414"/>
    <w:rsid w:val="00EF31C7"/>
    <w:rsid w:val="00EF3467"/>
    <w:rsid w:val="00EF7CF9"/>
    <w:rsid w:val="00EF7E37"/>
    <w:rsid w:val="00F00BF9"/>
    <w:rsid w:val="00F178B9"/>
    <w:rsid w:val="00F21E2B"/>
    <w:rsid w:val="00F2566F"/>
    <w:rsid w:val="00F32432"/>
    <w:rsid w:val="00F359FA"/>
    <w:rsid w:val="00F36C75"/>
    <w:rsid w:val="00F42D09"/>
    <w:rsid w:val="00F439AA"/>
    <w:rsid w:val="00F540D3"/>
    <w:rsid w:val="00F55932"/>
    <w:rsid w:val="00F64714"/>
    <w:rsid w:val="00F817E3"/>
    <w:rsid w:val="00FA0397"/>
    <w:rsid w:val="00FA1A25"/>
    <w:rsid w:val="00FB12C8"/>
    <w:rsid w:val="00FB2A2F"/>
    <w:rsid w:val="00FB3D15"/>
    <w:rsid w:val="00FB7F03"/>
    <w:rsid w:val="00FC07D1"/>
    <w:rsid w:val="00FE175E"/>
    <w:rsid w:val="00FE1E20"/>
    <w:rsid w:val="00FE364D"/>
    <w:rsid w:val="00FE6EF9"/>
    <w:rsid w:val="00FF014B"/>
    <w:rsid w:val="449E741F"/>
    <w:rsid w:val="DCFBE8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7"/>
    <w:semiHidden/>
    <w:unhideWhenUsed/>
    <w:qFormat/>
    <w:uiPriority w:val="99"/>
    <w:rPr>
      <w:sz w:val="18"/>
      <w:szCs w:val="18"/>
    </w:r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批注框文本 Char"/>
    <w:basedOn w:val="6"/>
    <w:link w:val="2"/>
    <w:semiHidden/>
    <w:qFormat/>
    <w:uiPriority w:val="99"/>
    <w:rPr>
      <w:sz w:val="18"/>
      <w:szCs w:val="18"/>
    </w:rPr>
  </w:style>
  <w:style w:type="character" w:customStyle="1" w:styleId="8">
    <w:name w:val="页眉 Char"/>
    <w:basedOn w:val="6"/>
    <w:link w:val="4"/>
    <w:semiHidden/>
    <w:qFormat/>
    <w:uiPriority w:val="99"/>
    <w:rPr>
      <w:sz w:val="18"/>
      <w:szCs w:val="18"/>
    </w:rPr>
  </w:style>
  <w:style w:type="character" w:customStyle="1" w:styleId="9">
    <w:name w:val="页脚 Char"/>
    <w:basedOn w:val="6"/>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wmf"/><Relationship Id="rId7" Type="http://schemas.openxmlformats.org/officeDocument/2006/relationships/control" Target="activeX/activeX2.xml"/><Relationship Id="rId6" Type="http://schemas.openxmlformats.org/officeDocument/2006/relationships/image" Target="media/image2.png"/><Relationship Id="rId5" Type="http://schemas.openxmlformats.org/officeDocument/2006/relationships/control" Target="activeX/activeX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activeX/activeX2.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15</Pages>
  <Words>7249</Words>
  <Characters>7514</Characters>
  <Lines>90</Lines>
  <Paragraphs>25</Paragraphs>
  <TotalTime>88</TotalTime>
  <ScaleCrop>false</ScaleCrop>
  <LinksUpToDate>false</LinksUpToDate>
  <CharactersWithSpaces>7681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2023-01-20T08:49:00Z</dcterms:created>
  <dc:creator>施媛媛</dc:creator>
  <cp:lastModifiedBy>腹肌猴</cp:lastModifiedBy>
  <dcterms:modified xsi:type="dcterms:W3CDTF">2023-04-20T09:11:12Z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E35FCFE95570481188D917743AD75067_12</vt:lpwstr>
  </property>
</Properties>
</file>