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江西省景德镇市中级人民法院</w:t>
      </w:r>
    </w:p>
    <w:p>
      <w:pPr>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民事判决书</w:t>
      </w:r>
    </w:p>
    <w:p>
      <w:pPr>
        <w:keepNext w:val="0"/>
        <w:keepLines w:val="0"/>
        <w:pageBreakBefore w:val="0"/>
        <w:widowControl w:val="0"/>
        <w:kinsoku/>
        <w:wordWrap/>
        <w:overflowPunct/>
        <w:topLinePunct w:val="0"/>
        <w:autoSpaceDE/>
        <w:autoSpaceDN/>
        <w:bidi w:val="0"/>
        <w:adjustRightInd/>
        <w:snapToGrid/>
        <w:spacing w:before="157" w:beforeLines="50" w:after="157" w:afterLines="50"/>
        <w:ind w:right="420" w:rightChars="200"/>
        <w:jc w:val="righ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2022</w:t>
      </w:r>
      <w:r>
        <w:rPr>
          <w:rFonts w:hint="eastAsia" w:ascii="仿宋" w:hAnsi="仿宋" w:eastAsia="仿宋" w:cs="仿宋"/>
          <w:sz w:val="32"/>
          <w:szCs w:val="32"/>
          <w:lang w:eastAsia="zh-CN"/>
        </w:rPr>
        <w:t>）赣</w:t>
      </w:r>
      <w:r>
        <w:rPr>
          <w:rFonts w:hint="eastAsia" w:ascii="仿宋" w:hAnsi="仿宋" w:eastAsia="仿宋" w:cs="仿宋"/>
          <w:sz w:val="32"/>
          <w:szCs w:val="32"/>
          <w:lang w:val="en-US" w:eastAsia="zh-CN"/>
        </w:rPr>
        <w:t>02民初120号</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sz w:val="32"/>
          <w:szCs w:val="32"/>
        </w:rPr>
      </w:pPr>
      <w:r>
        <w:rPr>
          <w:rFonts w:hint="eastAsia" w:ascii="仿宋" w:hAnsi="仿宋" w:eastAsia="仿宋"/>
          <w:sz w:val="32"/>
          <w:szCs w:val="32"/>
        </w:rPr>
        <w:t>原告：</w:t>
      </w:r>
      <w:r>
        <w:rPr>
          <w:rFonts w:hint="eastAsia" w:ascii="仿宋" w:hAnsi="仿宋" w:eastAsia="仿宋"/>
          <w:sz w:val="32"/>
          <w:szCs w:val="32"/>
          <w:lang w:eastAsia="zh-CN"/>
        </w:rPr>
        <w:t>景德镇市贝汉美陶瓷有限公司</w:t>
      </w:r>
      <w:r>
        <w:rPr>
          <w:rFonts w:hint="eastAsia" w:ascii="仿宋" w:hAnsi="仿宋" w:eastAsia="仿宋"/>
          <w:sz w:val="32"/>
          <w:szCs w:val="32"/>
        </w:rPr>
        <w:t>，</w:t>
      </w:r>
      <w:r>
        <w:rPr>
          <w:rFonts w:hint="eastAsia" w:ascii="仿宋" w:hAnsi="仿宋" w:eastAsia="仿宋"/>
          <w:sz w:val="32"/>
          <w:szCs w:val="32"/>
          <w:lang w:val="en-US" w:eastAsia="zh-CN"/>
        </w:rPr>
        <w:t>住所地江西省景德镇市陶瓷工业园内，统</w:t>
      </w:r>
      <w:r>
        <w:rPr>
          <w:rFonts w:hint="eastAsia" w:ascii="仿宋" w:hAnsi="仿宋" w:eastAsia="仿宋"/>
          <w:sz w:val="32"/>
          <w:szCs w:val="32"/>
          <w:lang w:eastAsia="zh-CN"/>
        </w:rPr>
        <w:t>一社会信用代码：</w:t>
      </w:r>
      <w:r>
        <w:rPr>
          <w:rFonts w:hint="eastAsia" w:ascii="仿宋" w:hAnsi="仿宋" w:eastAsia="仿宋"/>
          <w:sz w:val="32"/>
          <w:szCs w:val="32"/>
          <w:lang w:val="en-US" w:eastAsia="zh-CN"/>
        </w:rPr>
        <w:t>91360207578760911G</w:t>
      </w:r>
      <w:r>
        <w:rPr>
          <w:rFonts w:hint="eastAsia" w:ascii="仿宋" w:hAnsi="仿宋" w:eastAsia="仿宋"/>
          <w:sz w:val="32"/>
          <w:szCs w:val="32"/>
        </w:rPr>
        <w:t>。</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sz w:val="32"/>
          <w:szCs w:val="32"/>
          <w:lang w:eastAsia="zh-CN"/>
        </w:rPr>
      </w:pPr>
      <w:r>
        <w:rPr>
          <w:rFonts w:hint="eastAsia" w:ascii="仿宋" w:hAnsi="仿宋" w:eastAsia="仿宋"/>
          <w:sz w:val="32"/>
          <w:szCs w:val="32"/>
          <w:lang w:eastAsia="zh-CN"/>
        </w:rPr>
        <w:t>法定代表人：沈锋，系该公司执行董事。</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仿宋" w:hAnsi="仿宋" w:eastAsia="仿宋"/>
          <w:sz w:val="32"/>
          <w:szCs w:val="32"/>
        </w:rPr>
      </w:pPr>
      <w:r>
        <w:rPr>
          <w:rFonts w:hint="eastAsia" w:ascii="仿宋" w:hAnsi="仿宋" w:eastAsia="仿宋"/>
          <w:sz w:val="32"/>
          <w:szCs w:val="32"/>
        </w:rPr>
        <w:t>委托诉讼代理人：</w:t>
      </w:r>
      <w:r>
        <w:rPr>
          <w:rFonts w:hint="eastAsia" w:ascii="仿宋" w:hAnsi="仿宋" w:eastAsia="仿宋"/>
          <w:sz w:val="32"/>
          <w:szCs w:val="32"/>
          <w:lang w:eastAsia="zh-CN"/>
        </w:rPr>
        <w:t>罗之煌</w:t>
      </w:r>
      <w:r>
        <w:rPr>
          <w:rFonts w:hint="eastAsia" w:ascii="仿宋" w:hAnsi="仿宋" w:eastAsia="仿宋"/>
          <w:sz w:val="32"/>
          <w:szCs w:val="32"/>
        </w:rPr>
        <w:t>，</w:t>
      </w:r>
      <w:r>
        <w:rPr>
          <w:rFonts w:hint="eastAsia" w:ascii="仿宋" w:hAnsi="仿宋" w:eastAsia="仿宋"/>
          <w:sz w:val="32"/>
          <w:szCs w:val="32"/>
          <w:lang w:eastAsia="zh-CN"/>
        </w:rPr>
        <w:t>江西远瀚</w:t>
      </w:r>
      <w:r>
        <w:rPr>
          <w:rFonts w:hint="eastAsia" w:ascii="仿宋" w:hAnsi="仿宋" w:eastAsia="仿宋"/>
          <w:sz w:val="32"/>
          <w:szCs w:val="32"/>
        </w:rPr>
        <w:t>律师事务所律师。</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sz w:val="32"/>
          <w:szCs w:val="32"/>
        </w:rPr>
      </w:pPr>
      <w:r>
        <w:rPr>
          <w:rFonts w:hint="eastAsia" w:ascii="仿宋" w:hAnsi="仿宋" w:eastAsia="仿宋"/>
          <w:sz w:val="32"/>
          <w:szCs w:val="32"/>
        </w:rPr>
        <w:t>委托诉讼代理人：</w:t>
      </w:r>
      <w:r>
        <w:rPr>
          <w:rFonts w:hint="eastAsia" w:ascii="仿宋" w:hAnsi="仿宋" w:eastAsia="仿宋"/>
          <w:sz w:val="32"/>
          <w:szCs w:val="32"/>
          <w:lang w:eastAsia="zh-CN"/>
        </w:rPr>
        <w:t>郑薏俊</w:t>
      </w:r>
      <w:r>
        <w:rPr>
          <w:rFonts w:hint="eastAsia" w:ascii="仿宋" w:hAnsi="仿宋" w:eastAsia="仿宋"/>
          <w:sz w:val="32"/>
          <w:szCs w:val="32"/>
        </w:rPr>
        <w:t>，</w:t>
      </w:r>
      <w:r>
        <w:rPr>
          <w:rFonts w:hint="eastAsia" w:ascii="仿宋" w:hAnsi="仿宋" w:eastAsia="仿宋"/>
          <w:sz w:val="32"/>
          <w:szCs w:val="32"/>
          <w:lang w:eastAsia="zh-CN"/>
        </w:rPr>
        <w:t>江西景扬</w:t>
      </w:r>
      <w:r>
        <w:rPr>
          <w:rFonts w:hint="eastAsia" w:ascii="仿宋" w:hAnsi="仿宋" w:eastAsia="仿宋"/>
          <w:sz w:val="32"/>
          <w:szCs w:val="32"/>
        </w:rPr>
        <w:t>律师事务所律师。</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sz w:val="32"/>
          <w:szCs w:val="32"/>
          <w:lang w:val="en-US" w:eastAsia="zh-CN"/>
        </w:rPr>
      </w:pPr>
      <w:r>
        <w:rPr>
          <w:rFonts w:hint="eastAsia" w:ascii="仿宋" w:hAnsi="仿宋" w:eastAsia="仿宋"/>
          <w:sz w:val="32"/>
          <w:szCs w:val="32"/>
          <w:lang w:eastAsia="zh-CN"/>
        </w:rPr>
        <w:t>被告：景德镇宏赫陶瓷有限公司</w:t>
      </w:r>
      <w:r>
        <w:rPr>
          <w:rFonts w:hint="eastAsia" w:ascii="仿宋" w:hAnsi="仿宋" w:eastAsia="仿宋"/>
          <w:sz w:val="32"/>
          <w:szCs w:val="32"/>
          <w:lang w:val="en-US" w:eastAsia="zh-CN"/>
        </w:rPr>
        <w:t>，住所地江西省景德镇市珠山区竟成镇昌江村十九小学安置地102栋</w:t>
      </w:r>
      <w:r>
        <w:rPr>
          <w:rFonts w:hint="eastAsia" w:ascii="仿宋" w:hAnsi="仿宋" w:eastAsia="仿宋"/>
          <w:sz w:val="32"/>
          <w:szCs w:val="32"/>
          <w:lang w:eastAsia="zh-CN"/>
        </w:rPr>
        <w:t>，统一社会信用代码：</w:t>
      </w:r>
      <w:r>
        <w:rPr>
          <w:rFonts w:hint="eastAsia" w:ascii="仿宋" w:hAnsi="仿宋" w:eastAsia="仿宋"/>
          <w:sz w:val="32"/>
          <w:szCs w:val="32"/>
          <w:lang w:val="en-US" w:eastAsia="zh-CN"/>
        </w:rPr>
        <w:t>913602060910693526。</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仿宋" w:hAnsi="仿宋" w:eastAsia="仿宋"/>
          <w:sz w:val="32"/>
          <w:szCs w:val="32"/>
          <w:lang w:val="en-US" w:eastAsia="zh-CN"/>
        </w:rPr>
      </w:pPr>
      <w:r>
        <w:rPr>
          <w:rFonts w:hint="eastAsia" w:ascii="仿宋" w:hAnsi="仿宋" w:eastAsia="仿宋"/>
          <w:sz w:val="32"/>
          <w:szCs w:val="32"/>
          <w:lang w:val="en-US" w:eastAsia="zh-CN"/>
        </w:rPr>
        <w:t>法定代表人：张雷，系该公司执行董事、总经理。</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仿宋" w:hAnsi="仿宋" w:eastAsia="仿宋"/>
          <w:sz w:val="32"/>
          <w:szCs w:val="32"/>
          <w:lang w:val="en-US" w:eastAsia="zh-CN"/>
        </w:rPr>
      </w:pPr>
      <w:r>
        <w:rPr>
          <w:rFonts w:hint="eastAsia" w:ascii="仿宋" w:hAnsi="仿宋" w:eastAsia="仿宋"/>
          <w:sz w:val="32"/>
          <w:szCs w:val="32"/>
          <w:lang w:eastAsia="zh-CN"/>
        </w:rPr>
        <w:t>被告：</w:t>
      </w:r>
      <w:r>
        <w:rPr>
          <w:rFonts w:hint="eastAsia" w:ascii="仿宋" w:hAnsi="仿宋" w:eastAsia="仿宋"/>
          <w:sz w:val="32"/>
          <w:szCs w:val="32"/>
          <w:lang w:val="en-US" w:eastAsia="zh-CN"/>
        </w:rPr>
        <w:t>黄连系，男，1978年6月14日出生，汉族，户籍地宁海海原县黑城镇黑城村八组020，身份证号码：350524197806146050。</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仿宋" w:hAnsi="仿宋" w:eastAsia="仿宋" w:cs="仿宋"/>
          <w:sz w:val="32"/>
          <w:szCs w:val="32"/>
          <w:lang w:val="en-US" w:eastAsia="zh-CN"/>
        </w:rPr>
      </w:pPr>
      <w:bookmarkStart w:id="0" w:name="Book_7"/>
      <w:r>
        <w:rPr>
          <w:rFonts w:hint="eastAsia" w:ascii="仿宋" w:hAnsi="仿宋" w:eastAsia="仿宋"/>
          <w:sz w:val="32"/>
          <w:szCs w:val="32"/>
          <w:lang w:val="en-US" w:eastAsia="zh-CN"/>
        </w:rPr>
        <w:t>景德镇市贝汉美陶瓷有限公司（以下简称贝汉美公司）诉被告景德镇宏赫陶瓷有限公司（以下简称宏赫陶瓷公司）、</w:t>
      </w:r>
      <w:bookmarkEnd w:id="0"/>
      <w:r>
        <w:rPr>
          <w:rFonts w:hint="eastAsia" w:ascii="仿宋" w:hAnsi="仿宋" w:eastAsia="仿宋"/>
          <w:sz w:val="32"/>
          <w:szCs w:val="32"/>
          <w:lang w:val="en-US" w:eastAsia="zh-CN"/>
        </w:rPr>
        <w:t>广州海之兴工艺品厂（以下简称海之兴工艺品厂）、北京微播视界科技有限公司（以下简称微播视界公司）、阿里巴巴（中国）网络技术有限公司（以下简称阿里巴巴公司）侵害外观设计专利权纠纷一案，本院于2022年7月5日立案受理，并依法组成合议庭。原告贝汉美公司在本案审理过程中撤回对微播视界公司的起诉，本院裁定予以准许。因被告海之兴工艺品厂已注销，原告申请变更被告为海之兴工艺品厂的投资人黄连系，本院予以准许。本院适用普通程序于2022年9月20日公开开庭审理了本案。原告贝汉美公司当庭撤回对被告阿里巴巴公司的起诉，本院裁定准许。原告贝汉美公司的委托诉讼代理人罗之煌、郑薏俊，被告宏赫陶瓷公司法定代表人张雷，被告黄连系到庭参加诉讼。本案现已审理终结。</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原告贝汉美公司向本院起诉请求判令：1</w:t>
      </w:r>
      <w:r>
        <w:rPr>
          <w:rFonts w:hint="eastAsia" w:ascii="仿宋" w:hAnsi="仿宋" w:eastAsia="仿宋" w:cs="仿宋"/>
          <w:sz w:val="32"/>
          <w:szCs w:val="32"/>
          <w:lang w:val="en-US" w:eastAsia="zh-CN"/>
        </w:rPr>
        <w:t>.被</w:t>
      </w:r>
      <w:r>
        <w:rPr>
          <w:rFonts w:hint="eastAsia" w:ascii="仿宋" w:hAnsi="仿宋" w:eastAsia="仿宋" w:cs="仿宋"/>
          <w:sz w:val="32"/>
          <w:szCs w:val="32"/>
          <w:lang w:eastAsia="zh-CN"/>
        </w:rPr>
        <w:t>告一、二立即停止制造、销售、许诺销售侵犯原告名称为陶瓷摆件（萌兔）、专利号为ZL202130187897.4号的外观设计专利权产品，并删除侵权链接、销毁库存侵权产品和用于制造侵权产品的专用模具、销毁记载有侵权产品图片的宣传资料；2</w:t>
      </w:r>
      <w:r>
        <w:rPr>
          <w:rFonts w:hint="eastAsia" w:ascii="仿宋" w:hAnsi="仿宋" w:eastAsia="仿宋" w:cs="仿宋"/>
          <w:sz w:val="32"/>
          <w:szCs w:val="32"/>
          <w:lang w:val="en-US" w:eastAsia="zh-CN"/>
        </w:rPr>
        <w:t>.被</w:t>
      </w:r>
      <w:r>
        <w:rPr>
          <w:rFonts w:hint="eastAsia" w:ascii="仿宋" w:hAnsi="仿宋" w:eastAsia="仿宋" w:cs="仿宋"/>
          <w:sz w:val="32"/>
          <w:szCs w:val="32"/>
          <w:lang w:eastAsia="zh-CN"/>
        </w:rPr>
        <w:t>告一、二赔偿原告经济损失及维权合理费用30万元；3</w:t>
      </w:r>
      <w:r>
        <w:rPr>
          <w:rFonts w:hint="eastAsia" w:ascii="仿宋" w:hAnsi="仿宋" w:eastAsia="仿宋" w:cs="仿宋"/>
          <w:sz w:val="32"/>
          <w:szCs w:val="32"/>
          <w:lang w:val="en-US" w:eastAsia="zh-CN"/>
        </w:rPr>
        <w:t>.被</w:t>
      </w:r>
      <w:r>
        <w:rPr>
          <w:rFonts w:hint="eastAsia" w:ascii="仿宋" w:hAnsi="仿宋" w:eastAsia="仿宋" w:cs="仿宋"/>
          <w:sz w:val="32"/>
          <w:szCs w:val="32"/>
          <w:lang w:eastAsia="zh-CN"/>
        </w:rPr>
        <w:t>告三、四删除侵权链接，并对被告一、二应承担的经济赔偿义务承担连带赔偿责任；4</w:t>
      </w:r>
      <w:r>
        <w:rPr>
          <w:rFonts w:hint="eastAsia" w:ascii="仿宋" w:hAnsi="仿宋" w:eastAsia="仿宋" w:cs="仿宋"/>
          <w:sz w:val="32"/>
          <w:szCs w:val="32"/>
          <w:lang w:val="en-US" w:eastAsia="zh-CN"/>
        </w:rPr>
        <w:t>.</w:t>
      </w:r>
      <w:r>
        <w:rPr>
          <w:rFonts w:hint="eastAsia" w:ascii="仿宋" w:hAnsi="仿宋" w:eastAsia="仿宋" w:cs="仿宋"/>
          <w:sz w:val="32"/>
          <w:szCs w:val="32"/>
          <w:lang w:eastAsia="zh-CN"/>
        </w:rPr>
        <w:t>四被告承担本案诉讼费等相关费用。因原告贝汉美公司撤回对被告微播视界公司与阿里巴巴公司的起诉，故将诉讼请求</w:t>
      </w:r>
      <w:r>
        <w:rPr>
          <w:rFonts w:hint="eastAsia" w:ascii="仿宋" w:hAnsi="仿宋" w:eastAsia="仿宋" w:cs="仿宋"/>
          <w:sz w:val="32"/>
          <w:szCs w:val="32"/>
          <w:lang w:val="en-US" w:eastAsia="zh-CN"/>
        </w:rPr>
        <w:t>3删除，并将诉讼请求4变更为：二被告共同承担本案诉讼费等相关费用。</w:t>
      </w:r>
      <w:r>
        <w:rPr>
          <w:rFonts w:hint="eastAsia" w:ascii="仿宋" w:hAnsi="仿宋" w:eastAsia="仿宋" w:cs="仿宋"/>
          <w:sz w:val="32"/>
          <w:szCs w:val="32"/>
          <w:lang w:eastAsia="zh-CN"/>
        </w:rPr>
        <w:t>事实和理由：原告于2021年4月5日向国家知识产权局提交了名称为“陶瓷摆件（萌兔）”的外观设计专利申请，2021年4月27日经国家知识产权局公告授权，专利号为ZL202130187897.4,该专利权至今有效。原告经过调查发现，被告一从被告二处购入大量侵权产品，并在抖音视频平台销售案涉侵权产品，被告二在1688平台批发销售案涉侵权产品。原告经过比对确认案涉专利被控侵权产品落入原告专利权保护范围。被告一、二的侵权行为给原告造成了巨大的经济损失，损害原告商誉，挤压原告市场，应当承担经济赔偿责任。</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eastAsia="zh-CN"/>
        </w:rPr>
        <w:t>宏赫陶瓷公司答辩称，其也是受害者，并不清楚销售的产品构成了侵权。销售的产品均从被告二黄连系经营的海之兴工艺品厂采购，并且被告二的客服人员还提供了版权证书及授权书。被诉侵权产品共销售了</w:t>
      </w:r>
      <w:r>
        <w:rPr>
          <w:rFonts w:hint="eastAsia" w:ascii="仿宋" w:hAnsi="仿宋" w:eastAsia="仿宋" w:cs="仿宋"/>
          <w:sz w:val="32"/>
          <w:szCs w:val="32"/>
          <w:lang w:val="en-US" w:eastAsia="zh-CN"/>
        </w:rPr>
        <w:t>140个，在被告知侵权后，相关链接已经下架。其愿意承担就销售的140个产品造成的原告经济损失。</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黄连系答辩称，一、我们不是工厂，不存在制造行为。其是失业人员，患有查糖尿病，高血压等多种症状，连买的药钱都没有，经常找朋友借钱买药，朋友看到我很可怜，借钱帮我开个1688去经营。然后在网上找人家注册一家个体户来开1688，想让我自己独立赚取生活费用跟买药的钱。二、不存在侵权商品销售。相关销售页面内容均从网络上复制而来的，无意中复制到贝汉美公司的奶牙兔这款产品，2021年9月底上传的1688图片。原告提供公证书证据销售记录为“零”。原告提供聊天记录中有“奶牙兔发不了哦”“没做就先不要做”。刚开始跟贝汉美公司谈价格很高，找贝汉美公司买了一个拿给别的工厂看，别的工厂报价太高，直接跟客户说没有货，换其它款有货的产品。原告提供的证据没有证明我方侵权，原告无进货记录，没有实物，也没有我这边生产记录照片，客户提供给原告的购买交易记录金额并非奶牙兔产品，是其他的产品。被告存在钓鱼执法的情形。网络上有客户找我购买</w:t>
      </w:r>
      <w:r>
        <w:rPr>
          <w:rFonts w:hint="eastAsia" w:ascii="仿宋" w:hAnsi="仿宋" w:eastAsia="仿宋" w:cs="仿宋"/>
          <w:sz w:val="32"/>
          <w:szCs w:val="32"/>
          <w:lang w:val="en-US" w:eastAsia="zh-CN"/>
        </w:rPr>
        <w:t>2个奶牙兔</w:t>
      </w:r>
      <w:r>
        <w:rPr>
          <w:rFonts w:hint="eastAsia" w:ascii="仿宋" w:hAnsi="仿宋" w:eastAsia="仿宋" w:cs="仿宋"/>
          <w:sz w:val="32"/>
          <w:szCs w:val="32"/>
          <w:lang w:eastAsia="zh-CN"/>
        </w:rPr>
        <w:t>，于是客服就把我们之前从贝汉美公司购买的奶牙兔，拿两个寄过去。该客户即为贝汉美公司。我们找贝汉美公司买345元和310元产品，贝汉美公司故意高价（450元）再来找我们买回去。原告的说法自相矛盾，其在庭上说没拆开过快递，但公证书中却有</w:t>
      </w:r>
      <w:r>
        <w:rPr>
          <w:rFonts w:hint="eastAsia" w:ascii="仿宋" w:hAnsi="仿宋" w:eastAsia="仿宋" w:cs="仿宋"/>
          <w:sz w:val="32"/>
          <w:szCs w:val="32"/>
          <w:lang w:val="en-US" w:eastAsia="zh-CN"/>
        </w:rPr>
        <w:t>22页产品照片</w:t>
      </w:r>
      <w:r>
        <w:rPr>
          <w:rFonts w:hint="eastAsia" w:ascii="仿宋" w:hAnsi="仿宋" w:eastAsia="仿宋" w:cs="仿宋"/>
          <w:sz w:val="32"/>
          <w:szCs w:val="32"/>
          <w:lang w:eastAsia="zh-CN"/>
        </w:rPr>
        <w:t>。公证书共9页第四页，显示原告同时找彬达和海之兴各购买2个奶牙兔，我打电话问彬达，彬达负责人说，他们也是发安能物流。所以我们对公证书产生质疑，请求法官现场叫原告手机打开让你们看一下，我们不相信贝汉美公司提供公证书。公证书写了0记录，原告购买2个，应该会显示2条记录才对。聊天记录3000个兔子，是为了促销客户成交，吹牛用的营销手段。我可以当场打开手机查看找汉贝美购买的记录。综上所述，我们不存在生产，疑似侵权产品销售，故也不存在侵权和赔偿问题，原告所提交的证据材料只证实被告一疑似侵权，对我的指证属于牵连性假设，故请贵院驳回原告对我的起诉。</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原告贝汉美公司为支持其主张，向本院提交如下证据：</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eastAsia="zh-CN"/>
        </w:rPr>
        <w:t>第一组证据</w:t>
      </w:r>
      <w:r>
        <w:rPr>
          <w:rFonts w:hint="eastAsia" w:ascii="仿宋" w:hAnsi="仿宋" w:eastAsia="仿宋" w:cs="仿宋"/>
          <w:sz w:val="32"/>
          <w:szCs w:val="32"/>
          <w:lang w:val="en-US" w:eastAsia="zh-CN"/>
        </w:rPr>
        <w:t>：原告营业执照及法定代表人身份证明及身份证复印件、被告工商登记信息及法定代表人身份证及营业执照复印件，证明原告与被告的诉讼主体资格；</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第二组证据：ZL202130187897.4外观设计专利证书及授权公告文本、外观设计专利权评价报告，证明原告为外观设计专利权人及专利保护范围；</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第三组证据：（2022）赣景德证内字第1612号公证书及公证费发票、（2022）赣洪大证内字第11575号公证书及发票，证明被告二通过1688批发平台销售侵权产品，公证费3630元；</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第四组证据：专利侵权纠纷案件行政裁决书（景市监知法裁字[2022]001号），证明景德镇市市场监督管理局初步认定被告一通过抖音视频平台销售侵权产品，侵犯了原告外观设计专利权；</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五组证据：被告一、二采购案涉侵权产品订单详情、微信付款凭证、交易物流、工艺品订单页、聊天记录，证明被告一向被告二大量采购侵权产品，被告二自认大量生产侵权产品（明确自认其中有一批生产3000个），工厂在泉州，被告二于2021年10月向被告一大量出售侵权产品；</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第六组证据：被告一店铺详情页、销售数据、直播销售侵权产品视频，证明被告一通过抖音视频平台销售侵权产品；</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第七组证据：涉案专利产品销售数据对比表，证明涉案专利产品销售数据明显下滑，原告遭受严重经济损失。</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被告宏赫公司质证称，对第一组到第六组证据的三性无异议，对第七组证据不予认可，其仅销售了140个，不可能导致原告巨大经济损失。</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被告黄连系质证称，第一组证据无异议；第二组证据真实性无异议，但证明不了权利归属原告，他人有在先权利；对第三组证据1612号公证书无异议，对11575号公证书记录的物流信息有异议，与第三方店铺发的物流信息相同；第四组证据与其无关；对第五组证据不认可，其在聊天记录中说了奶牙兔发不了，且原告的证据显示销量为0；第六组证据与其无关；第七组证据不认可，其没有销售被诉侵权产品，仅在原告店里购买了一个再由原告买回去，不会对原告销量产生影响，页面宣传均是夸大的，为吸引客户。</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被告宏赫陶瓷公司向本院提交如下证据：与海之兴工艺品厂的聊天记录；从海之兴工艺品厂购买订单和支付凭证；海之兴工艺品厂客户提供的奶牙兔摆件著作权登记证书和版权店铺授权书，证明被诉侵权产品采购自被告二经营的海之兴工艺品厂，且对方告知有授权。</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原告贝汉美对此质证称，认可聊天记录的真实性，该证据充分证明被告二是在被告一下单后进行生产的，被告二是侵权产品的生产者。对订单和支付凭证无异议，该订单支付数量和售价是一致的，虽然订单显示为杜宾狗摆件，但和聊天记录可印证是为下单方便，该订单包含被诉侵权产品。对著作权登记证书和授权书的证明目的不认可，著作权登记是形式审查，原告的专利早于该登记时间。</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被告黄连系质证称，对聊天记录、订单和支付凭证无异议，著作权登记证书和授权书并非其给被告一的。</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被告黄连系向本院提交如下证据：向原告贝汉美公司的购买记录，证明产品来自原告；海之兴工艺品厂注销材料，证明该厂已经注销。</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原告质证称，对真实性无异议。但被告二下单的是奶白色款，其向被告一销售的是蓝色、橙色，其出售的产品没有合法来源。</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本院组织各方当事人对以上证据进行质证。对各方均无异议的证据，本院予以认可其真实性。本院对有争议的证据认定如下：原告提交的第二组证据来源于国家知识产权局，可以证明其为涉案专利的权利人；第三组证据来源公证机关，在无相反证据时，本院对其真实性予以认可；第七组证据由原告贝汉美公司自行制作，但有网络销售后台数据印证，本院对其真实性予以认可。对被告宏赫公司提交的著作权登记证书和授权书，本院认为，该著作权证书虽盖有福建省版权局作品自愿登记专用章，但仅有图片页而无作品登记证书主页，对其真实性存疑；版权店铺授权书由泉州旺客信息科技有限公司出具，与本案当事人无关联，且该证据为复印件，对此不予认可。</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本院经审理查明的事实如下，</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一、贝汉美公司主张保护的外观设计专利</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案涉外观设计专利名称为“陶瓷摆件（萌兔）”，专利号为ZL202130187897.4，于2021年4月5日申请，2021年4月27日授权公告，专利权人为本案原告贝汉美公司。外观设计产品的用途为用于装饰，设计要点在于形状，最能表明设计要点的图片或照片为立体图。2022年8月19日，国家知识产权局出具《外观设计专利权评价报告》，结论为本专利符合专利法第二十三条第一款、第二款的规定，未发现本专利存在其他不符合专利法有关外观设计授权条件的缺陷。</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二、被诉侵权的相关事实</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2022年4月28日，原告法定代表人沈锋的委托代理人袁红艳向江西省景德镇市景德公证处申请对“阿里巴巴”网页相关内容进行证据保全。当日下午，在公证员吴英和公证人员黄铃的见证下，利用公证处电脑登录“1688阿里巴巴采购批发网”进入名为“广州海之兴工艺品厂”的网络店铺，对店铺信息及名为“奶牙兔创意落地收纳摆件家居客厅办公室装饰乔迁新居礼物礼品”的页面进行浏览并截图。该公证处于2022年5月9日出具（2022）赣景德证内字第1612号公证书。原告支付公证费2030元。根据公证书显示，该店铺经营模式为生产厂家，主营行业为塑料、树脂工艺品，主营产品为树脂礼品、树脂摆件、树脂奖杯、树脂模型、树脂玩具，员工人数101-200人，月产量20000条。该店铺展示的被诉侵权产品售价为465元，品牌为海之兴。商品详情介绍中标明“本厂主要以加工定制为主，以上价格是参考价格，不是最终价格，最终价格以实际交谈为准。本厂专注树脂工艺品生产，研发和销售一体企业，全国多家分厂共同生产，交货期有保障。欢迎前来本厂参观与指导。”同时标明该产品已申请专利，并附有外观设计专利权证书。买家评价为0。经庭审确认，该外观设计专利权证书为原告贝汉美公司所有。页面中还出现标有“贝汉美”字样的产品包装盒。</w:t>
      </w:r>
    </w:p>
    <w:p>
      <w:pPr>
        <w:keepNext w:val="0"/>
        <w:keepLines w:val="0"/>
        <w:pageBreakBefore w:val="0"/>
        <w:widowControl w:val="0"/>
        <w:kinsoku/>
        <w:wordWrap w:val="0"/>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原告的法定代表人沈锋委托南昌市求真知识产权服务有限公司向江西省南昌市大成公证处申请证据保全。在公证员周含颖及公证人员秦佳的现场监督下，南昌市求真知识产权服务有限公司法定代表人胡榕使用公证处电脑，于2022年5月27日登录“https://detail.1688.com/offer/654958980287.html?Spm=a2615.7691456.wp_pc_common_offerlist_45753076.0”网址，进入“广州海之兴工艺品厂”网店，并对相关页面进行浏览、截屏，同时购买了销售的相关产品。2022年6月6日，公证处工作人员代收了编号为“500050130217”的安能快递，并对快递现状、快递详单、快递内商品进行拍照并重新封存。2022年6月9日，胡榕操作公证处电脑进入1688网站查询上述商品的订单详情、物流信息等并截图。对此过程，该公证处于2022年6月11日出具了（2022）赣洪大证内字第11575号公证书。原告支付公证费1600元。该公证书显示，“广州海之兴工艺品厂”网店展示的奶牙兔收纳摆件有灰色、米白色、橙色等款式，页面显示的外观设计专利权证书为原告贝汉美公司所有，产品包装正面标有“贝汉美”字样，买家评价为0。原告在该店铺下单购买灰色与白色款奶牙兔摆件各一个，共支付600元（含红包抵扣6元）。</w:t>
      </w:r>
    </w:p>
    <w:p>
      <w:pPr>
        <w:keepNext w:val="0"/>
        <w:keepLines w:val="0"/>
        <w:pageBreakBefore w:val="0"/>
        <w:widowControl w:val="0"/>
        <w:kinsoku/>
        <w:wordWrap w:val="0"/>
        <w:overflowPunct/>
        <w:topLinePunct w:val="0"/>
        <w:autoSpaceDE/>
        <w:autoSpaceDN/>
        <w:bidi w:val="0"/>
        <w:adjustRightInd/>
        <w:snapToGrid/>
        <w:spacing w:line="240" w:lineRule="auto"/>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原告贝汉美公司当庭提交贴有南昌市大成公证处封条的公证实物，经当庭拆封，两个纸箱内装有被诉侵权产品2个，分别为白色与灰色奶牙兔摆件，与公证书记载内容一致。原告还向法庭提交其生产的案涉外观设计专利产品奶牙兔摆件一个。被诉侵权产品较案涉外观设计专利产品矮，重量略轻，但两者外形一致。</w:t>
      </w:r>
    </w:p>
    <w:p>
      <w:pPr>
        <w:keepNext w:val="0"/>
        <w:keepLines w:val="0"/>
        <w:pageBreakBefore w:val="0"/>
        <w:widowControl w:val="0"/>
        <w:kinsoku/>
        <w:wordWrap w:val="0"/>
        <w:overflowPunct/>
        <w:topLinePunct w:val="0"/>
        <w:autoSpaceDE/>
        <w:autoSpaceDN/>
        <w:bidi w:val="0"/>
        <w:adjustRightInd/>
        <w:snapToGrid/>
        <w:spacing w:line="240" w:lineRule="auto"/>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2022年5月20日，景德镇市市场监督管理局作出景市监知法裁字[2022]001号《专利侵权纠纷案件行政裁决书》，认定宏赫陶瓷公司在抖音平台直播销售的“星光少女落地摆件”与贝汉美公司的ZL202130187897.4号“陶瓷摆件（萌兔）”专利构成相同，侵犯了贝汉美公司的外观设计专利权，并责令宏赫陶瓷公司立即停止销售、许诺销售侵犯该专利的产品，并不得使用尚未售出的侵权产品或者以任何形式将其投放市场。宏赫陶瓷公司在其经营的宏赫家居旗舰店中销售“宏赫星光少女落地托盘家居客厅沙发边几电视柜旁大型创意摆件”，售价398元，已售112，评价数14。2022年3月8日与3月9日，宏赫陶瓷公司通过直播对外销售被诉侵权产品3个，售价298元/个。宏赫陶瓷公司在庭审中陈述共销售140个被诉侵权产品。</w:t>
      </w:r>
    </w:p>
    <w:p>
      <w:pPr>
        <w:keepNext w:val="0"/>
        <w:keepLines w:val="0"/>
        <w:pageBreakBefore w:val="0"/>
        <w:widowControl w:val="0"/>
        <w:kinsoku/>
        <w:wordWrap w:val="0"/>
        <w:overflowPunct/>
        <w:topLinePunct w:val="0"/>
        <w:autoSpaceDE/>
        <w:autoSpaceDN/>
        <w:bidi w:val="0"/>
        <w:adjustRightInd/>
        <w:snapToGrid/>
        <w:spacing w:line="240" w:lineRule="auto"/>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三、与本案有关的其他事实</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海之兴工艺品厂为个人独资企业，成立于2021年8月13日，投资人为黄连系。在本案审理过程中，海之兴工艺品厂于2022年8月1日经广州天河区行政审批局核准注销登记。</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被告宏赫陶瓷公司通过1688网站与海之兴工艺品厂网店进行洽谈采购陶瓷摆件。海之兴工艺品厂向宏赫陶瓷公司发送包含收纳女孩A款（绿色、黄色、橙色）、收纳女孩C款（黄色、绿色、脏粉色）、奶牙兔B款（米白、橘黄、浅绿）等，采购价共计85200元的采购详单表格。宏赫陶瓷公司于2021年10月27日下单“创意狗落地摆件大客厅装饰搬新家礼物杜宾犬门口钥匙收纳托盘置物”，实付款85200元。宏赫陶瓷公司与黄连系在庭审中均陈述该订单实际包含的物品为聊天记录中的采购详单中物品，是为下单付款方便才统一下单该物品。采购聊天记录显示，海之兴工艺品厂向宏赫陶瓷公司发送工厂生产视频，并多次表示其为厂家，工厂在泉州。此后，海之兴工艺品厂又表示“奶牙兔发不了”“我们生产是什么都可以做出来”“彩绘需要时间的，彩绘完了也要检查，需要时间”“140个，注意查收”。2021年11月24日宏赫陶瓷公司表示“你这个标的6.9kg发给我的只有5.0kg”并发送称重图片，该图片显示的摆件底部与被诉侵权产品奶牙兔摆件底部一致，海之兴工艺品厂表示“参数只是给你参考的”“我会让工人注意”。</w:t>
      </w:r>
    </w:p>
    <w:p>
      <w:pPr>
        <w:keepNext w:val="0"/>
        <w:keepLines w:val="0"/>
        <w:pageBreakBefore w:val="0"/>
        <w:widowControl w:val="0"/>
        <w:kinsoku/>
        <w:wordWrap w:val="0"/>
        <w:overflowPunct/>
        <w:topLinePunct w:val="0"/>
        <w:autoSpaceDE/>
        <w:autoSpaceDN/>
        <w:bidi w:val="0"/>
        <w:adjustRightInd/>
        <w:snapToGrid/>
        <w:spacing w:line="240" w:lineRule="auto"/>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原告贝汉美公司就同一侵权事实向景德镇市珠山区人民法院对本案被告另案提起侵害商标权纠纷诉讼，案号为（2022）赣0203知民初99号。</w:t>
      </w:r>
    </w:p>
    <w:p>
      <w:pPr>
        <w:keepNext w:val="0"/>
        <w:keepLines w:val="0"/>
        <w:pageBreakBefore w:val="0"/>
        <w:widowControl w:val="0"/>
        <w:kinsoku/>
        <w:wordWrap w:val="0"/>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本院认为，结合当事人诉请、答辩及证据等，本案的争议焦点为：被诉侵权产品是否落入原告外观设计专利权保护范围？被告宏赫陶瓷公司、海之兴工艺品厂应当承担何种民事责任？</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案涉外观设计专利在有效期限内，法律状态稳定，应受法律保护。原告贝汉美公司为案涉外观设计专利权人，有权进行维权。</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关于争议焦点一，《中华人民共和国专利法》第六十四条第二款规定，外观设计专利权的保护范围以表示在图片或者照片中的该产品的外观设计为准，简要说明可以用于解释图片或者照片所表示的该产品的外观设计。《最高人民法院关于审理侵犯专利权纠纷案件应用法律若干问题的解释》第八条、第十条、第十一条规定，在与外观设计专利产品相同或者相近种类产品上，采用与授权外观设计相同或者近似的外观设计的，人民法院应当认定被诉侵权设计落入外观设计专利权的保护范围。人民法院判断外观设计是否相同或近似时，应当以外观设计专利产品的一般消费者的知识水平和认知能力进行，同时根据授权外观设计、被诉侵权设计的设计特征，以及外观设计的整体视觉效果进行综合判断。</w:t>
      </w:r>
    </w:p>
    <w:p>
      <w:pPr>
        <w:keepNext w:val="0"/>
        <w:keepLines w:val="0"/>
        <w:pageBreakBefore w:val="0"/>
        <w:widowControl w:val="0"/>
        <w:kinsoku/>
        <w:wordWrap w:val="0"/>
        <w:overflowPunct/>
        <w:topLinePunct w:val="0"/>
        <w:autoSpaceDE/>
        <w:autoSpaceDN/>
        <w:bidi w:val="0"/>
        <w:adjustRightInd/>
        <w:snapToGrid/>
        <w:spacing w:line="240" w:lineRule="auto"/>
        <w:ind w:firstLine="640" w:firstLineChars="200"/>
        <w:textAlignment w:val="auto"/>
        <w:rPr>
          <w:rFonts w:hint="eastAsia" w:ascii="仿宋" w:hAnsi="仿宋" w:eastAsia="仿宋"/>
          <w:sz w:val="32"/>
          <w:szCs w:val="32"/>
          <w:lang w:val="en-US" w:eastAsia="zh-CN"/>
        </w:rPr>
      </w:pPr>
      <w:r>
        <w:rPr>
          <w:rFonts w:hint="eastAsia" w:ascii="仿宋" w:hAnsi="仿宋" w:eastAsia="仿宋" w:cs="仿宋"/>
          <w:sz w:val="32"/>
          <w:szCs w:val="32"/>
          <w:lang w:eastAsia="zh-CN"/>
        </w:rPr>
        <w:t>本案被诉侵权产品与原告外观设计专利产品均为装饰摆件，属相同种类产品。案涉外观设计专利最能</w:t>
      </w:r>
      <w:r>
        <w:rPr>
          <w:rFonts w:hint="eastAsia" w:ascii="仿宋" w:hAnsi="仿宋" w:eastAsia="仿宋" w:cs="仿宋"/>
          <w:sz w:val="32"/>
          <w:szCs w:val="32"/>
          <w:lang w:val="en-US" w:eastAsia="zh-CN"/>
        </w:rPr>
        <w:t>表明设计要点的图片或照片为立体图，设计要点在于形状。将之与被诉侵权产品进行整体观察、综合判断，两者主要形状设计特征均采用“兔子”形状，手捧托盘，脚底带有花瓣底座，兔子衣服内有少女脸庞，兔子衣服包裹全身且胸前有拉链，脚部鞋子均带有类似蝴蝶结形状，整体轮廓均为头部较小、腿部较大。两者在主要形状设计特征上整体轮廓、线条弧度、棱线分布上均相同。</w:t>
      </w:r>
      <w:r>
        <w:rPr>
          <w:rFonts w:hint="eastAsia" w:ascii="仿宋" w:hAnsi="仿宋" w:eastAsia="仿宋"/>
          <w:sz w:val="32"/>
          <w:szCs w:val="32"/>
          <w:lang w:val="en-US" w:eastAsia="zh-CN"/>
        </w:rPr>
        <w:t>本院认为，</w:t>
      </w:r>
      <w:r>
        <w:rPr>
          <w:rFonts w:hint="eastAsia" w:ascii="仿宋" w:hAnsi="仿宋" w:eastAsia="仿宋" w:cs="仿宋"/>
          <w:sz w:val="32"/>
          <w:szCs w:val="32"/>
          <w:lang w:eastAsia="zh-CN"/>
        </w:rPr>
        <w:t>以一般消费者视角，二者整体视觉效果无实质性差异，属相同的外观设计，被诉产品落入涉案专利权的保护范围</w:t>
      </w:r>
      <w:r>
        <w:rPr>
          <w:rFonts w:hint="eastAsia" w:ascii="仿宋" w:hAnsi="仿宋" w:eastAsia="仿宋"/>
          <w:sz w:val="32"/>
          <w:szCs w:val="32"/>
          <w:lang w:val="en-US" w:eastAsia="zh-CN"/>
        </w:rPr>
        <w:t>。</w:t>
      </w:r>
    </w:p>
    <w:p>
      <w:pPr>
        <w:keepNext w:val="0"/>
        <w:keepLines w:val="0"/>
        <w:pageBreakBefore w:val="0"/>
        <w:widowControl w:val="0"/>
        <w:kinsoku/>
        <w:wordWrap w:val="0"/>
        <w:overflowPunct/>
        <w:topLinePunct w:val="0"/>
        <w:autoSpaceDE/>
        <w:autoSpaceDN/>
        <w:bidi w:val="0"/>
        <w:adjustRightInd/>
        <w:snapToGrid/>
        <w:spacing w:line="240" w:lineRule="auto"/>
        <w:ind w:firstLine="640" w:firstLineChars="200"/>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关于争议焦点二，根据《最高人民法院关于审理侵犯专利权纠纷案件应用法律若干问题的解释（二）》第二十六条规定可知，被告构成对专利权的侵犯，权利人请求判令其停止侵权行为的，人民法院应予支持。被告宏赫陶瓷公司在未取得外观设计专利权人许可情况下，通过直播对外销售被诉侵权产品，侵犯了原告贝汉美公司的外观设计专利权。故，对原告贝汉美公司关于被告宏赫陶瓷公司立即停止侵权并删除侵权链接的诉讼请求予以支持。根据现有证据可证实被告宏赫陶瓷公司不存在生产制造行为，此外，现有证据无法证实宏赫陶瓷公司存在被诉侵权产品库存，故对原告贝汉美公司关于宏赫陶瓷公司销毁生产模具及库存的诉讼请求，本院不予支持。</w:t>
      </w:r>
    </w:p>
    <w:p>
      <w:pPr>
        <w:keepNext w:val="0"/>
        <w:keepLines w:val="0"/>
        <w:pageBreakBefore w:val="0"/>
        <w:widowControl w:val="0"/>
        <w:kinsoku/>
        <w:wordWrap w:val="0"/>
        <w:overflowPunct/>
        <w:topLinePunct w:val="0"/>
        <w:autoSpaceDE/>
        <w:autoSpaceDN/>
        <w:bidi w:val="0"/>
        <w:adjustRightInd/>
        <w:snapToGrid/>
        <w:spacing w:line="240" w:lineRule="auto"/>
        <w:ind w:firstLine="640" w:firstLineChars="200"/>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原告贝汉美公司主张被告黄连系经营的海之兴工艺品厂系被诉侵权产品的生产制造者，而被告黄连系抗辩称其不存在工厂，被诉侵权产品来源于原告，并</w:t>
      </w:r>
      <w:r>
        <w:rPr>
          <w:rFonts w:hint="eastAsia" w:ascii="仿宋" w:hAnsi="仿宋" w:eastAsia="仿宋" w:cs="仿宋"/>
          <w:color w:val="auto"/>
          <w:sz w:val="32"/>
          <w:szCs w:val="32"/>
          <w:lang w:val="en-US" w:eastAsia="zh-CN"/>
        </w:rPr>
        <w:t>向法院提交从原告贝汉美公司购买案涉专利产品奶牙兔摆件的截图</w:t>
      </w:r>
      <w:r>
        <w:rPr>
          <w:rFonts w:hint="eastAsia" w:ascii="仿宋" w:hAnsi="仿宋" w:eastAsia="仿宋"/>
          <w:sz w:val="32"/>
          <w:szCs w:val="32"/>
          <w:lang w:val="en-US" w:eastAsia="zh-CN"/>
        </w:rPr>
        <w:t>。</w:t>
      </w:r>
      <w:r>
        <w:rPr>
          <w:rFonts w:hint="eastAsia" w:ascii="仿宋" w:hAnsi="仿宋" w:eastAsia="仿宋" w:cs="仿宋"/>
          <w:color w:val="auto"/>
          <w:sz w:val="32"/>
          <w:szCs w:val="32"/>
          <w:lang w:val="en-US" w:eastAsia="zh-CN"/>
        </w:rPr>
        <w:t>对此，本院认为，被告黄连系提交的2021年10月27日的下单截图的收件人为张星新，现有证据无法确认该案外人与海之兴工艺品厂的关联，2022年3月9日与3月24日的订单截图未显示购买人信息，且以上三张购买截图显示购买的奶牙兔摆件均为白色款；而原告贝汉美公司通过公证购买的被诉侵权产品奶牙兔摆件分别为灰色和白色款，且通过当庭比对，公证购买的奶牙兔摆件比原告贝汉美公司生产的专利产品奶牙兔摆件矮且重量略轻，被告黄连系的关于公证购买的被诉侵权产品来源于原告贝汉美公司的主张不能成立。被告黄连系还辩称原告提供的公证书显示原告向案外人广州彬达工艺品厂购买了奶牙兔摆件，无法确认本案公证实物来自于海兴工艺品厂。对此，本院认为，根据公证书显示原告向案外人广州彬达工艺品厂购买的奶牙兔摆件为橙色款，而本案公证购买的实物为白色和灰色款，且公证实物外包装盒上安能物流单号与公证书展示的购买截图中物流单号一致，对被告黄连系的该项主张不予采纳。</w:t>
      </w:r>
    </w:p>
    <w:p>
      <w:pPr>
        <w:keepNext w:val="0"/>
        <w:keepLines w:val="0"/>
        <w:pageBreakBefore w:val="0"/>
        <w:widowControl w:val="0"/>
        <w:kinsoku/>
        <w:wordWrap w:val="0"/>
        <w:overflowPunct/>
        <w:topLinePunct w:val="0"/>
        <w:autoSpaceDE/>
        <w:autoSpaceDN/>
        <w:bidi w:val="0"/>
        <w:adjustRightInd/>
        <w:snapToGrid/>
        <w:spacing w:line="240" w:lineRule="auto"/>
        <w:ind w:firstLine="640" w:firstLineChars="200"/>
        <w:textAlignment w:val="auto"/>
        <w:rPr>
          <w:rFonts w:hint="default" w:ascii="仿宋" w:hAnsi="仿宋" w:eastAsia="仿宋" w:cs="仿宋"/>
          <w:color w:val="auto"/>
          <w:sz w:val="32"/>
          <w:szCs w:val="32"/>
          <w:lang w:val="en-US" w:eastAsia="zh-CN"/>
        </w:rPr>
      </w:pPr>
      <w:r>
        <w:rPr>
          <w:rFonts w:hint="eastAsia" w:ascii="仿宋" w:hAnsi="仿宋" w:eastAsia="仿宋"/>
          <w:sz w:val="32"/>
          <w:szCs w:val="32"/>
          <w:lang w:val="en-US" w:eastAsia="zh-CN"/>
        </w:rPr>
        <w:t>本院认为，</w:t>
      </w:r>
      <w:r>
        <w:rPr>
          <w:rFonts w:hint="eastAsia" w:ascii="仿宋" w:hAnsi="仿宋" w:eastAsia="仿宋" w:cs="仿宋"/>
          <w:color w:val="auto"/>
          <w:sz w:val="32"/>
          <w:szCs w:val="32"/>
          <w:lang w:val="en-US" w:eastAsia="zh-CN"/>
        </w:rPr>
        <w:t>通常情况下，任何通过广告或店铺展示等方式，对外表示其为产品制造者的企业或个人，在无充分相反证据的情形下，可以认定为生产者。本案中，根据原告贝汉美公司提供的公证书可知，被告黄连系经营的海之兴工艺品厂在其开设的阿里巴巴网店中展示的企业信息为树脂礼品、树脂摆件等工艺品的生产厂家，并可来料加工、来样加工、来料代加工、OEM加工、手工加工、ODM加工、来图加工，在被诉侵权产品销售页面亦标注“本厂主要以加工制定为主……本厂专注树脂工艺品生产，研发和销售一体企业”等信息。海之兴工艺品厂以自己的行为对不特定客户表示其为被诉侵权产品的生产者，应当视为自愿承担生产制造者的法律责任。宏赫陶瓷公司向海之兴工艺品厂采购的订单中包含“奶牙兔B款”，海之兴工艺品厂亦在聊天记录中多次表示其为生产厂家，并发送工厂生产视频。虽然海之兴工艺品厂在聊天记录中有过“奶牙兔的发不了哦”的表述，但2021年11月24日聊天记录中宏赫陶瓷公司称</w:t>
      </w:r>
      <w:r>
        <w:rPr>
          <w:rFonts w:hint="eastAsia" w:ascii="仿宋" w:hAnsi="仿宋" w:eastAsia="仿宋" w:cs="仿宋"/>
          <w:sz w:val="32"/>
          <w:szCs w:val="32"/>
          <w:lang w:val="en-US" w:eastAsia="zh-CN"/>
        </w:rPr>
        <w:t>“你这个标的6.9kg发给我的只有5.0kg”并发送称重图片，该图片显示的摆件底部与被诉侵权产品奶牙兔摆件底部一致，海之兴工艺品厂表示“参数只是给你参考的”“我会让工人注意”，而海之兴工艺品厂在被诉侵权产品销售页面介绍的产品重量为6.9kg，原告公证购买的被诉侵权产品奶牙兔亦比专利产品奶牙兔摆件要轻；2021年12月27日海之兴工艺品厂发送“140个，注意查收”的信息，宏赫陶瓷公司庭审中陈述“140个”是指奶牙兔摆件，并自认销售了140个；宏赫陶瓷公司向海之兴工艺品厂采购的物品中包含奶牙兔摆件并支付了相应货款，而被告黄连系并未提交奶牙兔摆件无法发货后双方之间有退款的证据。以上材料可相互印证，海之兴工艺品厂向被告宏赫陶瓷公司销售了的被诉侵权产品奶牙兔摆件，且该奶牙兔摆件与原告专利产品奶牙兔摆件存在高度和重量差异。</w:t>
      </w:r>
      <w:r>
        <w:rPr>
          <w:rFonts w:hint="eastAsia" w:ascii="仿宋" w:hAnsi="仿宋" w:eastAsia="仿宋" w:cs="仿宋"/>
          <w:color w:val="auto"/>
          <w:sz w:val="32"/>
          <w:szCs w:val="32"/>
          <w:lang w:val="en-US" w:eastAsia="zh-CN"/>
        </w:rPr>
        <w:t>现有证据已能达到证明海之兴工艺品厂为被诉侵权产品生产制造者的高度盖然性。黄连系主张其在网店宣传及与宏赫陶瓷公司的聊天记录均存在夸大，是为吸引客户，其本身不存在工厂，但并未提交相应证据举证其店铺销售的所有产品的具体生产厂商，其辩解不足以达到否定其为生产者的目的。海之兴工艺品厂生产制造、销售被诉侵权产品侵犯原告贝汉美公司外观设计专利权，而海之兴工艺品厂为个人独资企业且在本案审理过程中注销，黄连系为该企业投资人，本院对原告贝汉美公司关于黄连系停止</w:t>
      </w:r>
      <w:r>
        <w:rPr>
          <w:rFonts w:hint="eastAsia" w:ascii="仿宋" w:hAnsi="仿宋" w:eastAsia="仿宋" w:cs="仿宋"/>
          <w:sz w:val="32"/>
          <w:szCs w:val="32"/>
          <w:lang w:eastAsia="zh-CN"/>
        </w:rPr>
        <w:t>制造、销售、许诺销售侵权产品，删除侵权链接，销毁库存和用于制造的专用模具，销毁记载有侵权产品图片的宣传资料的诉讼请求予以支持。</w:t>
      </w:r>
    </w:p>
    <w:p>
      <w:pPr>
        <w:keepNext w:val="0"/>
        <w:keepLines w:val="0"/>
        <w:pageBreakBefore w:val="0"/>
        <w:widowControl w:val="0"/>
        <w:kinsoku/>
        <w:wordWrap w:val="0"/>
        <w:overflowPunct/>
        <w:topLinePunct w:val="0"/>
        <w:autoSpaceDE/>
        <w:autoSpaceDN/>
        <w:bidi w:val="0"/>
        <w:adjustRightInd/>
        <w:snapToGrid/>
        <w:spacing w:line="240" w:lineRule="auto"/>
        <w:ind w:firstLine="640" w:firstLineChars="200"/>
        <w:textAlignment w:val="auto"/>
        <w:rPr>
          <w:rFonts w:hint="eastAsia" w:ascii="仿宋" w:hAnsi="仿宋" w:eastAsia="仿宋" w:cs="仿宋_GB2312"/>
          <w:color w:val="auto"/>
          <w:sz w:val="32"/>
          <w:szCs w:val="32"/>
          <w:highlight w:val="none"/>
          <w:lang w:val="en-US" w:eastAsia="zh-CN"/>
        </w:rPr>
      </w:pPr>
      <w:r>
        <w:rPr>
          <w:rFonts w:hint="eastAsia" w:ascii="仿宋" w:hAnsi="仿宋" w:eastAsia="仿宋" w:cs="仿宋"/>
          <w:color w:val="auto"/>
          <w:sz w:val="32"/>
          <w:szCs w:val="32"/>
          <w:lang w:val="en-US" w:eastAsia="zh-CN"/>
        </w:rPr>
        <w:t>原告贝汉美公司主张被告宏赫陶瓷公司与黄连系共同赔偿经济损失及合理费用30万元。对此，本院认为，根据《中华人民共和国专利法》第七十一条的规定，侵犯专利权的赔偿数额按照权利人因被侵权所受到的实际损失或者侵权人因侵权所获得的利益确定；权利人的损失或者侵权人获得的利益难以确定的，参照该专利许可使用费的倍数合理确定。对故意侵犯专利权，情节严重的，可以在按照上述方法确定数额的一倍以上五倍以下确定赔偿数额，权利人的损失、侵权人获得的利益和专利许可使用费均难以确定的，人民法院可以根据专利权的类型、侵权行为的性质和情节等因素，确定给予三万元以上五百万元以下的赔偿。本案中，原告贝汉美公司举证销售数据对比，以证明其因侵权造成的实际损失。对此，本院认为，根据贝汉美公司销售后台数据可知，案涉专利产品自2021年12月至今，销售额处于下滑状态。但</w:t>
      </w:r>
      <w:r>
        <w:rPr>
          <w:rFonts w:hint="eastAsia" w:ascii="仿宋" w:hAnsi="仿宋" w:eastAsia="仿宋" w:cs="仿宋_GB2312"/>
          <w:color w:val="auto"/>
          <w:sz w:val="32"/>
          <w:szCs w:val="32"/>
          <w:highlight w:val="none"/>
          <w:lang w:val="en-US" w:eastAsia="zh-CN"/>
        </w:rPr>
        <w:t>网店每月销售额会受到商品推广力度、经济形势、季节性变动、消费者购买力、商品销售周期等多种因素的影响，现有证据不足以证明涉案专利产品的销售额下降与两被告的侵权行为具有直接且唯一的因果关系。结合原告提交的公证书可知，互联网上亦存在案外人销售同款产品。该销售数据对比表仅可作为计算两被告赔偿数额的考量因素之一。</w:t>
      </w:r>
    </w:p>
    <w:p>
      <w:pPr>
        <w:keepNext w:val="0"/>
        <w:keepLines w:val="0"/>
        <w:pageBreakBefore w:val="0"/>
        <w:widowControl w:val="0"/>
        <w:kinsoku/>
        <w:wordWrap w:val="0"/>
        <w:overflowPunct/>
        <w:topLinePunct w:val="0"/>
        <w:autoSpaceDE/>
        <w:autoSpaceDN/>
        <w:bidi w:val="0"/>
        <w:adjustRightInd/>
        <w:snapToGrid/>
        <w:spacing w:line="240" w:lineRule="auto"/>
        <w:ind w:firstLine="640" w:firstLineChars="200"/>
        <w:textAlignment w:val="auto"/>
        <w:rPr>
          <w:rFonts w:hint="default" w:ascii="仿宋" w:hAnsi="仿宋" w:eastAsia="仿宋" w:cs="仿宋_GB2312"/>
          <w:color w:val="auto"/>
          <w:sz w:val="32"/>
          <w:szCs w:val="32"/>
          <w:highlight w:val="none"/>
          <w:lang w:val="en-US" w:eastAsia="zh-CN"/>
        </w:rPr>
      </w:pPr>
      <w:r>
        <w:rPr>
          <w:rFonts w:hint="eastAsia" w:ascii="仿宋" w:hAnsi="仿宋" w:eastAsia="仿宋" w:cs="仿宋_GB2312"/>
          <w:color w:val="auto"/>
          <w:sz w:val="32"/>
          <w:szCs w:val="32"/>
          <w:highlight w:val="none"/>
          <w:lang w:val="en-US" w:eastAsia="zh-CN"/>
        </w:rPr>
        <w:t>被告宏赫陶瓷公司主张其销售的被诉侵权产品均来自海之兴工艺品厂，且仅销售了140个。对此，本院认为，现有证据可以证实宏赫陶瓷公司从海之兴工艺品厂采购了被诉侵权产品，采购价格为215元/个。从海之兴工艺品厂网店关于被诉侵权产品的宣传页面可知，所附的专利证书为原告贝汉美公司所有，展示的包装盒印有贝汉美字样，而被告宏赫陶瓷公司与原告贝汉美公司同为陶瓷企业，且均位于景德镇，其在采购被诉侵权产品时应当尽到审慎的注意义务。其主张黄连系和案外人向其提供了著作权证书和授权书，但该著作权证书缺少证书主页，无发表时间，而通过被诉侵权产品销售页面附的专利证书可知原告贝汉美取得案涉专利的时间为2021年4月。因此，被告宏赫陶瓷公司销售的被诉侵权产品虽然有明确的来源，但其主观上未尽到合理注意义务，仍应承担侵权赔偿责任。其主张销售的140个被诉侵权产品与采购聊天记录中海之兴工艺品厂“</w:t>
      </w:r>
      <w:r>
        <w:rPr>
          <w:rFonts w:hint="eastAsia" w:ascii="仿宋" w:hAnsi="仿宋" w:eastAsia="仿宋" w:cs="仿宋"/>
          <w:sz w:val="32"/>
          <w:szCs w:val="32"/>
          <w:lang w:val="en-US" w:eastAsia="zh-CN"/>
        </w:rPr>
        <w:t>140个，注意查收”可相互印证，原告亦未对该销量提出异议，本院对其销售140个被诉侵权产品的事实予以确认。被告宏赫陶瓷公司的赔偿额可通过计算其</w:t>
      </w:r>
      <w:r>
        <w:rPr>
          <w:rFonts w:hint="eastAsia" w:ascii="仿宋" w:hAnsi="仿宋" w:eastAsia="仿宋" w:cs="仿宋"/>
          <w:color w:val="auto"/>
          <w:sz w:val="32"/>
          <w:szCs w:val="32"/>
          <w:lang w:val="en-US" w:eastAsia="zh-CN"/>
        </w:rPr>
        <w:t>因侵权所获得的利益确定。</w:t>
      </w:r>
      <w:r>
        <w:rPr>
          <w:rFonts w:hint="eastAsia" w:ascii="仿宋" w:hAnsi="仿宋" w:eastAsia="仿宋" w:cs="仿宋"/>
          <w:sz w:val="32"/>
          <w:szCs w:val="32"/>
          <w:lang w:val="en-US" w:eastAsia="zh-CN"/>
        </w:rPr>
        <w:t>经查明，被告宏赫陶瓷公司在其经营的宏赫家居旗舰店中销售“宏赫星光少女落地托盘家居客厅沙发边几电视柜旁大型创意摆件”，售价398元，评价数为14，已售112，在2022年3月8日和9日的直播中售价为298元/个。本院结合其采购价为215元/个，并综合考虑其运营、快递和包装费用等成本，酌定其赔偿原告贝汉美公司经济损失21420元。</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虽然1688网页显示海之兴工艺品厂网店的公司档案一栏中交易记录累计成交214笔，但鉴于该网店销售的产品并非仅为被诉侵权产品奶牙兔摆件，且1688网店存在为批发采购方便而将多种产品统一下一个产品订单的情形，故该214笔销量不应视为被诉侵权产品的实际销量。本院认为在确定海之兴工艺品厂的赔偿额时，应当充分考虑</w:t>
      </w:r>
      <w:r>
        <w:rPr>
          <w:rFonts w:hint="eastAsia" w:ascii="仿宋" w:hAnsi="仿宋" w:eastAsia="仿宋" w:cs="仿宋"/>
          <w:sz w:val="32"/>
          <w:szCs w:val="32"/>
        </w:rPr>
        <w:t>涉案专利权的类型、涉案专利的技术含量、侵权人的侵权行为和情节、侵权人的经营规模等因素</w:t>
      </w:r>
      <w:r>
        <w:rPr>
          <w:rFonts w:hint="eastAsia" w:ascii="仿宋" w:hAnsi="仿宋" w:eastAsia="仿宋" w:cs="仿宋"/>
          <w:sz w:val="32"/>
          <w:szCs w:val="32"/>
          <w:lang w:eastAsia="zh-CN"/>
        </w:rPr>
        <w:t>。此外，本院注意到以下情况：</w:t>
      </w:r>
      <w:r>
        <w:rPr>
          <w:rFonts w:hint="eastAsia" w:ascii="仿宋" w:hAnsi="仿宋" w:eastAsia="仿宋" w:cs="仿宋"/>
          <w:sz w:val="32"/>
          <w:szCs w:val="32"/>
          <w:lang w:val="en-US" w:eastAsia="zh-CN"/>
        </w:rPr>
        <w:t>1.</w:t>
      </w:r>
      <w:r>
        <w:rPr>
          <w:rFonts w:hint="eastAsia" w:ascii="仿宋" w:hAnsi="仿宋" w:eastAsia="仿宋" w:cs="仿宋"/>
          <w:color w:val="auto"/>
          <w:sz w:val="32"/>
          <w:szCs w:val="32"/>
          <w:lang w:val="en-US" w:eastAsia="zh-CN"/>
        </w:rPr>
        <w:t>海之兴工艺品厂在与宏赫陶瓷公司的采购聊天记录中表示“这款生产成本太高了，上次做3000个厂里都亏本了”；2.海之兴工艺品厂向宏赫陶瓷公司销售被诉侵权产品的单价为215元；3.海之兴工艺品厂网店销售被诉侵权产品的标价为465元/个，且2件起批，快递费10元；4.原告贝汉美公司从海之兴工艺品厂购买被诉侵权产品的实际支付价格为600元2个；5.海之兴工艺品厂在被诉侵权产品销售网页上附有原告的案涉外观设计专利权证书，且附有印有“贝汉美”标识的外包装图片；6.海之兴工艺品厂主张从原告处购买过案涉专利产品。本院酌定海之兴工艺品厂应当赔偿原告经济损失100000元。根据《中华人民共和国个人独资企业法》第二十八条规定“个人独资企业解散后，原投资人对个人独资企业存续期间的债务仍应承担偿还责任，但债权人在五年内未向债务人提出偿债请求的，该责任消灭。”海之兴工艺品厂为个人独资企业，被告黄连系为其投资人，该企业在本案审理过程中被黄连系注销，故该赔偿责任应当由黄连系承担。</w:t>
      </w:r>
    </w:p>
    <w:p>
      <w:pPr>
        <w:keepNext w:val="0"/>
        <w:keepLines w:val="0"/>
        <w:pageBreakBefore w:val="0"/>
        <w:widowControl w:val="0"/>
        <w:kinsoku/>
        <w:wordWrap w:val="0"/>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原告贝汉美公司为维护其合法权益，公证购买了侵权产品，共支出公证费3630元及购买侵权产品费600元，该合理维权费用应予支持。但鉴于原告贝汉美公司就同一侵权行为向景德镇市珠山区人民法院对本案被告另案提起了侵害商标权纠纷诉讼，本院认为该维权支出费用不应在本案中全额支持，本院支持2115元。原告贝汉美公司未向本院提交律师费发票及支付凭证，但考虑到其聘请律师出庭的事实，本院酌情支持5000元。因此，被告宏赫陶瓷公司与黄连系共同承担原告的合理维权费用为7115元。</w:t>
      </w:r>
    </w:p>
    <w:p>
      <w:pPr>
        <w:keepNext w:val="0"/>
        <w:keepLines w:val="0"/>
        <w:pageBreakBefore w:val="0"/>
        <w:widowControl w:val="0"/>
        <w:kinsoku/>
        <w:wordWrap w:val="0"/>
        <w:overflowPunct/>
        <w:topLinePunct w:val="0"/>
        <w:autoSpaceDE/>
        <w:autoSpaceDN/>
        <w:bidi w:val="0"/>
        <w:adjustRightInd/>
        <w:snapToGrid/>
        <w:spacing w:line="240" w:lineRule="auto"/>
        <w:ind w:firstLine="640" w:firstLineChars="200"/>
        <w:textAlignment w:val="auto"/>
        <w:rPr>
          <w:rFonts w:hint="eastAsia" w:ascii="仿宋" w:hAnsi="仿宋" w:eastAsia="仿宋"/>
          <w:sz w:val="32"/>
          <w:szCs w:val="32"/>
          <w:lang w:val="en-US" w:eastAsia="zh-CN"/>
        </w:rPr>
      </w:pPr>
      <w:r>
        <w:rPr>
          <w:rFonts w:hint="eastAsia" w:ascii="仿宋" w:hAnsi="仿宋" w:eastAsia="仿宋" w:cs="仿宋"/>
          <w:color w:val="auto"/>
          <w:sz w:val="32"/>
          <w:szCs w:val="32"/>
          <w:lang w:val="en-US" w:eastAsia="zh-CN"/>
        </w:rPr>
        <w:t>综上，依照《中华人民共和国专利法》第</w:t>
      </w:r>
      <w:r>
        <w:rPr>
          <w:rFonts w:hint="eastAsia" w:ascii="仿宋" w:hAnsi="仿宋" w:eastAsia="仿宋"/>
          <w:sz w:val="32"/>
          <w:szCs w:val="32"/>
          <w:lang w:val="en-US" w:eastAsia="zh-CN"/>
        </w:rPr>
        <w:t>六十四条第二款、第七十一条，</w:t>
      </w:r>
      <w:r>
        <w:rPr>
          <w:rFonts w:hint="eastAsia" w:ascii="仿宋" w:hAnsi="仿宋" w:eastAsia="仿宋" w:cs="仿宋"/>
          <w:color w:val="auto"/>
          <w:sz w:val="32"/>
          <w:szCs w:val="32"/>
          <w:lang w:val="en-US" w:eastAsia="zh-CN"/>
        </w:rPr>
        <w:t>《中华人民共和国个人独资企业法》第二十八条，</w:t>
      </w:r>
      <w:r>
        <w:rPr>
          <w:rFonts w:hint="eastAsia" w:ascii="仿宋" w:hAnsi="仿宋" w:eastAsia="仿宋"/>
          <w:sz w:val="32"/>
          <w:szCs w:val="32"/>
          <w:lang w:val="en-US" w:eastAsia="zh-CN"/>
        </w:rPr>
        <w:t>《最高人民法院关于审理侵犯专利权纠纷案件应用法律若干问题的解释》第八条、第十条、第十一条，《最高人民法院关于审理侵犯专利权纠纷案件应用法律若干问题的解释（二）》第二十六条，《中华人民共和国民事诉讼法》第六十七条、第一百四十五条之规定，判决如下：</w:t>
      </w:r>
    </w:p>
    <w:p>
      <w:pPr>
        <w:keepNext w:val="0"/>
        <w:keepLines w:val="0"/>
        <w:pageBreakBefore w:val="0"/>
        <w:widowControl w:val="0"/>
        <w:kinsoku/>
        <w:wordWrap w:val="0"/>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lang w:eastAsia="zh-CN"/>
        </w:rPr>
      </w:pPr>
      <w:r>
        <w:rPr>
          <w:rFonts w:hint="eastAsia" w:ascii="仿宋" w:hAnsi="仿宋" w:eastAsia="仿宋"/>
          <w:sz w:val="32"/>
          <w:szCs w:val="32"/>
          <w:lang w:val="en-US" w:eastAsia="zh-CN"/>
        </w:rPr>
        <w:t>一、被告景德镇宏赫陶瓷有限公司立即停止销售、许诺销售</w:t>
      </w:r>
      <w:r>
        <w:rPr>
          <w:rFonts w:hint="eastAsia" w:ascii="仿宋" w:hAnsi="仿宋" w:eastAsia="仿宋" w:cs="仿宋"/>
          <w:sz w:val="32"/>
          <w:szCs w:val="32"/>
          <w:lang w:eastAsia="zh-CN"/>
        </w:rPr>
        <w:t>侵犯原告ZL202130187897.4号陶瓷摆件（萌兔）外观设计专利权产品并删除侵权链接；</w:t>
      </w:r>
      <w:r>
        <w:rPr>
          <w:rFonts w:hint="eastAsia" w:ascii="仿宋" w:hAnsi="仿宋" w:eastAsia="仿宋" w:cs="仿宋"/>
          <w:sz w:val="32"/>
          <w:szCs w:val="32"/>
          <w:lang w:val="en-US" w:eastAsia="zh-CN"/>
        </w:rPr>
        <w:t>被告黄连系立即</w:t>
      </w:r>
      <w:r>
        <w:rPr>
          <w:rFonts w:hint="eastAsia" w:ascii="仿宋" w:hAnsi="仿宋" w:eastAsia="仿宋" w:cs="仿宋"/>
          <w:sz w:val="32"/>
          <w:szCs w:val="32"/>
          <w:lang w:eastAsia="zh-CN"/>
        </w:rPr>
        <w:t>停止制造、销售、许诺</w:t>
      </w:r>
      <w:r>
        <w:rPr>
          <w:rFonts w:hint="eastAsia" w:ascii="仿宋" w:hAnsi="仿宋" w:eastAsia="仿宋"/>
          <w:sz w:val="32"/>
          <w:szCs w:val="32"/>
          <w:lang w:val="en-US" w:eastAsia="zh-CN"/>
        </w:rPr>
        <w:t>销售</w:t>
      </w:r>
      <w:r>
        <w:rPr>
          <w:rFonts w:hint="eastAsia" w:ascii="仿宋" w:hAnsi="仿宋" w:eastAsia="仿宋" w:cs="仿宋"/>
          <w:sz w:val="32"/>
          <w:szCs w:val="32"/>
          <w:lang w:eastAsia="zh-CN"/>
        </w:rPr>
        <w:t>侵犯原告ZL202130187897.4号陶瓷摆件（萌兔）外观设计专利权产品并删除侵权链接，销毁库存侵权产品和用于制造侵权产品的专用模具，销毁记载有侵权产品图片的宣传资料。</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二、</w:t>
      </w:r>
      <w:r>
        <w:rPr>
          <w:rFonts w:hint="eastAsia" w:ascii="仿宋" w:hAnsi="仿宋" w:eastAsia="仿宋" w:cs="仿宋"/>
          <w:sz w:val="32"/>
          <w:szCs w:val="32"/>
          <w:lang w:eastAsia="zh-CN"/>
        </w:rPr>
        <w:t>被告</w:t>
      </w:r>
      <w:r>
        <w:rPr>
          <w:rFonts w:hint="eastAsia" w:ascii="仿宋" w:hAnsi="仿宋" w:eastAsia="仿宋"/>
          <w:sz w:val="32"/>
          <w:szCs w:val="32"/>
          <w:lang w:val="en-US" w:eastAsia="zh-CN"/>
        </w:rPr>
        <w:t>景德镇宏赫陶瓷有限公司于本判决生效之日起十五日内赔偿原告景德镇市贝汉美陶瓷有限公司经济损失21420元；被告黄连系于本判决生效之日起十五日内赔偿原告景德镇市贝汉美陶瓷有限公司经济损失100000元。</w:t>
      </w:r>
    </w:p>
    <w:p>
      <w:pPr>
        <w:keepNext w:val="0"/>
        <w:keepLines w:val="0"/>
        <w:pageBreakBefore w:val="0"/>
        <w:widowControl w:val="0"/>
        <w:kinsoku/>
        <w:wordWrap w:val="0"/>
        <w:overflowPunct/>
        <w:topLinePunct w:val="0"/>
        <w:autoSpaceDE/>
        <w:autoSpaceDN/>
        <w:bidi w:val="0"/>
        <w:adjustRightInd/>
        <w:snapToGrid/>
        <w:spacing w:line="240" w:lineRule="auto"/>
        <w:ind w:firstLine="640" w:firstLineChars="200"/>
        <w:textAlignment w:val="auto"/>
        <w:rPr>
          <w:rFonts w:hint="eastAsia" w:ascii="仿宋" w:hAnsi="仿宋" w:eastAsia="仿宋"/>
          <w:sz w:val="32"/>
          <w:szCs w:val="32"/>
          <w:lang w:val="en-US" w:eastAsia="zh-CN"/>
        </w:rPr>
      </w:pPr>
      <w:r>
        <w:rPr>
          <w:rFonts w:hint="eastAsia" w:ascii="仿宋" w:hAnsi="仿宋" w:eastAsia="仿宋" w:cs="仿宋"/>
          <w:sz w:val="32"/>
          <w:szCs w:val="32"/>
          <w:lang w:eastAsia="zh-CN"/>
        </w:rPr>
        <w:t>三、</w:t>
      </w:r>
      <w:r>
        <w:rPr>
          <w:rFonts w:hint="eastAsia" w:ascii="仿宋" w:hAnsi="仿宋" w:eastAsia="仿宋"/>
          <w:sz w:val="32"/>
          <w:szCs w:val="32"/>
          <w:lang w:val="en-US" w:eastAsia="zh-CN"/>
        </w:rPr>
        <w:t>被告景德镇宏赫陶瓷有限公司与被告黄连系共同赔偿原告景德镇市贝汉美陶瓷有限公司合理维权费用7115元。</w:t>
      </w:r>
    </w:p>
    <w:p>
      <w:pPr>
        <w:keepNext w:val="0"/>
        <w:keepLines w:val="0"/>
        <w:pageBreakBefore w:val="0"/>
        <w:widowControl w:val="0"/>
        <w:kinsoku/>
        <w:wordWrap w:val="0"/>
        <w:overflowPunct/>
        <w:topLinePunct w:val="0"/>
        <w:autoSpaceDE/>
        <w:autoSpaceDN/>
        <w:bidi w:val="0"/>
        <w:adjustRightInd/>
        <w:snapToGrid/>
        <w:spacing w:line="240" w:lineRule="auto"/>
        <w:ind w:firstLine="640" w:firstLineChars="200"/>
        <w:textAlignment w:val="auto"/>
        <w:rPr>
          <w:rFonts w:hint="default" w:ascii="仿宋" w:hAnsi="仿宋" w:eastAsia="仿宋"/>
          <w:sz w:val="32"/>
          <w:szCs w:val="32"/>
          <w:lang w:val="en-US" w:eastAsia="zh-CN"/>
        </w:rPr>
      </w:pPr>
      <w:r>
        <w:rPr>
          <w:rFonts w:hint="eastAsia" w:ascii="仿宋" w:hAnsi="仿宋" w:eastAsia="仿宋"/>
          <w:sz w:val="32"/>
          <w:szCs w:val="32"/>
          <w:lang w:val="en-US" w:eastAsia="zh-CN"/>
        </w:rPr>
        <w:t>四、驳回原告景德镇市贝汉美陶瓷有限公司的其他诉讼请求。</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如果未按本判决指定的期间履行给付金钱义务，应当依照《中华人民共和国民事诉讼法》第二百</w:t>
      </w:r>
      <w:r>
        <w:rPr>
          <w:rFonts w:hint="eastAsia" w:ascii="仿宋" w:hAnsi="仿宋" w:eastAsia="仿宋" w:cs="仿宋"/>
          <w:color w:val="auto"/>
          <w:sz w:val="32"/>
          <w:szCs w:val="32"/>
          <w:lang w:eastAsia="zh-CN"/>
        </w:rPr>
        <w:t>六十</w:t>
      </w:r>
      <w:r>
        <w:rPr>
          <w:rFonts w:hint="eastAsia" w:ascii="仿宋" w:hAnsi="仿宋" w:eastAsia="仿宋" w:cs="仿宋"/>
          <w:color w:val="auto"/>
          <w:sz w:val="32"/>
          <w:szCs w:val="32"/>
        </w:rPr>
        <w:t>条</w:t>
      </w:r>
      <w:r>
        <w:rPr>
          <w:rFonts w:hint="eastAsia" w:ascii="仿宋" w:hAnsi="仿宋" w:eastAsia="仿宋" w:cs="仿宋"/>
          <w:color w:val="auto"/>
          <w:sz w:val="32"/>
          <w:szCs w:val="32"/>
          <w:lang w:eastAsia="zh-CN"/>
        </w:rPr>
        <w:t>之</w:t>
      </w:r>
      <w:r>
        <w:rPr>
          <w:rFonts w:hint="eastAsia" w:ascii="仿宋" w:hAnsi="仿宋" w:eastAsia="仿宋" w:cs="仿宋"/>
          <w:color w:val="auto"/>
          <w:sz w:val="32"/>
          <w:szCs w:val="32"/>
        </w:rPr>
        <w:t>规定，加倍支付迟延履行期间的债务利息。</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both"/>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rPr>
        <w:t>本案案件受理费</w:t>
      </w:r>
      <w:r>
        <w:rPr>
          <w:rFonts w:hint="eastAsia" w:ascii="仿宋" w:hAnsi="仿宋" w:eastAsia="仿宋" w:cs="仿宋"/>
          <w:color w:val="auto"/>
          <w:sz w:val="32"/>
          <w:szCs w:val="32"/>
          <w:lang w:val="en-US" w:eastAsia="zh-CN"/>
        </w:rPr>
        <w:t>5800</w:t>
      </w:r>
      <w:r>
        <w:rPr>
          <w:rFonts w:hint="eastAsia" w:ascii="仿宋" w:hAnsi="仿宋" w:eastAsia="仿宋" w:cs="仿宋"/>
          <w:color w:val="auto"/>
          <w:sz w:val="32"/>
          <w:szCs w:val="32"/>
        </w:rPr>
        <w:t>元，由原告</w:t>
      </w:r>
      <w:r>
        <w:rPr>
          <w:rFonts w:hint="eastAsia" w:ascii="仿宋" w:hAnsi="仿宋" w:eastAsia="仿宋"/>
          <w:sz w:val="32"/>
          <w:szCs w:val="32"/>
          <w:lang w:val="en-US" w:eastAsia="zh-CN"/>
        </w:rPr>
        <w:t>景德镇市贝汉美陶瓷有限公司</w:t>
      </w:r>
      <w:r>
        <w:rPr>
          <w:rFonts w:hint="eastAsia" w:ascii="仿宋" w:hAnsi="仿宋" w:eastAsia="仿宋" w:cs="仿宋"/>
          <w:color w:val="auto"/>
          <w:sz w:val="32"/>
          <w:szCs w:val="32"/>
        </w:rPr>
        <w:t>负担</w:t>
      </w:r>
      <w:r>
        <w:rPr>
          <w:rFonts w:hint="eastAsia" w:ascii="仿宋" w:hAnsi="仿宋" w:eastAsia="仿宋" w:cs="仿宋"/>
          <w:color w:val="auto"/>
          <w:sz w:val="32"/>
          <w:szCs w:val="32"/>
          <w:lang w:val="en-US" w:eastAsia="zh-CN"/>
        </w:rPr>
        <w:t>1500</w:t>
      </w:r>
      <w:r>
        <w:rPr>
          <w:rFonts w:hint="eastAsia" w:ascii="仿宋" w:hAnsi="仿宋" w:eastAsia="仿宋" w:cs="仿宋"/>
          <w:color w:val="auto"/>
          <w:sz w:val="32"/>
          <w:szCs w:val="32"/>
        </w:rPr>
        <w:t>元，由被告</w:t>
      </w:r>
      <w:r>
        <w:rPr>
          <w:rFonts w:hint="eastAsia" w:ascii="仿宋" w:hAnsi="仿宋" w:eastAsia="仿宋"/>
          <w:sz w:val="32"/>
          <w:szCs w:val="32"/>
          <w:lang w:val="en-US" w:eastAsia="zh-CN"/>
        </w:rPr>
        <w:t>景德镇宏赫陶瓷有限公司</w:t>
      </w:r>
      <w:r>
        <w:rPr>
          <w:rFonts w:hint="eastAsia" w:ascii="仿宋" w:hAnsi="仿宋" w:eastAsia="仿宋" w:cs="仿宋"/>
          <w:color w:val="auto"/>
          <w:sz w:val="32"/>
          <w:szCs w:val="32"/>
        </w:rPr>
        <w:t>负担</w:t>
      </w:r>
      <w:r>
        <w:rPr>
          <w:rFonts w:hint="eastAsia" w:ascii="仿宋" w:hAnsi="仿宋" w:eastAsia="仿宋" w:cs="仿宋"/>
          <w:color w:val="auto"/>
          <w:sz w:val="32"/>
          <w:szCs w:val="32"/>
          <w:lang w:val="en-US" w:eastAsia="zh-CN"/>
        </w:rPr>
        <w:t>1800</w:t>
      </w:r>
      <w:r>
        <w:rPr>
          <w:rFonts w:hint="eastAsia" w:ascii="仿宋" w:hAnsi="仿宋" w:eastAsia="仿宋" w:cs="仿宋"/>
          <w:color w:val="auto"/>
          <w:sz w:val="32"/>
          <w:szCs w:val="32"/>
        </w:rPr>
        <w:t>元</w:t>
      </w:r>
      <w:r>
        <w:rPr>
          <w:rFonts w:hint="eastAsia" w:ascii="仿宋" w:hAnsi="仿宋" w:eastAsia="仿宋" w:cs="仿宋"/>
          <w:color w:val="auto"/>
          <w:sz w:val="32"/>
          <w:szCs w:val="32"/>
          <w:lang w:eastAsia="zh-CN"/>
        </w:rPr>
        <w:t>，由被告黄连系负担</w:t>
      </w:r>
      <w:r>
        <w:rPr>
          <w:rFonts w:hint="eastAsia" w:ascii="仿宋" w:hAnsi="仿宋" w:eastAsia="仿宋" w:cs="仿宋"/>
          <w:color w:val="auto"/>
          <w:sz w:val="32"/>
          <w:szCs w:val="32"/>
          <w:lang w:val="en-US" w:eastAsia="zh-CN"/>
        </w:rPr>
        <w:t>2500元</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原告已预付的由被告负担的诉讼费，可直接向被告主张。</w:t>
      </w:r>
    </w:p>
    <w:p>
      <w:pPr>
        <w:keepNext w:val="0"/>
        <w:keepLines w:val="0"/>
        <w:pageBreakBefore w:val="0"/>
        <w:kinsoku/>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如不服本判决，可以在判决书送达之日起十五日内，向本院递交上诉状，并按照对方当事人或者代表人的人数提出副本，上诉于江西省高级人民法院。</w:t>
      </w:r>
    </w:p>
    <w:p>
      <w:pPr>
        <w:keepNext w:val="0"/>
        <w:keepLines w:val="0"/>
        <w:pageBreakBefore w:val="0"/>
        <w:widowControl w:val="0"/>
        <w:kinsoku/>
        <w:wordWrap w:val="0"/>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lang w:val="en-US" w:eastAsia="zh-CN"/>
        </w:rPr>
      </w:pPr>
    </w:p>
    <w:p>
      <w:pPr>
        <w:keepNext w:val="0"/>
        <w:keepLines w:val="0"/>
        <w:pageBreakBefore w:val="0"/>
        <w:widowControl w:val="0"/>
        <w:kinsoku/>
        <w:wordWrap w:val="0"/>
        <w:overflowPunct/>
        <w:topLinePunct w:val="0"/>
        <w:autoSpaceDE/>
        <w:autoSpaceDN/>
        <w:bidi w:val="0"/>
        <w:adjustRightInd/>
        <w:snapToGrid/>
        <w:spacing w:line="240" w:lineRule="auto"/>
        <w:ind w:firstLine="640" w:firstLineChars="200"/>
        <w:jc w:val="righ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审 判 长      吴 海 平</w:t>
      </w:r>
    </w:p>
    <w:p>
      <w:pPr>
        <w:keepNext w:val="0"/>
        <w:keepLines w:val="0"/>
        <w:pageBreakBefore w:val="0"/>
        <w:widowControl w:val="0"/>
        <w:kinsoku/>
        <w:wordWrap w:val="0"/>
        <w:overflowPunct/>
        <w:topLinePunct w:val="0"/>
        <w:autoSpaceDE/>
        <w:autoSpaceDN/>
        <w:bidi w:val="0"/>
        <w:adjustRightInd/>
        <w:snapToGrid/>
        <w:spacing w:line="240" w:lineRule="auto"/>
        <w:ind w:firstLine="640" w:firstLineChars="200"/>
        <w:jc w:val="righ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审 判 员      胡 志 勇</w:t>
      </w:r>
    </w:p>
    <w:p>
      <w:pPr>
        <w:keepNext w:val="0"/>
        <w:keepLines w:val="0"/>
        <w:pageBreakBefore w:val="0"/>
        <w:widowControl w:val="0"/>
        <w:kinsoku/>
        <w:wordWrap w:val="0"/>
        <w:overflowPunct/>
        <w:topLinePunct w:val="0"/>
        <w:autoSpaceDE/>
        <w:autoSpaceDN/>
        <w:bidi w:val="0"/>
        <w:adjustRightInd/>
        <w:snapToGrid/>
        <w:spacing w:line="240" w:lineRule="auto"/>
        <w:ind w:firstLine="640" w:firstLineChars="200"/>
        <w:jc w:val="righ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审 判 员      林    </w:t>
      </w:r>
      <w:bookmarkStart w:id="1" w:name="_GoBack"/>
      <w:bookmarkEnd w:id="1"/>
      <w:r>
        <w:rPr>
          <w:rFonts w:hint="eastAsia" w:ascii="仿宋" w:hAnsi="仿宋" w:eastAsia="仿宋" w:cs="仿宋"/>
          <w:sz w:val="32"/>
          <w:szCs w:val="32"/>
          <w:lang w:val="en-US" w:eastAsia="zh-CN"/>
        </w:rPr>
        <w:t>伟</w:t>
      </w:r>
    </w:p>
    <w:p>
      <w:pPr>
        <w:keepNext w:val="0"/>
        <w:keepLines w:val="0"/>
        <w:pageBreakBefore w:val="0"/>
        <w:widowControl w:val="0"/>
        <w:kinsoku/>
        <w:wordWrap w:val="0"/>
        <w:overflowPunct/>
        <w:topLinePunct w:val="0"/>
        <w:autoSpaceDE/>
        <w:autoSpaceDN/>
        <w:bidi w:val="0"/>
        <w:adjustRightInd/>
        <w:snapToGrid/>
        <w:spacing w:line="240" w:lineRule="auto"/>
        <w:ind w:firstLine="640" w:firstLineChars="200"/>
        <w:jc w:val="right"/>
        <w:textAlignment w:val="auto"/>
        <w:rPr>
          <w:rFonts w:hint="eastAsia" w:ascii="仿宋" w:hAnsi="仿宋" w:eastAsia="仿宋" w:cs="仿宋"/>
          <w:sz w:val="32"/>
          <w:szCs w:val="32"/>
          <w:lang w:val="en-US" w:eastAsia="zh-CN"/>
        </w:rPr>
      </w:pPr>
    </w:p>
    <w:p>
      <w:pPr>
        <w:keepNext w:val="0"/>
        <w:keepLines w:val="0"/>
        <w:pageBreakBefore w:val="0"/>
        <w:widowControl w:val="0"/>
        <w:kinsoku/>
        <w:wordWrap w:val="0"/>
        <w:overflowPunct/>
        <w:topLinePunct w:val="0"/>
        <w:autoSpaceDE/>
        <w:autoSpaceDN/>
        <w:bidi w:val="0"/>
        <w:adjustRightInd/>
        <w:snapToGrid/>
        <w:spacing w:line="240" w:lineRule="auto"/>
        <w:ind w:firstLine="640" w:firstLineChars="200"/>
        <w:jc w:val="right"/>
        <w:textAlignment w:val="auto"/>
        <w:rPr>
          <w:rFonts w:hint="eastAsia" w:ascii="仿宋" w:hAnsi="仿宋" w:eastAsia="仿宋" w:cs="仿宋"/>
          <w:sz w:val="32"/>
          <w:szCs w:val="32"/>
          <w:lang w:val="en-US" w:eastAsia="zh-CN"/>
        </w:rPr>
      </w:pPr>
    </w:p>
    <w:p>
      <w:pPr>
        <w:keepNext w:val="0"/>
        <w:keepLines w:val="0"/>
        <w:pageBreakBefore w:val="0"/>
        <w:widowControl w:val="0"/>
        <w:kinsoku/>
        <w:wordWrap w:val="0"/>
        <w:overflowPunct/>
        <w:topLinePunct w:val="0"/>
        <w:autoSpaceDE/>
        <w:autoSpaceDN/>
        <w:bidi w:val="0"/>
        <w:adjustRightInd/>
        <w:snapToGrid/>
        <w:spacing w:line="240" w:lineRule="auto"/>
        <w:ind w:firstLine="640" w:firstLineChars="200"/>
        <w:jc w:val="right"/>
        <w:textAlignment w:val="auto"/>
        <w:rPr>
          <w:rFonts w:hint="eastAsia" w:ascii="仿宋" w:hAnsi="仿宋" w:eastAsia="仿宋" w:cs="仿宋"/>
          <w:sz w:val="32"/>
          <w:szCs w:val="32"/>
          <w:lang w:val="en-US" w:eastAsia="zh-CN"/>
        </w:rPr>
      </w:pPr>
    </w:p>
    <w:p>
      <w:pPr>
        <w:keepNext w:val="0"/>
        <w:keepLines w:val="0"/>
        <w:pageBreakBefore w:val="0"/>
        <w:widowControl w:val="0"/>
        <w:kinsoku/>
        <w:wordWrap w:val="0"/>
        <w:overflowPunct/>
        <w:topLinePunct w:val="0"/>
        <w:autoSpaceDE/>
        <w:autoSpaceDN/>
        <w:bidi w:val="0"/>
        <w:adjustRightInd/>
        <w:snapToGrid/>
        <w:spacing w:line="240" w:lineRule="auto"/>
        <w:ind w:firstLine="640" w:firstLineChars="200"/>
        <w:jc w:val="righ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二〇二二年九月二十七日</w:t>
      </w:r>
    </w:p>
    <w:p>
      <w:pPr>
        <w:keepNext w:val="0"/>
        <w:keepLines w:val="0"/>
        <w:pageBreakBefore w:val="0"/>
        <w:widowControl w:val="0"/>
        <w:kinsoku/>
        <w:wordWrap w:val="0"/>
        <w:overflowPunct/>
        <w:topLinePunct w:val="0"/>
        <w:autoSpaceDE/>
        <w:autoSpaceDN/>
        <w:bidi w:val="0"/>
        <w:adjustRightInd/>
        <w:snapToGrid/>
        <w:spacing w:line="240" w:lineRule="auto"/>
        <w:ind w:firstLine="640" w:firstLineChars="200"/>
        <w:jc w:val="right"/>
        <w:textAlignment w:val="auto"/>
        <w:rPr>
          <w:rFonts w:hint="eastAsia" w:ascii="仿宋" w:hAnsi="仿宋" w:eastAsia="仿宋" w:cs="仿宋"/>
          <w:sz w:val="32"/>
          <w:szCs w:val="32"/>
          <w:lang w:val="en-US" w:eastAsia="zh-CN"/>
        </w:rPr>
      </w:pPr>
    </w:p>
    <w:p>
      <w:pPr>
        <w:keepNext w:val="0"/>
        <w:keepLines w:val="0"/>
        <w:pageBreakBefore w:val="0"/>
        <w:widowControl w:val="0"/>
        <w:kinsoku/>
        <w:wordWrap w:val="0"/>
        <w:overflowPunct/>
        <w:topLinePunct w:val="0"/>
        <w:autoSpaceDE/>
        <w:autoSpaceDN/>
        <w:bidi w:val="0"/>
        <w:adjustRightInd/>
        <w:snapToGrid/>
        <w:spacing w:line="240" w:lineRule="auto"/>
        <w:ind w:firstLine="640" w:firstLineChars="200"/>
        <w:jc w:val="right"/>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书 记 员      祝    奇</w:t>
      </w:r>
    </w:p>
    <w:p>
      <w:pPr>
        <w:keepNext w:val="0"/>
        <w:keepLines w:val="0"/>
        <w:pageBreakBefore w:val="0"/>
        <w:widowControl w:val="0"/>
        <w:kinsoku/>
        <w:wordWrap w:val="0"/>
        <w:overflowPunct/>
        <w:topLinePunct w:val="0"/>
        <w:autoSpaceDE/>
        <w:autoSpaceDN/>
        <w:bidi w:val="0"/>
        <w:adjustRightInd/>
        <w:snapToGrid/>
        <w:spacing w:line="240" w:lineRule="auto"/>
        <w:jc w:val="right"/>
        <w:textAlignment w:val="auto"/>
        <w:rPr>
          <w:rFonts w:hint="eastAsia" w:ascii="仿宋" w:hAnsi="仿宋" w:eastAsia="仿宋" w:cs="仿宋"/>
          <w:sz w:val="32"/>
          <w:szCs w:val="32"/>
          <w:lang w:eastAsia="zh-CN"/>
        </w:rPr>
      </w:pPr>
    </w:p>
    <w:p>
      <w:pPr>
        <w:keepNext w:val="0"/>
        <w:keepLines w:val="0"/>
        <w:pageBreakBefore w:val="0"/>
        <w:widowControl w:val="0"/>
        <w:kinsoku/>
        <w:wordWrap w:val="0"/>
        <w:overflowPunct/>
        <w:topLinePunct w:val="0"/>
        <w:autoSpaceDE/>
        <w:autoSpaceDN/>
        <w:bidi w:val="0"/>
        <w:adjustRightInd/>
        <w:snapToGrid/>
        <w:spacing w:line="240" w:lineRule="auto"/>
        <w:jc w:val="right"/>
        <w:textAlignment w:val="auto"/>
        <w:rPr>
          <w:rFonts w:hint="eastAsia" w:ascii="仿宋" w:hAnsi="仿宋" w:eastAsia="仿宋" w:cs="仿宋"/>
          <w:sz w:val="32"/>
          <w:szCs w:val="32"/>
          <w:lang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367A61"/>
    <w:rsid w:val="01300B82"/>
    <w:rsid w:val="01796754"/>
    <w:rsid w:val="025E70B1"/>
    <w:rsid w:val="03A50BE6"/>
    <w:rsid w:val="03D72C37"/>
    <w:rsid w:val="04E8308F"/>
    <w:rsid w:val="0E1A17CD"/>
    <w:rsid w:val="12821724"/>
    <w:rsid w:val="13420D8F"/>
    <w:rsid w:val="14A0389B"/>
    <w:rsid w:val="185D5C73"/>
    <w:rsid w:val="18D147CD"/>
    <w:rsid w:val="199853FD"/>
    <w:rsid w:val="19CA281C"/>
    <w:rsid w:val="1CBE3DB7"/>
    <w:rsid w:val="1E5C0ADE"/>
    <w:rsid w:val="203B5539"/>
    <w:rsid w:val="216270D3"/>
    <w:rsid w:val="236363F4"/>
    <w:rsid w:val="23EC19CC"/>
    <w:rsid w:val="25EF39C2"/>
    <w:rsid w:val="266D5521"/>
    <w:rsid w:val="2670313A"/>
    <w:rsid w:val="276372AB"/>
    <w:rsid w:val="28941F36"/>
    <w:rsid w:val="29332D7B"/>
    <w:rsid w:val="2A157267"/>
    <w:rsid w:val="2B8D460A"/>
    <w:rsid w:val="2D190E12"/>
    <w:rsid w:val="2EBD722C"/>
    <w:rsid w:val="30697BBE"/>
    <w:rsid w:val="31630393"/>
    <w:rsid w:val="318806ED"/>
    <w:rsid w:val="31E80688"/>
    <w:rsid w:val="333C0ED4"/>
    <w:rsid w:val="33D94DEA"/>
    <w:rsid w:val="37FE7D24"/>
    <w:rsid w:val="39367A61"/>
    <w:rsid w:val="39FD6A46"/>
    <w:rsid w:val="3A8F7BFC"/>
    <w:rsid w:val="3C28249E"/>
    <w:rsid w:val="3C4A3B01"/>
    <w:rsid w:val="3CD3354C"/>
    <w:rsid w:val="3D39210F"/>
    <w:rsid w:val="3DEA0877"/>
    <w:rsid w:val="3EDD3542"/>
    <w:rsid w:val="44475C37"/>
    <w:rsid w:val="470E6809"/>
    <w:rsid w:val="485A2299"/>
    <w:rsid w:val="495F29BE"/>
    <w:rsid w:val="4A1E35D5"/>
    <w:rsid w:val="4A7205F2"/>
    <w:rsid w:val="4E5952E3"/>
    <w:rsid w:val="53B8745D"/>
    <w:rsid w:val="575D0DE0"/>
    <w:rsid w:val="58096099"/>
    <w:rsid w:val="58F80D95"/>
    <w:rsid w:val="5AE22A57"/>
    <w:rsid w:val="5C7C0BA6"/>
    <w:rsid w:val="5D3648D7"/>
    <w:rsid w:val="5DA6358D"/>
    <w:rsid w:val="5E593825"/>
    <w:rsid w:val="5E836621"/>
    <w:rsid w:val="60261D39"/>
    <w:rsid w:val="60DA5472"/>
    <w:rsid w:val="6117316B"/>
    <w:rsid w:val="637F513A"/>
    <w:rsid w:val="649A1A8A"/>
    <w:rsid w:val="696E07BD"/>
    <w:rsid w:val="6A1432A8"/>
    <w:rsid w:val="6CBE2F62"/>
    <w:rsid w:val="6D620B0F"/>
    <w:rsid w:val="702E5E5C"/>
    <w:rsid w:val="71FF3A42"/>
    <w:rsid w:val="725C34BA"/>
    <w:rsid w:val="732F4BD6"/>
    <w:rsid w:val="73FD45E9"/>
    <w:rsid w:val="74F727AF"/>
    <w:rsid w:val="75960E5A"/>
    <w:rsid w:val="7A845ACE"/>
    <w:rsid w:val="7A99549E"/>
    <w:rsid w:val="7E687ABC"/>
    <w:rsid w:val="7F7F2D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22</TotalTime>
  <ScaleCrop>false</ScaleCrop>
  <LinksUpToDate>false</LinksUpToDate>
  <CharactersWithSpaces>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2022-09-14T12:23:00Z</dcterms:created>
  <dc:creator>胡志勇</dc:creator>
  <cp:lastModifiedBy>胡志勇</cp:lastModifiedBy>
  <cp:lastPrinted>2022-09-26T01:45:00Z</cp:lastPrinted>
  <dcterms:modified xsi:type="dcterms:W3CDTF">2022-09-27T04:53:13Z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y fmtid="{D5CDD505-2E9C-101B-9397-08002B2CF9AE}" pid="3" name="ICV">
    <vt:lpwstr>E7ACE8823F3C46639D8584B84368CF01</vt:lpwstr>
  </property>
</Properties>
</file>