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E8CF"/>
  <w:body>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宋体" w:eastAsia="方正小标宋简体"/>
          <w:kern w:val="0"/>
          <w:sz w:val="44"/>
        </w:rPr>
      </w:pPr>
      <w:bookmarkStart w:id="0" w:name="_GoBack"/>
      <w:bookmarkEnd w:id="0"/>
      <w:r>
        <w:rPr>
          <w:rFonts w:hint="eastAsia" w:ascii="方正小标宋简体" w:hAnsi="宋体" w:eastAsia="方正小标宋简体"/>
          <w:kern w:val="0"/>
          <w:sz w:val="44"/>
        </w:rPr>
        <w:t>北京知识产权法院</w:t>
      </w:r>
    </w:p>
    <w:p>
      <w:pPr>
        <w:keepNext w:val="0"/>
        <w:keepLines w:val="0"/>
        <w:pageBreakBefore w:val="0"/>
        <w:widowControl w:val="0"/>
        <w:kinsoku/>
        <w:overflowPunct/>
        <w:topLinePunct w:val="0"/>
        <w:autoSpaceDE/>
        <w:autoSpaceDN/>
        <w:bidi w:val="0"/>
        <w:adjustRightInd/>
        <w:snapToGrid/>
        <w:spacing w:after="480" w:afterLines="200" w:line="560" w:lineRule="exact"/>
        <w:jc w:val="center"/>
        <w:textAlignment w:val="auto"/>
        <w:rPr>
          <w:rFonts w:ascii="方正小标宋简体" w:hAnsi="宋体" w:eastAsia="方正小标宋简体"/>
          <w:kern w:val="0"/>
          <w:sz w:val="44"/>
        </w:rPr>
      </w:pPr>
      <w:r>
        <w:rPr>
          <w:rFonts w:hint="eastAsia" w:ascii="方正小标宋简体" w:hAnsi="宋体" w:eastAsia="方正小标宋简体"/>
          <w:kern w:val="0"/>
          <w:sz w:val="44"/>
        </w:rPr>
        <w:t>民事判决书</w:t>
      </w:r>
    </w:p>
    <w:p>
      <w:pPr>
        <w:keepNext w:val="0"/>
        <w:keepLines w:val="0"/>
        <w:pageBreakBefore w:val="0"/>
        <w:widowControl w:val="0"/>
        <w:kinsoku/>
        <w:wordWrap w:val="0"/>
        <w:overflowPunct/>
        <w:topLinePunct w:val="0"/>
        <w:autoSpaceDE/>
        <w:autoSpaceDN/>
        <w:bidi w:val="0"/>
        <w:adjustRightInd/>
        <w:snapToGrid/>
        <w:spacing w:after="240" w:afterLines="100" w:line="560" w:lineRule="exact"/>
        <w:ind w:right="630" w:rightChars="300"/>
        <w:jc w:val="right"/>
        <w:textAlignment w:val="auto"/>
        <w:rPr>
          <w:rFonts w:ascii="仿宋_GB2312" w:hAnsi="Times New Roman" w:eastAsia="仿宋_GB2312"/>
          <w:kern w:val="0"/>
          <w:sz w:val="32"/>
        </w:rPr>
      </w:pPr>
      <w:r>
        <w:rPr>
          <w:rFonts w:hint="eastAsia" w:ascii="仿宋_GB2312" w:hAnsi="Times New Roman" w:eastAsia="仿宋_GB2312"/>
          <w:kern w:val="0"/>
          <w:sz w:val="32"/>
        </w:rPr>
        <w:t>（2021）京73民终4817号</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上诉人（一审被告）：北京淘友天下科技发展有限公司，住所地北京市海淀区学院路甲5号2幢平房B-2202室。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法定代表人：林凡，经理。</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委托诉讼代理人：杨爽，北京达晓律师事务所律师。</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被上诉人（一审原告）：北京百度网讯科技有限公司，住所地北京市海淀区上地十街10号百度大厦2层。</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法定代表人：梁志祥，总经理。</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委托诉讼代理人：戴福堂，北京创博律师事务所律师。</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委托诉讼代理人：董奇，北京创博律师事务所律师。</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上诉人北京淘友天下科技发展有限公司（简称淘友公司）与被上诉人北京百度网讯科技有限公司（简称百度公司）不正当竞争纠纷一案，不服北京市海淀区人民法院（简称一审法院）作出的（2021）京0108民初22063号民事判决（简称一审判决），于法定期限内向本院提起上诉。本院受理后，依法组成合议庭对本案进行了审理。淘友公司的委托诉讼代理人杨爽、百度公司的委托诉讼代理人戴福堂、董奇到庭接受了询问。本案现已审理终结。</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淘友公司上诉请求：一、请求撤销一审判决，驳回被上诉人的全部诉讼请求；二、被上诉人承担一二审全部诉讼费用。事实及理由：一、一审判决关于淘友公司不构成提供信息存储空间的网络服务提供者、淘友公司发布涉案言论的认定明显与事实不符，应予改判。二、一审判决不认可上诉人提交的电子证据，明显与其惯例不符，且庭审过程中并未对电子证据的提交形式进行释明，而直接否认上诉人提交的用户信息的真实性，属于事实认定错误，应予改判。三、淘友公司及涉案帖子发布的用户与百度公司均不存在竞争关系，涉案行为不构成商业诋毁，应驳回百度公司的全部诉讼请求。</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百度公司辩称：一审判决认定事实清楚、适用法律正确，不同意上诉人的上诉请求，请求驳回上诉，维持一审判决。</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百度公司向一审法院提出诉讼请求：1.淘友公司立即停止对百度公司的商业诋毁的不正当竞争行为；2.淘友公司向百度公司提供网络用户“百度员工”主体信息：姓名（名称）、身份证号码、联系方式、网络地址等；3.淘友公司在《中国证券报》《法制日报》及淘友公司官网首页显著位置连续30日刊登声明、消除影响；4.淘友公司赔偿百度公司经济损失100万元及合理支出10万元，共计110万元。涉案言论已经删除，百度公司当庭撤回第一项诉讼请求。事实和理由：2020年1月26日，百度公司成立总规模3亿元的疫情及公共卫生安全攻坚专项基金，用于支持新冠等疾病的治疗药物筛选、研发等工作。2020年2月3日，百度公司董事长李彦宏发布“做有温度的公司，做敢担当的百度”的致全员内部信，强调“任何情况下，每一位同学的健康和安全，都是排在公司第一位的！”2020年2月4日，脉脉平台，网络用户“百度员工”发布了帖子“疫情如此严峻…领导居然让10号返回公司以后一起吃个开工饭。咋拒绝啊？”2020年2月5日和2月10日百度公司委托律师两次发送《律师函》给淘友公司要求删帖，但淘友公司拒不采取必要技术措施，持续扩大侵权。百度公司认为淘友公司发布的帖子本身具有社会关注度，且内容明显虚假和具有误导性，会降低社会公众对百度公司的正面社会评价，毁损百度公司商誉，淘友公司作为社交平台，理应对此等信息施以较高的注意义务，即时采取必要措施删除、屏蔽信息。百度公司主张，淘友公司构成直接侵权，认为淘友公司未提供准确的用户信息，淘友公司目前披露的用户信息并非真实、准确的信息。故诉至法院，请求判如所请。</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当事人围绕诉讼请求依法提交了证据，根据当事人陈述和经审查确认的证据，一审法院认定事实如下：</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百度公司运营百度APP、百度地图、百度健康医典等应用。淘友公司是脉脉网（网址为www.maimai.cn）ICP备案单位及运营者，亦开发运营脉脉APP（脉脉网及脉脉App统称脉脉平台）。脉脉平台主要为职场社交平台。</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2020年1月27日，央视网新闻转载刊登《百度成立3亿疫情及公共卫生安全攻坚专项基金，持续驰援疫情防控》一文，其中主要内容为：针对新型冠状病毒疫情突如其来，百度成立总规模3亿元的疫情及公共卫生安全攻坚专项基金，用于支持新型冠状病毒等新疾病的治愈药物筛选、研发等一系列抗击疫情工作，以及更长期的社会公共安全信息科普和传播等； 2020年1月31日，新华网刊登《战胜疫情 百度大数据助力科学防控》一文，其中主要内容为：针对新型冠状病毒疫情突如其来，百度成立总规模3亿元的疫情及公共卫生安全攻坚专项基金，并通过“百度APP”“百度地图”等协助政府科学防控；2020年2月3日，新浪财经刊登《做有温度的公司，敢担当的百度》一文，主要内容为：百度董事长发出致全员内部信，强调“任何情况下，每一位同学的健康和安全，都是排在第一位的！”2020年2月5日，北京市科学技术委员会官方网站刊登《聚焦关键、坚决行动，为打赢疫情防控阻击战做出科学贡献》一文，主要内容为：北京新型冠状病毒感染的肺炎疫情防控工作新闻发布会中，提到北京的科技支撑时称百度、阿里健康等11家科技企业主动参与6天即实现平台上线运行。百度公司主张其在新冠肺炎疫情期间，通过开展各项活动作出贡献。</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2020年2月4日，名为“百度员工”V的用户在脉脉平台上发布帖子，其内容为：“疫情如此严峻…领导居然让10号返回公司以后一起吃个开工饭。咋拒绝啊？”该帖子下方有91条评论，热门评论第一条有287个点赞。评论内容包括“开工饭主题：要死一起死”“像这种，你都可以直接给公司举报了”“看来公司给领导的防疫意识还做的不到位”“肯定上头条，公司舆论压力”“团灭”“做有温度的公司，员工这次肯定体会到的冰冷”“怕是散伙饭”等等。2020年2月5日与2月10日，百度公司委托律师两次向淘友公司邮箱发送《律师函》称其“脉脉”网页端、IOS端及安卓客户端的前述帖子内容失实，要求淘友公司停止侵权行为，删除帖子。律师函附有帖子的URL地址、百度公司营业执照、法定代表人身份证明及身份证复印件、律师的代理手续以及帖子的截屏等。2020年4月4日，百度公司在北京市方正公证处就前述帖子内容进行了保全，发现该帖子仍然未删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淘友公司认可收到百度公司两次律师函，但是辩称因百度公司未提交证伪的证据，不能贸然删除。2020年2月6日，淘友公司将帖子标记存疑，理由是其无法核实真假，标记存疑后用户会持谨慎态度。淘友公司辩称2020年4月3日收到法院材料，4月10日删帖。关于该时间差，淘友公司辩称内部核实需要时间，处理流程上有时间消耗。淘友公司还提交了《脉脉服务协议》《脉脉社区管理规范》，证明其已经履行了事前提示义务并设置了畅通的投诉通道，履行了法定的注意义务和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2021年1月21日的庭审中，法庭第一次向淘友公司释明“你方主张提供的是信息存储空间服务，涉案行为系用户实施，根据法律规定，现询问你方，是否能够依据前述法律规定向一审法院提交上述用户的后台信息以及足以证明你方为信息存储空间服务的相关证据，以证明你方的主张？”淘友公司回答：“在不正当竞争纠纷案由下，我方需要回去考虑并准备。”法庭再次释明“现再次向淘友公司释明：根据中华人民共和国民事诉讼法第六十四条之规定，当事人对自己提出的主张，有责任提供证据。依照《最高人民法院关于适用&lt;中华人民共和国民事诉讼法&gt;的解释》第九十条之规定，当事人对反驳对方诉讼请求所依据的事实，应当提供证据加以证明。在作出判决之前，当事人未能提供证据或者证据不足以证明其事实主张的，由负有举证证明责任的当事人承担不利的后果。是否清楚你方需依法承担举证不能的不利后果？”淘友公司回答：“听清了。”后法庭第三次释明“淘友公司须在一周内向法庭提交用户信息，否则将承担不利后果和相应法律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百度公司主张淘友公司如果不提交用户信息，则其并非信息存储空间，如果提交用户信息，则应当就未及时删帖的扩大损失承担责任。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2021年1月28日，淘友公司提交《情况说明》，辩称其对用户身份信息的认证包含实名认证和职业认证两种，实名认证要通过手机号进行注册，《脉脉隐私政策》载明“为使用我们的服务，您需要通过手机号创建账号成为注册用户，我们将通过发送验证码来验证您的身份。您必须完善姓名、性别、所在地、在职状态。”职业认证为自愿进行的认证，可通过工作邮箱、名片、企业微信、在职证明、劳动合同等，通过职业认证后，用户名称的右上方将显示有黄色V字样。本案收到起诉材料后，淘友公司再次核实用户身份，发现该手机号码已经无法接通，故对该账号进行了封禁处理。出于对个人信息的保护，暂未向法院提交用户用以进行职业认证的名片，如法院在案件审理中认为仍需提供，淘友公司将依法向法院展示。该说明后附有用户UID，姓名，手机号，通过名片认证等信息，但未提交相应名片。百度公司经核实，称其公司无该员工，据此主张淘友公司构成直接侵权。</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2021年6月21日庭审中，淘友公司称其职业认证的方式中邮箱认证是自动认证，用户也可以提交在职证明、劳动合同和名片进行认证。法庭询问其“2021年1月21日，法庭曾就本案告知你方一周内披露完整的用户信息，并告知相应的法律后果和责任，你方为何未在法庭限定期限内披露。”淘友公司庭审中称三日内给答复。</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关于淘友公司在收到百度公司律师函后将涉案帖子标记存疑，未完全删除该帖子，淘友公司辩称系因为平台无法判断涉案言论是否构成侮辱、诽谤，认为涉案言论并无明显侮辱性字眼，且百度公司未举证证明涉案言论为不实信息。</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2021年6月24日，本案庭审后，淘友公司提交《情况说明》，称手机号码已经可以确认真实的用户身份，淘友公司依据《移动互联网应用程序信息服务管理规定》第七条的规定，移动互联网应用程序提供者应当对注册用户进行基于移动电话号码等真实身份信息进行认证。同时，《常见类型移动互联网应用程序必要个人信息范围规定》第五条规定（四）网络社区类，基本功能服务为博客、论坛、社区等话题讨论、信息分享和关注互动，必要个人信息为注册用户移动电话号码。淘友公司称其在运营过程中始终依据“最小必要原则”收集用户个人信息，从未收集用户言论发布IP地址，无法提供此类信息。该说明后附有该用户提交供审核的“名片”和注册IP地址。</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百度公司提交5万元律师费发票，主张为本案律师费支出。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以上事实，有网页打印件、公证书、取证数据保全证书、发票、情况说明、《脉脉服务协议》《脉脉社区管理规范》、服务协议、社区管理规范等予以证明，一审法院谈话笔录、开庭笔录等亦在案佐证。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一审法院认为，本案争议焦点为：第一，涉案言论的发布主体；第二，涉案言论的发布行为是否构成商业诋毁行为；第三，如构成商业诋毁，则相应的法律责任如何承担。以下分论：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一、关于涉案言论的发布主体</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百度公司在本案中主张涉案评论系淘友公司发布，淘友公司辩称涉案评论系用户发布，其仅为信息存储空间服务提供者，不应对此承担责任。对此，一审法院从以下几个方面进行论述：</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一，淘友公司的服务协议、社区管理规范和网页中体现出的模式上可以证明淘友公司网站具备为服务对象提供信息存储空间服务的功能，但对于涉案行为其是否仅是网络存储空间，还应当结合本案的行为和具体证据来进行判定。本案关键是淘友公司应当提交证据证明涉案帖子的发布主体为真实存在的用户，据此方能对其就涉案帖子所对应的行为方式予以判定。</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二，在一审法院已经多次向淘友公司释明的情况下，淘友公司向一审法院提交了其自行整理的用户信息。该用户信息并非电子证据，电子证据系网络应用设备和电脑软件中以电子数字信息形式呈现出来的，能够以直观可视的状态呈现案件发生现场事实情况的一切信息数据资料。淘友公司自行整理的用户信息的真实性由于用户手机号码已经成为空号，无法与所谓“用户”核实真实情况，而淘友公司在此基础上并未提交该用户的身份认证记录、登录日志等予以佐证该真实用户系客观存在。</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三，本案证据显示，涉案帐号“百度员工”有加V认证，淘友公司认可该认证系职业认证。而根据其庭审陈述，脉脉平台存在实名认证和职业认证两种模式，实名认证系用户通过手机号码进行注册，而用户如进行职业认证，可采用公司邮件认证、提交名片、在职证明或工牌等方式进行。可见如涉案帖子确系用户发布，淘友公司至少应对职业认证相关的情况举证证明，其属于控制证据的一方当事人，但其无正当理由拒不提交上述证据，可以推定百度公司主张涉案言论系淘友公司发布之主张成立。在一审法院向其反复释明并明确告知其法律后果的情况下，淘友公司亦明确表示其清楚并愿意自行承担不利后果，故淘友公司应当对其举证不能承担相应法律后果。</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四，如一审法院在淘友公司仅提交无法核实的自行整理的所谓用户信息的情况下，即违反证据规则认定涉案言论系用户发布，淘友公司仅为信息存储空间服务提供者可就此免责，则将导致百度公司因涉案言论可能造成的损失无任何法律救济渠道，亦不利于规范信息存储空间服务提供者的行为，违背此类规则制定之目的。长此以往，可能导致一些网站经营者以信息存储空间服务提供者为名，借助用户发布之名义随意直接实施侵害他人权利或合法权益的情况，导致他人利益受损。</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五，如果确系网络用户利用网络服务实施侵权行为的，权利人有权通知网络服务提供者采取删除、屏蔽、断开链接等必要措施。本案中百度公司已经在发现涉案言论存在的情况下向淘友公司发出《律师函》。在此情况下，淘友公司应当在接到通知后，及时将该通知转送相关网络用户，并根据构成侵权的初步证据和服务类型采取必要措施，网络用户接到转送的通知后，可以向网络服务提供者提交不存在侵权行为的声明。声明应当包括不存在侵权行为的初步证据及网络用户的真实身份信息。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本案中淘友公司亦未提交证据证明其在收到百度公司的律师函后将该通知转送相应网络用户，其对涉案帖子采取“标记存疑”的做法不符合法律规定，也不能阻断涉案言论继续传播。淘友公司辩称自身是网络存储空间，但在收到权利人通知后未按照法律规定转送通知、未对涉案言论采取必要措施，有违常理，更无法证明所谓“百度员工”是客观存在的真实用户。因此从淘友公司对涉案言论的后续处理上来看，其关于自身系网络存储空间的抗辩有违常理且不符合法律规定，一审法院难以采信。</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综上，一审法院根据现有证据，依据我国民事诉讼法第六十四条第一款及民事诉讼法司法解释第九十条之规定，认定淘友公司发布涉案言论，应承担涉案言论所产生的法律责任。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二、涉案言论的发布行为是否构成商业诋毁行为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我国反不正当竞争法对竞争关系的要求并非仅限于经营同类商品服务或替代商品服务的竞争对手争夺交易机会的行为，只要经营者存在以不正当手段谋取竞争优势或可能存在破坏他人合法权益，扰乱市场竞争秩序的行为，当然应当受到反不正当竞争法的规制。而本案所涉领域为互联网领域，应着重从是否存在竞争利益角度出发进行考察。吸引新用户、维持老用户，保持用户粘性是互联网企业开展经营业务的基础。就本案原淘友公司而言，用户访问量、吸引更多注册用户使用网站及APP服务亦是双方企业获取市场交易机会及交易利润的根本，这使得双方之间存在现实的竞争利益。而淘友公司发布涉案言论，显然会提高其经营的脉脉平台的热度、关注度、增加流量并吸引更多用户，从而获得直接或间接的竞争优势。因此百度公司就涉案行为起诉淘友公司违反反不正当竞争法的规定具有法律依据。</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我国反不正当竞争法第十一条规定，经营者不得编造、传播虚假信息或者误导性信息，损害竞争对手的商业信誉、商品声誉。本案中，首先，淘友公司无证据证明涉案言论的客观真实性，其以“百度员工”帐号的名义发布涉案言论，属于编造、传播虚假信息的行为。其次，该言论本身发布于2020年2月4日，处于疫情防控的关键时刻，该内容具有一定的误导性，会降低社会公众对百度公司的正面社会评价，损害百度公司的商誉，构成商业诋毁行为。从评论回复中亦可看出，多个评论均系围绕涉案言论展开的对话，可见涉案评论引发脉脉用户的广泛关注。再次，淘友公司用以发布涉案评论的帐号名称为“百度员工”，使得公众更加信赖该言论系百度公司员工发出，增加其真实性及可信度。综上，涉案言论显然会使他人对百度公司的企业形象、企业文化产生怀疑，导致出现否定性的评价，使得百度公司的社会评价降低，属于损害百度公司商业信誉的行为。综上，一审法院认定，淘友公司发布涉案言论的行为，构成商业诋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三、淘友公司应承担的法律责任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淘友公司应对其商业诋毁的行为承担停止商业诋毁行为、消除影响和赔偿损失的法律责任。关于停止不正当竞争行为，百度公司确认涉案行为已经停止，当庭撤回该项诉讼请求，一审法院对此不持异议。关于百度公司要求淘友公司提供用户信息，由于一审法院已经确认该发帖人为淘友公司，故该诉讼主张已经无支持必要。关于消除影响，本案证据显示涉案言论的评论影响恶劣，给百度公司造成了不良影响，故淘友公司应发布声明，为百度公司消除影响，消除影响的范围应与涉案言论的发布及散布范围基本相当。</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关于经济损失，鉴于双方未提交证据证明涉案行为给百度公司造成的实际损失或淘友公司因涉案行为的违法获利，一审法院综合考虑以下情节酌情确定赔偿数额：第一，本案证据显示，涉案言论被多个用户评论，影响范围广；第二，涉案言论的发布行为发生在特定时间点，给百度公司带来的影响较大；第三，证据显示，涉案言论发布后持续时间较长，淘友公司收到律师函后仍未停止涉案行为，主观恶意较大。综合以上因素，一审法院将经济损失酌定为20万元，百度公司主张的赔偿数额过高，一审法院不予全额支持。对于百度公司主张的合理费用，百度公司提交了律师费发票，一审法院对5万元律师费全额支持，对于其余部分，考虑到确已提交相应公证书，一审法院酌情支持部分款项，过高部分不再支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综上，依照《中华人民共和国反不正当竞争法》第十一条、第十七条，《中华人民共和国民事诉讼法》第六十四条，《最高人民法院关于适用&lt;中华人民共和国民事诉讼法&gt;的解释》第九十条，《最高人民法院关于民事诉讼证据的若干规定（2019年修正）》第十四条、第十五条之规定，判决如下：一、本判决生效之日起十日内，淘友公司在脉脉网（网址为www.maimai.cn）置顶位置连续十五日发布声明，就涉案商业诋毁行为为百度公司消除影响（声明内容须经一审法院审核，逾期不履行，一审法院将根据百度公司申请，在相关媒体公布判决主要内容，费用由淘友公司承担）；二、本判决生效之日起十日内，淘友公司赔偿百度公司经济损失20万元及合理费用51 000元，以上共计251 000元；三、驳回百度公司的其他诉讼请求。</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二审期间，双方当事人均未提交新的证据。</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本院对一审法院查明的事实予以确认。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本院认为：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根据当事人的诉辩主张，本案审理的焦点问题为：一、一审判决关于涉案言论的发布主体的认定是否正确；二、上诉人的涉案行为是否构成商业诋毁；三、一审判决关于法律责任的认定是否合理。</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一、一审判决关于涉案言论的发布主体的认定是否正确</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淘友公司主张涉案言论系用户发布，其仅为信息存储空间服务提供者，不应对此承担责任。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对此，本院认为，当事人主张提供信息存储空间服务的，一般综合下列因素予以认定：（1）当事人提供的证据可以证明其网站具备为服务对象提供信息存储空间服务的功能；（2）当事人网站中的相关内容明确标示了为服务对象提供信息存储空间服务；（3）当事人能够提供上传者的用户名、注册IP地址、注册时间、上传IP地址、联系方式以及上传时间、上传信息等证据；（4）其他能够证明系提供信息存储空间服务的因素。据此，淘友公司主张其仅提供信息存储空间服务，淘友公司应当就信息提供主体或者其与提供主体之间的关系提供相应证据，否则可以认定其并非仅提供信息存储服务。淘友公司未提供证据或者提供证据不足以证明其系仅提供网络存储空间服务的，可以认定淘友公司实施了提供行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本案中，淘友公司提供的服务协议、社区管理规范和网页中体现出的模式，可以证明淘友公司网站具备为服务对象提供信息存储空间服务的功能，但对于涉案行为其是否仅是网络存储空间，还应当结合涉案行为和在案证据进行认定。本案关键在于：淘友公司应当提交证据证明涉案言论的发布主体为真实存在的用户，据此才能对其就涉案言论是否采取合理的必要措施予以认定。</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首先，《最高人民法院关于民事诉讼证据的若干规定》第十五条第二款规定，当事人以电子数据作为证据的，应当提供原件。电子数据的制作者制作的与原件一致的副本，或者直接来源于电子数据的打印件或其他可以显示、识别的输出介质，视为电子数据的原件。本案中，在一审法院多次向淘友公司释明的情况下，淘友公司向一审法院提交了其自行整理的用户信息。该用户信息并非电子证据，电子证据系网络应用设备和电脑软件中以电子数字信息形式呈现出来的，能够以直观可视的状态呈现案件发生现场事实情况的一切信息数据资料。淘友公司自行整理的用户信息的真实性由于用户手机号码已经成为空号，无法与所谓“用户”核实真实情况。百度公司对于该证据的真实性与证明目的亦不予认可。淘友公司在此基础上并未提交该用户的身份认证记录、登录日志等予以佐证该真实用户系客观存在。</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其次，</w:t>
      </w:r>
      <w:r>
        <w:rPr>
          <w:rFonts w:hint="eastAsia" w:ascii="仿宋_GB2312" w:hAnsi="宋体" w:eastAsia="仿宋_GB2312"/>
          <w:kern w:val="0"/>
          <w:sz w:val="32"/>
          <w:highlight w:val="yellow"/>
        </w:rPr>
        <w:t>《中华人民共和国民事诉讼法》第六十七条规定，当事人对自己提出的主张，有责任提供证据。《最高人民法院关于民事诉讼证据的若干规定》第九十五条规定，一方当事人控制证据无正当理由拒不提交，对待证事实负有举证责任的当事人主张该证据的内容不利于控制人的，人民法院可以认定该主张成立。</w:t>
      </w:r>
      <w:r>
        <w:rPr>
          <w:rFonts w:hint="eastAsia" w:ascii="仿宋_GB2312" w:hAnsi="宋体" w:eastAsia="仿宋_GB2312"/>
          <w:kern w:val="0"/>
          <w:sz w:val="32"/>
        </w:rPr>
        <w:t>本案中，淘友公司称其对用户身份信息的认证包含实名认证和职业认证两种。根据在案证据显示，涉案账号“百度员工”带有加V认证，淘友公司认可该认证系职业认证。淘友公司称脉脉平台的实名认证系用户通过手机号码进行注册，职业认证系用户自愿进行，可通过工作邮箱、名片、企业微信、在职证明、劳动合同等方式进行。由此可见，如涉案帖子系用户发布，淘友公司应当对职业认证的相关情况举证证明。淘友公司作为控制证据的一方当事人，无正当理由拒不提交用户的职业认证等相关证据，应当对其举证不能承担相应法律后果，故本案可以推定百度公司主张涉案言论系淘友公司发布的主张成立。一审法院对此认定正确，本院予以确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再次，《信息网络传播权保护条例》第十五条规定，网络服务提供者接到权利人的通知书后，应当立即删除涉嫌侵权的作品、表演、录音录像制品，或者断开与涉嫌侵权的作品、表演、录音录像制品的链接，并同时将通知书转送提供作品、表演、录音录像制品的服务对象；服务对象网络地址不明、无法转送的，应当将通知书的内容同时在信息网络上公告。本案中，百度公司发现涉案侵权言论并向淘友公司发出了《律师函》。此种情况下，淘友公司应当在接到通知后，及时将该通知转送相关网络用户，并根据构成侵权的初步证据和服务类型采取必要措施，网络用户接到转送的通知后，可以向网络服务提供者提交不存在侵权行为的声明。声明应当包括不存在侵权行为的初步证据及网络用户的真实身份信息。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但是，淘友公司未提交证据证明其在收到百度公司的律师函后将该通知转送相应网络用户，其对涉案帖子采取“标记存疑”的做法并不能阻断涉案言论的继续传播，不能认定其采取了合理的必要措施。因此，从淘友公司对涉案言论的后续处理来看，其关于系网络存储空间的主张缺乏事实及法律依据，本院不予支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最后，淘友公司在本案中向法院提交的自行整理的用户信息，无法核实用户的真实身份，如果法院在该情形下认定涉案言论系用户发布，淘友公司仅为信息存储空间服务提供者可就此免责，则将导致百度公司因涉案言论可能造成的损失无任何法律救济渠道，亦不利于规范信息存储空间服务提供者的行为，有悖于避风港原则本意，甚至侵害权利人的合法利益，不利于维护正常的行业运营秩序。</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综上，一审法院根据在案证据，认定淘友公司发布涉案言论，应承担涉案言论所产生的法律责任。一审对此认定正确，本院予以确认。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二、上诉人的涉案行为是否构成商业诋毁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中华人民共和国反不正当竞争法》第十一条规定，经营者不得编造、传播虚假信息或者误导性信息，损害竞争对手的商业信誉、商品声誉。判断涉案行为是否构成商业诋毁可以从以下三方面进行审查：（1）主体是否经营者；（2）行为是否捏造、散布虚伪事实；（3）后果是否损害竞争对手的商业信誉、商品声誉。</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一，关于主体是否经营者。我国反不正当竞争法对竞争关系的要求并非仅限于经营同类商品服务或替代商品服务的竞争对手争夺交易机会的行为，只要经营者存在以不正当手段谋取竞争优势或可能存在破坏他人合法权益，扰乱市场竞争秩序的行为，当然应当受到反不正当竞争法的规制。本案所涉领域为互联网领域，应着重从是否存在竞争利益角度出发进行考察。吸引新用户、维持老用户，保持用户粘性是互联网企业开展经营业务的基础。就淘友公司与百度公司而言，用户访问量、吸引更多注册用户使用网站及APP服务是双方企业获取市场交易机会及交易利润的根本，双方的用户群体存在重叠，这使得双方之间具有现实的竞争利益。因此，淘友公司与百度公司构成具有竞争关系的经营者，符合商业诋毁的主体要件。</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第二，关于行为是否捏造、散布虚伪事实。本案中，淘友公司无证据证明涉案言论的客观真实性，其以“百度员工”账号的名义发布涉案言论，属于编造、传播虚假信息的行为。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第三，关于后果是否损害竞争对手的商业信誉、商品声誉。根据在案证据显示，涉案言论发布于2020年2月4日，处于疫情防控的关键时刻，该内容具有一定的误导性，会降低社会公众对百度公司的正面社会评价，甚至出现否定性评价，损害百度公司的企业形象，构成损害百度公司商业信誉的行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综上，淘友公司发布涉案言论的行为构成商业诋毁。一审法院对此认定正确，本院予以确认。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三、一审判决关于法律责任的认定是否合理</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鉴于淘友公司实施了涉案商业诋毁行为，故应当承担停止侵权、消除影响和赔偿损失的法律责任。百度公司明确认可涉案商业诋毁行为已停止，故本案淘友公司应当承担消除影响和赔偿损失的法律责任。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关于消除影响。由于涉案言论给百度公司造成了不良影响，故淘友公司应发布声明，为百度公司消除影响，消除影响的范围应与涉案言论的发布及散布范围基本相当。</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关于经济损失，在案证据不足以确定百度公司因涉案侵权行为所受到的实际损失或淘友公司因侵权所获利益，故一审法院根据涉案言论的发布时间、影响范围、上诉人主观过错程度、涉案商业诋毁行为的性质和情节等因素酌定的赔偿数额尚属合理，本院予以确认。关于合理开支，一审法院在合理性、必要性、关联性的基础上，根据律师代理及案件公证等事实，结合案件难易度情况，酌定的数额亦属合理，本院予以确认。因此，上诉人的上诉主张均缺乏事实和法律依据，本院不予支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综上，淘友公司的上诉请求不能成立，一审判决认定事实清楚，适用法律正确，程序合法，依法应予以维持。依照《全国人民代表大会常务委员会关于修改〈中华人民共和国民事诉讼法〉的决定》、2021年修改的《中华人民共和国民事诉讼法》第一百七十七条第一款第（一）项之规定，本院判决如下：</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驳回上诉，维持原判。</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二审案件受理费5065元，由北京淘友天下科技发展有限公司负担（已交纳）。</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eastAsia="仿宋_GB2312"/>
          <w:kern w:val="0"/>
          <w:sz w:val="32"/>
        </w:rPr>
      </w:pPr>
      <w:r>
        <w:rPr>
          <w:rFonts w:hint="eastAsia" w:ascii="仿宋_GB2312" w:hAnsi="宋体" w:eastAsia="仿宋_GB2312"/>
          <w:kern w:val="0"/>
          <w:sz w:val="32"/>
        </w:rPr>
        <w:t>本判决为终审判决。</w:t>
      </w:r>
    </w:p>
    <w:p>
      <w:pPr>
        <w:keepNext w:val="0"/>
        <w:keepLines w:val="0"/>
        <w:pageBreakBefore w:val="0"/>
        <w:widowControl w:val="0"/>
        <w:kinsoku/>
        <w:overflowPunct/>
        <w:topLinePunct w:val="0"/>
        <w:autoSpaceDE/>
        <w:autoSpaceDN/>
        <w:bidi w:val="0"/>
        <w:adjustRightInd/>
        <w:snapToGrid/>
        <w:spacing w:before="960" w:beforeLines="400" w:line="560" w:lineRule="exact"/>
        <w:ind w:right="630" w:rightChars="300"/>
        <w:jc w:val="right"/>
        <w:textAlignment w:val="auto"/>
      </w:pPr>
      <w:r>
        <w:rPr>
          <w:rFonts w:hint="eastAsia" w:ascii="仿宋_GB2312" w:hAnsi="宋体" w:eastAsia="仿宋_GB2312"/>
          <w:kern w:val="0"/>
          <w:sz w:val="32"/>
        </w:rPr>
        <w:t>审　　判　　长　　　刘义军</w:t>
      </w:r>
      <w:r>
        <w:rPr>
          <w:rFonts w:ascii="仿宋_GB2312" w:hAnsi="宋体" w:eastAsia="仿宋_GB2312"/>
          <w:kern w:val="0"/>
          <w:sz w:val="32"/>
        </w:rPr>
        <w:br w:type="textWrapping"/>
      </w:r>
      <w:r>
        <w:rPr>
          <w:rFonts w:ascii="仿宋_GB2312" w:hAnsi="宋体" w:eastAsia="仿宋_GB2312"/>
          <w:kern w:val="0"/>
          <w:sz w:val="32"/>
        </w:rPr>
        <w:t>审　　判　　员　　　范米多</w:t>
      </w:r>
      <w:r>
        <w:rPr>
          <w:rFonts w:ascii="仿宋_GB2312" w:hAnsi="宋体" w:eastAsia="仿宋_GB2312"/>
          <w:kern w:val="0"/>
          <w:sz w:val="32"/>
        </w:rPr>
        <w:br w:type="textWrapping"/>
      </w:r>
      <w:r>
        <w:rPr>
          <w:rFonts w:ascii="仿宋_GB2312" w:hAnsi="宋体" w:eastAsia="仿宋_GB2312"/>
          <w:kern w:val="0"/>
          <w:sz w:val="32"/>
        </w:rPr>
        <w:t>审　　判　　员　　　马兴芳</w:t>
      </w:r>
    </w:p>
    <w:p>
      <w:pPr>
        <w:keepNext w:val="0"/>
        <w:keepLines w:val="0"/>
        <w:pageBreakBefore w:val="0"/>
        <w:widowControl w:val="0"/>
        <w:kinsoku/>
        <w:overflowPunct/>
        <w:topLinePunct w:val="0"/>
        <w:autoSpaceDE/>
        <w:autoSpaceDN/>
        <w:bidi w:val="0"/>
        <w:adjustRightInd/>
        <w:snapToGrid/>
        <w:spacing w:before="1440" w:beforeLines="600" w:after="480" w:afterLines="200" w:line="560" w:lineRule="exact"/>
        <w:ind w:right="630" w:rightChars="300" w:firstLine="919"/>
        <w:jc w:val="right"/>
        <w:textAlignment w:val="auto"/>
        <w:rPr>
          <w:rFonts w:ascii="仿宋_GB2312" w:hAnsi="宋体" w:eastAsia="仿宋_GB2312"/>
          <w:kern w:val="0"/>
          <w:sz w:val="32"/>
        </w:rPr>
      </w:pPr>
      <w:r>
        <w:rPr>
          <w:rFonts w:hint="eastAsia" w:ascii="仿宋_GB2312" w:hAnsi="宋体" w:eastAsia="仿宋_GB2312"/>
          <w:kern w:val="0"/>
          <w:sz w:val="32"/>
        </w:rPr>
        <w:t>二</w:t>
      </w:r>
      <w:r>
        <w:rPr>
          <w:rFonts w:hint="eastAsia" w:ascii="微软雅黑" w:hAnsi="微软雅黑" w:eastAsia="微软雅黑" w:cs="微软雅黑"/>
          <w:kern w:val="0"/>
          <w:sz w:val="32"/>
        </w:rPr>
        <w:t>〇</w:t>
      </w:r>
      <w:r>
        <w:rPr>
          <w:rFonts w:hint="eastAsia" w:ascii="仿宋_GB2312" w:hAnsi="仿宋_GB2312" w:eastAsia="仿宋_GB2312" w:cs="仿宋_GB2312"/>
          <w:kern w:val="0"/>
          <w:sz w:val="32"/>
        </w:rPr>
        <w:t>二二年七月十九日</w:t>
      </w:r>
    </w:p>
    <w:p>
      <w:pPr>
        <w:keepNext w:val="0"/>
        <w:keepLines w:val="0"/>
        <w:pageBreakBefore w:val="0"/>
        <w:widowControl w:val="0"/>
        <w:kinsoku/>
        <w:overflowPunct/>
        <w:topLinePunct w:val="0"/>
        <w:autoSpaceDE/>
        <w:autoSpaceDN/>
        <w:bidi w:val="0"/>
        <w:adjustRightInd/>
        <w:snapToGrid/>
        <w:spacing w:line="560" w:lineRule="exact"/>
        <w:ind w:right="630" w:rightChars="300" w:firstLine="919"/>
        <w:jc w:val="right"/>
        <w:textAlignment w:val="auto"/>
      </w:pPr>
      <w:r>
        <w:rPr>
          <w:rFonts w:hint="eastAsia" w:ascii="仿宋_GB2312" w:hAnsi="宋体" w:eastAsia="仿宋_GB2312"/>
          <w:kern w:val="0"/>
          <w:sz w:val="32"/>
        </w:rPr>
        <w:t>法　官　助　理　　　田　芬</w:t>
      </w:r>
      <w:r>
        <w:rPr>
          <w:rFonts w:ascii="仿宋_GB2312" w:hAnsi="宋体" w:eastAsia="仿宋_GB2312"/>
          <w:kern w:val="0"/>
          <w:sz w:val="32"/>
        </w:rPr>
        <w:br w:type="textWrapping"/>
      </w:r>
      <w:r>
        <w:rPr>
          <w:rFonts w:ascii="仿宋_GB2312" w:hAnsi="宋体" w:eastAsia="仿宋_GB2312"/>
          <w:kern w:val="0"/>
          <w:sz w:val="32"/>
        </w:rPr>
        <w:t>书　　记　　员　　　刘嘉兴</w:t>
      </w:r>
    </w:p>
    <w:sectPr>
      <w:footerReference r:id="rId4" w:type="default"/>
      <w:headerReference r:id="rId3" w:type="even"/>
      <w:footerReference r:id="rId5" w:type="even"/>
      <w:pgSz w:w="11907" w:h="16839"/>
      <w:pgMar w:top="2041" w:right="1134" w:bottom="2041" w:left="1701" w:header="1361" w:footer="1361" w:gutter="0"/>
      <w:pgNumType w:fmt="numberInDash"/>
      <w:cols w:space="425" w:num="1"/>
      <w:docGrid w:linePitch="531" w:charSpace="284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DejaVu Sans"/>
    <w:panose1 w:val="020B0604020202020204"/>
    <w:charset w:val="00"/>
    <w:family w:val="roman"/>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420" w:rightChars="200"/>
      <w:jc w:val="right"/>
      <w:rPr>
        <w:rFonts w:ascii="宋体" w:hAnsi="宋体" w:eastAsia="宋体"/>
        <w:sz w:val="28"/>
        <w:szCs w:val="28"/>
      </w:rPr>
    </w:pPr>
    <w:r>
      <w:rPr>
        <w:rStyle w:val="7"/>
        <w:rFonts w:ascii="宋体" w:hAnsi="宋体" w:eastAsia="宋体"/>
        <w:sz w:val="28"/>
        <w:szCs w:val="28"/>
      </w:rPr>
      <w:fldChar w:fldCharType="begin"/>
    </w:r>
    <w:r>
      <w:rPr>
        <w:rStyle w:val="7"/>
        <w:rFonts w:ascii="宋体" w:hAnsi="宋体" w:eastAsia="宋体"/>
        <w:sz w:val="28"/>
        <w:szCs w:val="28"/>
      </w:rPr>
      <w:instrText xml:space="preserve"> PAGE  \* ArabicDash </w:instrText>
    </w:r>
    <w:r>
      <w:rPr>
        <w:rStyle w:val="7"/>
        <w:rFonts w:ascii="宋体" w:hAnsi="宋体" w:eastAsia="宋体"/>
        <w:sz w:val="28"/>
        <w:szCs w:val="28"/>
      </w:rPr>
      <w:fldChar w:fldCharType="separate"/>
    </w:r>
    <w:r>
      <w:rPr>
        <w:rStyle w:val="7"/>
        <w:rFonts w:ascii="宋体" w:hAnsi="宋体" w:eastAsia="宋体"/>
        <w:sz w:val="28"/>
        <w:szCs w:val="28"/>
      </w:rPr>
      <w:t>- 1 -</w:t>
    </w:r>
    <w:r>
      <w:rPr>
        <w:rStyle w:val="7"/>
        <w:rFonts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20" w:leftChars="200"/>
      <w:rPr>
        <w:rFonts w:ascii="宋体" w:hAnsi="宋体" w:eastAsia="宋体"/>
        <w:sz w:val="28"/>
        <w:szCs w:val="28"/>
      </w:rPr>
    </w:pPr>
    <w:r>
      <w:rPr>
        <w:rStyle w:val="7"/>
        <w:rFonts w:ascii="宋体" w:hAnsi="宋体" w:eastAsia="宋体"/>
        <w:sz w:val="28"/>
        <w:szCs w:val="28"/>
      </w:rPr>
      <w:fldChar w:fldCharType="begin"/>
    </w:r>
    <w:r>
      <w:rPr>
        <w:rStyle w:val="7"/>
        <w:rFonts w:ascii="宋体" w:hAnsi="宋体" w:eastAsia="宋体"/>
        <w:sz w:val="28"/>
        <w:szCs w:val="28"/>
      </w:rPr>
      <w:instrText xml:space="preserve"> PAGE  \* ArabicDash </w:instrText>
    </w:r>
    <w:r>
      <w:rPr>
        <w:rStyle w:val="7"/>
        <w:rFonts w:ascii="宋体" w:hAnsi="宋体" w:eastAsia="宋体"/>
        <w:sz w:val="28"/>
        <w:szCs w:val="28"/>
      </w:rPr>
      <w:fldChar w:fldCharType="separate"/>
    </w:r>
    <w:r>
      <w:rPr>
        <w:rStyle w:val="7"/>
        <w:rFonts w:ascii="宋体" w:hAnsi="宋体" w:eastAsia="宋体"/>
        <w:sz w:val="28"/>
        <w:szCs w:val="28"/>
      </w:rPr>
      <w:t>- 2 -</w:t>
    </w:r>
    <w:r>
      <w:rPr>
        <w:rStyle w:val="7"/>
        <w:rFonts w:ascii="宋体" w:hAnsi="宋体" w:eastAsia="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ascii="Calibri" w:hAnsi="Calibri" w:eastAsia="宋体" w:cs="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true"/>
  <w:bordersDoNotSurroundHeader w:val="true"/>
  <w:bordersDoNotSurroundFooter w:val="true"/>
  <w:revisionView w:markup="0"/>
  <w:documentProtection w:enforcement="0"/>
  <w:defaultTabStop w:val="420"/>
  <w:evenAndOddHeaders w:val="true"/>
  <w:drawingGridHorizontalSpacing w:val="349"/>
  <w:drawingGridVerticalSpacing w:val="531"/>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1C"/>
    <w:rsid w:val="00013E79"/>
    <w:rsid w:val="00020736"/>
    <w:rsid w:val="000246E0"/>
    <w:rsid w:val="00045442"/>
    <w:rsid w:val="0004720F"/>
    <w:rsid w:val="00057A14"/>
    <w:rsid w:val="0009201A"/>
    <w:rsid w:val="000B5626"/>
    <w:rsid w:val="000C5E91"/>
    <w:rsid w:val="000D2044"/>
    <w:rsid w:val="000E293F"/>
    <w:rsid w:val="000F45AC"/>
    <w:rsid w:val="000F6C3F"/>
    <w:rsid w:val="001123E9"/>
    <w:rsid w:val="001704CA"/>
    <w:rsid w:val="00171A32"/>
    <w:rsid w:val="0017617F"/>
    <w:rsid w:val="00182180"/>
    <w:rsid w:val="0018618A"/>
    <w:rsid w:val="00192C8F"/>
    <w:rsid w:val="001B30D1"/>
    <w:rsid w:val="001C3C61"/>
    <w:rsid w:val="001D2989"/>
    <w:rsid w:val="001D431D"/>
    <w:rsid w:val="001D756F"/>
    <w:rsid w:val="001D7CFF"/>
    <w:rsid w:val="001E1DD6"/>
    <w:rsid w:val="00204CAD"/>
    <w:rsid w:val="002137CE"/>
    <w:rsid w:val="0021458F"/>
    <w:rsid w:val="00220705"/>
    <w:rsid w:val="002305EB"/>
    <w:rsid w:val="00232067"/>
    <w:rsid w:val="0024302D"/>
    <w:rsid w:val="00253C1E"/>
    <w:rsid w:val="00264F63"/>
    <w:rsid w:val="00280728"/>
    <w:rsid w:val="00287322"/>
    <w:rsid w:val="002A429D"/>
    <w:rsid w:val="002A5A78"/>
    <w:rsid w:val="002A7274"/>
    <w:rsid w:val="002B1202"/>
    <w:rsid w:val="002B3AD3"/>
    <w:rsid w:val="002B6921"/>
    <w:rsid w:val="002B7A77"/>
    <w:rsid w:val="002C66E5"/>
    <w:rsid w:val="002E0578"/>
    <w:rsid w:val="00303536"/>
    <w:rsid w:val="00314083"/>
    <w:rsid w:val="00314A1E"/>
    <w:rsid w:val="00323E68"/>
    <w:rsid w:val="003275C9"/>
    <w:rsid w:val="00352DE0"/>
    <w:rsid w:val="00357B1C"/>
    <w:rsid w:val="00363538"/>
    <w:rsid w:val="0037658D"/>
    <w:rsid w:val="00376E04"/>
    <w:rsid w:val="0038043A"/>
    <w:rsid w:val="003A087B"/>
    <w:rsid w:val="003C1FB5"/>
    <w:rsid w:val="003C44BA"/>
    <w:rsid w:val="003D5D15"/>
    <w:rsid w:val="004109FA"/>
    <w:rsid w:val="00415BF9"/>
    <w:rsid w:val="00431EC7"/>
    <w:rsid w:val="0043523F"/>
    <w:rsid w:val="00447869"/>
    <w:rsid w:val="00467B3A"/>
    <w:rsid w:val="0047067C"/>
    <w:rsid w:val="00472822"/>
    <w:rsid w:val="0048656D"/>
    <w:rsid w:val="00486ED6"/>
    <w:rsid w:val="00487A95"/>
    <w:rsid w:val="00497BEE"/>
    <w:rsid w:val="004A129B"/>
    <w:rsid w:val="004C73A0"/>
    <w:rsid w:val="004D7EED"/>
    <w:rsid w:val="004E01A6"/>
    <w:rsid w:val="004E2168"/>
    <w:rsid w:val="004F6953"/>
    <w:rsid w:val="00500D5E"/>
    <w:rsid w:val="005062CC"/>
    <w:rsid w:val="00506968"/>
    <w:rsid w:val="00517CD1"/>
    <w:rsid w:val="00521EA1"/>
    <w:rsid w:val="00542C84"/>
    <w:rsid w:val="00544037"/>
    <w:rsid w:val="005474EC"/>
    <w:rsid w:val="0056258C"/>
    <w:rsid w:val="005721AB"/>
    <w:rsid w:val="00580536"/>
    <w:rsid w:val="005A3042"/>
    <w:rsid w:val="005B0338"/>
    <w:rsid w:val="005C3958"/>
    <w:rsid w:val="005D0A57"/>
    <w:rsid w:val="005E406F"/>
    <w:rsid w:val="005E5888"/>
    <w:rsid w:val="006029C4"/>
    <w:rsid w:val="00607453"/>
    <w:rsid w:val="00614A1E"/>
    <w:rsid w:val="00632507"/>
    <w:rsid w:val="00645361"/>
    <w:rsid w:val="006501EF"/>
    <w:rsid w:val="0065652F"/>
    <w:rsid w:val="00663123"/>
    <w:rsid w:val="00664FD3"/>
    <w:rsid w:val="00682B03"/>
    <w:rsid w:val="00686553"/>
    <w:rsid w:val="00691CC6"/>
    <w:rsid w:val="006B3C07"/>
    <w:rsid w:val="006B5F2C"/>
    <w:rsid w:val="006D3814"/>
    <w:rsid w:val="006D5AF6"/>
    <w:rsid w:val="006E09FE"/>
    <w:rsid w:val="006F038B"/>
    <w:rsid w:val="006F04DF"/>
    <w:rsid w:val="006F050D"/>
    <w:rsid w:val="006F549E"/>
    <w:rsid w:val="00700DDB"/>
    <w:rsid w:val="007110A6"/>
    <w:rsid w:val="00711C2A"/>
    <w:rsid w:val="00713FB1"/>
    <w:rsid w:val="007268D0"/>
    <w:rsid w:val="00727466"/>
    <w:rsid w:val="00732832"/>
    <w:rsid w:val="00734BDA"/>
    <w:rsid w:val="0074312F"/>
    <w:rsid w:val="0076110A"/>
    <w:rsid w:val="0078057A"/>
    <w:rsid w:val="007870D8"/>
    <w:rsid w:val="00796ABE"/>
    <w:rsid w:val="007C5852"/>
    <w:rsid w:val="007D180B"/>
    <w:rsid w:val="007D2137"/>
    <w:rsid w:val="007F1697"/>
    <w:rsid w:val="007F3B5A"/>
    <w:rsid w:val="008021EB"/>
    <w:rsid w:val="008065BD"/>
    <w:rsid w:val="008447D4"/>
    <w:rsid w:val="00855588"/>
    <w:rsid w:val="00873DB4"/>
    <w:rsid w:val="00874701"/>
    <w:rsid w:val="00875962"/>
    <w:rsid w:val="008769F2"/>
    <w:rsid w:val="0088110F"/>
    <w:rsid w:val="008A6B3B"/>
    <w:rsid w:val="008B43A8"/>
    <w:rsid w:val="008C1F4A"/>
    <w:rsid w:val="008C250E"/>
    <w:rsid w:val="008D7E2D"/>
    <w:rsid w:val="008F1FB6"/>
    <w:rsid w:val="0090614E"/>
    <w:rsid w:val="009071B5"/>
    <w:rsid w:val="0093123F"/>
    <w:rsid w:val="00946F1B"/>
    <w:rsid w:val="00955179"/>
    <w:rsid w:val="00964E50"/>
    <w:rsid w:val="0096573C"/>
    <w:rsid w:val="00981C4B"/>
    <w:rsid w:val="00996F8C"/>
    <w:rsid w:val="009B11CA"/>
    <w:rsid w:val="009B1D27"/>
    <w:rsid w:val="009C4B36"/>
    <w:rsid w:val="009D4B26"/>
    <w:rsid w:val="009F1BC8"/>
    <w:rsid w:val="009F35C4"/>
    <w:rsid w:val="00A025DB"/>
    <w:rsid w:val="00A02999"/>
    <w:rsid w:val="00A02A74"/>
    <w:rsid w:val="00A15173"/>
    <w:rsid w:val="00A232F2"/>
    <w:rsid w:val="00A31B22"/>
    <w:rsid w:val="00A510E9"/>
    <w:rsid w:val="00A54155"/>
    <w:rsid w:val="00A5501A"/>
    <w:rsid w:val="00A8189B"/>
    <w:rsid w:val="00A83867"/>
    <w:rsid w:val="00AB064B"/>
    <w:rsid w:val="00AC0B55"/>
    <w:rsid w:val="00AC2FDF"/>
    <w:rsid w:val="00AD2463"/>
    <w:rsid w:val="00AE2A61"/>
    <w:rsid w:val="00AE7049"/>
    <w:rsid w:val="00B26F80"/>
    <w:rsid w:val="00B349BC"/>
    <w:rsid w:val="00B3767B"/>
    <w:rsid w:val="00B400DF"/>
    <w:rsid w:val="00B61638"/>
    <w:rsid w:val="00B9119E"/>
    <w:rsid w:val="00B95B62"/>
    <w:rsid w:val="00BA3724"/>
    <w:rsid w:val="00BC07B5"/>
    <w:rsid w:val="00BC2D41"/>
    <w:rsid w:val="00BD7D1A"/>
    <w:rsid w:val="00BF4CB5"/>
    <w:rsid w:val="00BF5155"/>
    <w:rsid w:val="00BF66AE"/>
    <w:rsid w:val="00C11833"/>
    <w:rsid w:val="00C25074"/>
    <w:rsid w:val="00C73632"/>
    <w:rsid w:val="00C86C74"/>
    <w:rsid w:val="00C86E43"/>
    <w:rsid w:val="00C96E51"/>
    <w:rsid w:val="00CE6F79"/>
    <w:rsid w:val="00CF30DF"/>
    <w:rsid w:val="00D21467"/>
    <w:rsid w:val="00D22A20"/>
    <w:rsid w:val="00D24C74"/>
    <w:rsid w:val="00D31F4B"/>
    <w:rsid w:val="00D35BFF"/>
    <w:rsid w:val="00D40111"/>
    <w:rsid w:val="00D5176A"/>
    <w:rsid w:val="00D714C5"/>
    <w:rsid w:val="00D7249E"/>
    <w:rsid w:val="00D76C91"/>
    <w:rsid w:val="00D80F26"/>
    <w:rsid w:val="00DA1496"/>
    <w:rsid w:val="00DB0E56"/>
    <w:rsid w:val="00DD04A5"/>
    <w:rsid w:val="00DD223D"/>
    <w:rsid w:val="00DD22BE"/>
    <w:rsid w:val="00DF0DBE"/>
    <w:rsid w:val="00DF59FB"/>
    <w:rsid w:val="00DF5FF6"/>
    <w:rsid w:val="00E31066"/>
    <w:rsid w:val="00E370DD"/>
    <w:rsid w:val="00E44569"/>
    <w:rsid w:val="00EA4C9F"/>
    <w:rsid w:val="00EB65AD"/>
    <w:rsid w:val="00EB67ED"/>
    <w:rsid w:val="00ED3D87"/>
    <w:rsid w:val="00ED6C66"/>
    <w:rsid w:val="00ED787D"/>
    <w:rsid w:val="00EE740B"/>
    <w:rsid w:val="00F01184"/>
    <w:rsid w:val="00F0235C"/>
    <w:rsid w:val="00F028BA"/>
    <w:rsid w:val="00F03E69"/>
    <w:rsid w:val="00F0439E"/>
    <w:rsid w:val="00F04E23"/>
    <w:rsid w:val="00F1209B"/>
    <w:rsid w:val="00F24DC7"/>
    <w:rsid w:val="00F27E2C"/>
    <w:rsid w:val="00F30AE3"/>
    <w:rsid w:val="00F37725"/>
    <w:rsid w:val="00F37BEC"/>
    <w:rsid w:val="00F75F8A"/>
    <w:rsid w:val="00F76EE2"/>
    <w:rsid w:val="00F81844"/>
    <w:rsid w:val="00F8407C"/>
    <w:rsid w:val="00F91B3B"/>
    <w:rsid w:val="00FA00FE"/>
    <w:rsid w:val="00FA4030"/>
    <w:rsid w:val="00FC6135"/>
    <w:rsid w:val="00FC67CE"/>
    <w:rsid w:val="00FE171C"/>
    <w:rsid w:val="00FE7C47"/>
    <w:rsid w:val="37F38260"/>
    <w:rsid w:val="5B817FAC"/>
    <w:rsid w:val="7EAB6127"/>
    <w:rsid w:val="7F7C0293"/>
    <w:rsid w:val="D3F59947"/>
    <w:rsid w:val="F3F6D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semiHidden/>
    <w:unhideWhenUsed/>
    <w:qFormat/>
    <w:uiPriority w:val="99"/>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ws_tex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1">
    <w:name w:val="批注框文本 Char"/>
    <w:basedOn w:val="6"/>
    <w:link w:val="2"/>
    <w:semiHidden/>
    <w:qFormat/>
    <w:uiPriority w:val="99"/>
    <w:rPr>
      <w:rFonts w:ascii="Calibri" w:hAnsi="Calibri" w:eastAsia="宋体" w:cs="Times New Roman"/>
      <w:sz w:val="18"/>
      <w:szCs w:val="18"/>
    </w:rPr>
  </w:style>
  <w:style w:type="paragraph" w:styleId="12">
    <w:name w:val="List Paragraph"/>
    <w:basedOn w:val="1"/>
    <w:qFormat/>
    <w:uiPriority w:val="99"/>
    <w:pPr>
      <w:ind w:firstLine="420" w:firstLineChars="200"/>
    </w:pPr>
  </w:style>
  <w:style w:type="paragraph" w:styleId="13">
    <w:name w:val="No Spacing"/>
    <w:qFormat/>
    <w:uiPriority w:val="1"/>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paragraph" w:customStyle="1" w:styleId="14">
    <w:name w:val="正文 A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1689</Words>
  <Characters>9631</Characters>
  <Lines>80</Lines>
  <Paragraphs>22</Paragraphs>
  <TotalTime>2319</TotalTime>
  <ScaleCrop>false</ScaleCrop>
  <LinksUpToDate>false</LinksUpToDate>
  <CharactersWithSpaces>11298</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2021-06-25T15:51:00Z</dcterms:created>
  <dc:creator>lenovo</dc:creator>
  <cp:lastModifiedBy>user</cp:lastModifiedBy>
  <cp:lastPrinted>2021-03-13T10:54:00Z</cp:lastPrinted>
  <dcterms:modified xsi:type="dcterms:W3CDTF">2023-04-14T08:57:16Z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