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900" w:lineRule="exact"/>
        <w:jc w:val="center"/>
        <w:rPr>
          <w:rFonts w:ascii="方正小标宋_GBK" w:hAnsi="方正小标宋_GBK" w:eastAsia="方正小标宋_GBK" w:cs="方正小标宋_GBK"/>
          <w:color w:val="000000"/>
          <w:spacing w:val="80"/>
          <w:sz w:val="44"/>
          <w:szCs w:val="44"/>
        </w:rPr>
      </w:pPr>
      <w:bookmarkStart w:id="1" w:name="_GoBack"/>
      <w:bookmarkEnd w:id="1"/>
      <w:r>
        <w:rPr>
          <w:rFonts w:hint="eastAsia" w:ascii="方正小标宋_GBK" w:hAnsi="方正小标宋_GBK" w:eastAsia="方正小标宋_GBK" w:cs="方正小标宋_GBK"/>
          <w:color w:val="000000"/>
          <w:spacing w:val="80"/>
          <w:sz w:val="44"/>
          <w:szCs w:val="44"/>
        </w:rPr>
        <w:t>重庆自由贸易试验区人民法院</w:t>
      </w:r>
    </w:p>
    <w:p>
      <w:pPr>
        <w:spacing w:line="900" w:lineRule="exact"/>
        <w:jc w:val="center"/>
        <w:rPr>
          <w:rFonts w:ascii="方正小标宋简体" w:hAnsi="E-BZ9-PK74888-Identity-H" w:eastAsia="方正小标宋简体" w:cs="方正小标宋简体"/>
          <w:color w:val="000000"/>
          <w:spacing w:val="80"/>
          <w:sz w:val="44"/>
          <w:szCs w:val="44"/>
        </w:rPr>
      </w:pPr>
      <w:r>
        <w:rPr>
          <w:rFonts w:hint="eastAsia" w:ascii="方正小标宋_GBK" w:hAnsi="方正小标宋_GBK" w:eastAsia="方正小标宋_GBK" w:cs="方正小标宋_GBK"/>
          <w:color w:val="000000"/>
          <w:spacing w:val="80"/>
          <w:sz w:val="44"/>
          <w:szCs w:val="44"/>
        </w:rPr>
        <w:t>民事判决书</w:t>
      </w:r>
    </w:p>
    <w:p>
      <w:pPr>
        <w:keepNext w:val="0"/>
        <w:keepLines w:val="0"/>
        <w:pageBreakBefore w:val="0"/>
        <w:kinsoku/>
        <w:overflowPunct/>
        <w:topLinePunct w:val="0"/>
        <w:bidi w:val="0"/>
        <w:snapToGrid/>
        <w:spacing w:line="540" w:lineRule="exact"/>
        <w:ind w:right="420" w:rightChars="200"/>
        <w:jc w:val="right"/>
        <w:textAlignment w:val="auto"/>
        <w:rPr>
          <w:rFonts w:ascii="仿宋" w:hAnsi="仿宋" w:eastAsia="仿宋" w:cs="仿宋"/>
          <w:color w:val="000000"/>
          <w:sz w:val="32"/>
          <w:szCs w:val="32"/>
        </w:rPr>
      </w:pPr>
    </w:p>
    <w:p>
      <w:pPr>
        <w:keepNext w:val="0"/>
        <w:keepLines w:val="0"/>
        <w:pageBreakBefore w:val="0"/>
        <w:kinsoku/>
        <w:wordWrap/>
        <w:overflowPunct/>
        <w:topLinePunct w:val="0"/>
        <w:autoSpaceDE w:val="0"/>
        <w:autoSpaceDN w:val="0"/>
        <w:bidi w:val="0"/>
        <w:adjustRightInd w:val="0"/>
        <w:snapToGrid/>
        <w:spacing w:line="540" w:lineRule="exact"/>
        <w:ind w:right="-227" w:rightChars="-108"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(202</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)渝0192民初</w:t>
      </w:r>
      <w:r>
        <w:rPr>
          <w:rFonts w:hint="eastAsia" w:ascii="仿宋" w:hAnsi="仿宋" w:eastAsia="仿宋" w:cs="仿宋"/>
          <w:color w:val="000000"/>
          <w:sz w:val="32"/>
          <w:szCs w:val="32"/>
          <w:lang w:val="en-US" w:eastAsia="zh-CN"/>
        </w:rPr>
        <w:t>8589</w:t>
      </w:r>
      <w:r>
        <w:rPr>
          <w:rFonts w:hint="eastAsia" w:ascii="仿宋" w:hAnsi="仿宋" w:eastAsia="仿宋" w:cs="仿宋"/>
          <w:color w:val="000000"/>
          <w:sz w:val="32"/>
          <w:szCs w:val="32"/>
        </w:rPr>
        <w:t>号</w:t>
      </w:r>
    </w:p>
    <w:p>
      <w:pPr>
        <w:keepNext w:val="0"/>
        <w:keepLines w:val="0"/>
        <w:pageBreakBefore w:val="0"/>
        <w:kinsoku/>
        <w:wordWrap/>
        <w:overflowPunct/>
        <w:topLinePunct w:val="0"/>
        <w:autoSpaceDE w:val="0"/>
        <w:autoSpaceDN w:val="0"/>
        <w:bidi w:val="0"/>
        <w:adjustRightInd w:val="0"/>
        <w:snapToGrid/>
        <w:spacing w:line="540" w:lineRule="exact"/>
        <w:ind w:right="-227" w:rightChars="-108"/>
        <w:textAlignment w:val="auto"/>
        <w:rPr>
          <w:rFonts w:hint="eastAsia" w:ascii="仿宋" w:hAnsi="仿宋" w:eastAsia="仿宋" w:cs="仿宋"/>
          <w:color w:val="000000"/>
          <w:kern w:val="0"/>
          <w:sz w:val="32"/>
          <w:szCs w:val="32"/>
        </w:rPr>
      </w:pP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原告：</w:t>
      </w:r>
      <w:r>
        <w:rPr>
          <w:rFonts w:hint="eastAsia" w:ascii="仿宋" w:hAnsi="仿宋" w:eastAsia="仿宋" w:cs="仿宋"/>
          <w:color w:val="000000"/>
          <w:sz w:val="32"/>
          <w:szCs w:val="32"/>
          <w:lang w:eastAsia="zh-CN"/>
        </w:rPr>
        <w:t>重庆光某摩托车制造有限公司</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被告：</w:t>
      </w:r>
      <w:r>
        <w:rPr>
          <w:rFonts w:hint="eastAsia" w:ascii="仿宋" w:hAnsi="仿宋" w:eastAsia="仿宋" w:cs="仿宋"/>
          <w:color w:val="000000"/>
          <w:sz w:val="32"/>
          <w:szCs w:val="32"/>
          <w:lang w:eastAsia="zh-CN"/>
        </w:rPr>
        <w:t>广州三某摩托车有限公司</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原告</w:t>
      </w:r>
      <w:r>
        <w:rPr>
          <w:rFonts w:hint="eastAsia" w:ascii="仿宋" w:hAnsi="仿宋" w:eastAsia="仿宋" w:cs="仿宋"/>
          <w:color w:val="000000"/>
          <w:sz w:val="32"/>
          <w:szCs w:val="32"/>
          <w:lang w:eastAsia="zh-CN"/>
        </w:rPr>
        <w:t>重庆光某摩托车制造有限公司</w:t>
      </w:r>
      <w:r>
        <w:rPr>
          <w:rFonts w:hint="eastAsia" w:ascii="仿宋" w:hAnsi="仿宋" w:eastAsia="仿宋" w:cs="仿宋"/>
          <w:color w:val="000000"/>
          <w:sz w:val="32"/>
          <w:szCs w:val="32"/>
        </w:rPr>
        <w:t>（以下简称</w:t>
      </w:r>
      <w:r>
        <w:rPr>
          <w:rFonts w:hint="eastAsia" w:ascii="仿宋" w:hAnsi="仿宋" w:eastAsia="仿宋" w:cs="仿宋"/>
          <w:color w:val="000000"/>
          <w:sz w:val="32"/>
          <w:szCs w:val="32"/>
          <w:lang w:eastAsia="zh-CN"/>
        </w:rPr>
        <w:t>光某公司</w:t>
      </w:r>
      <w:r>
        <w:rPr>
          <w:rFonts w:hint="eastAsia" w:ascii="仿宋" w:hAnsi="仿宋" w:eastAsia="仿宋" w:cs="仿宋"/>
          <w:color w:val="000000"/>
          <w:sz w:val="32"/>
          <w:szCs w:val="32"/>
        </w:rPr>
        <w:t>）与被告</w:t>
      </w:r>
      <w:r>
        <w:rPr>
          <w:rFonts w:hint="eastAsia" w:ascii="仿宋" w:hAnsi="仿宋" w:eastAsia="仿宋" w:cs="仿宋"/>
          <w:color w:val="000000"/>
          <w:sz w:val="32"/>
          <w:szCs w:val="32"/>
          <w:lang w:eastAsia="zh-CN"/>
        </w:rPr>
        <w:t>广州三某摩托车有限公司（以下简称三某公司）</w:t>
      </w:r>
      <w:r>
        <w:rPr>
          <w:rFonts w:hint="eastAsia" w:ascii="仿宋" w:hAnsi="仿宋" w:eastAsia="仿宋" w:cs="仿宋"/>
          <w:color w:val="000000"/>
          <w:sz w:val="32"/>
          <w:szCs w:val="32"/>
        </w:rPr>
        <w:t>侵害商业秘密纠纷一案，本院于202</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12</w:t>
      </w:r>
      <w:r>
        <w:rPr>
          <w:rFonts w:hint="eastAsia" w:ascii="仿宋" w:hAnsi="仿宋" w:eastAsia="仿宋" w:cs="仿宋"/>
          <w:color w:val="000000"/>
          <w:sz w:val="32"/>
          <w:szCs w:val="32"/>
        </w:rPr>
        <w:t>日立案后，</w:t>
      </w:r>
      <w:r>
        <w:rPr>
          <w:rFonts w:hint="eastAsia" w:ascii="仿宋" w:hAnsi="仿宋" w:eastAsia="仿宋" w:cs="仿宋"/>
          <w:color w:val="000000"/>
          <w:sz w:val="32"/>
          <w:szCs w:val="32"/>
          <w:lang w:eastAsia="zh-CN"/>
        </w:rPr>
        <w:t>被告三某公司提出管辖权异议，本院依法裁定驳回其管辖权异议申请。被告三某公司不服该裁定，提起上诉，重庆市第一中级人民法院于</w:t>
      </w:r>
      <w:r>
        <w:rPr>
          <w:rFonts w:hint="eastAsia" w:ascii="仿宋" w:hAnsi="仿宋" w:eastAsia="仿宋" w:cs="仿宋"/>
          <w:color w:val="000000"/>
          <w:sz w:val="32"/>
          <w:szCs w:val="32"/>
          <w:lang w:val="en-US" w:eastAsia="zh-CN"/>
        </w:rPr>
        <w:t>2022年11月11日依法裁定驳回上诉，维持原裁定，本案由本院继续审理。本案</w:t>
      </w:r>
      <w:r>
        <w:rPr>
          <w:rFonts w:hint="eastAsia" w:ascii="仿宋" w:hAnsi="仿宋" w:eastAsia="仿宋" w:cs="仿宋"/>
          <w:color w:val="000000"/>
          <w:sz w:val="32"/>
          <w:szCs w:val="32"/>
        </w:rPr>
        <w:t>依法适用普通程序，于202</w:t>
      </w:r>
      <w:r>
        <w:rPr>
          <w:rFonts w:hint="eastAsia" w:ascii="仿宋" w:hAnsi="仿宋" w:eastAsia="仿宋" w:cs="仿宋"/>
          <w:color w:val="000000"/>
          <w:sz w:val="32"/>
          <w:szCs w:val="32"/>
          <w:lang w:val="en-US" w:eastAsia="zh-CN"/>
        </w:rPr>
        <w:t>3年2月9日</w:t>
      </w:r>
      <w:r>
        <w:rPr>
          <w:rFonts w:hint="eastAsia" w:ascii="仿宋" w:hAnsi="仿宋" w:eastAsia="仿宋" w:cs="仿宋"/>
          <w:color w:val="000000"/>
          <w:sz w:val="32"/>
          <w:szCs w:val="32"/>
        </w:rPr>
        <w:t>公开开庭进行了审理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原告</w:t>
      </w:r>
      <w:r>
        <w:rPr>
          <w:rFonts w:hint="eastAsia" w:ascii="仿宋" w:hAnsi="仿宋" w:eastAsia="仿宋" w:cs="仿宋"/>
          <w:color w:val="000000"/>
          <w:sz w:val="32"/>
          <w:szCs w:val="32"/>
          <w:lang w:eastAsia="zh-CN"/>
        </w:rPr>
        <w:t>光某公司</w:t>
      </w:r>
      <w:r>
        <w:rPr>
          <w:rFonts w:hint="eastAsia" w:ascii="仿宋" w:hAnsi="仿宋" w:eastAsia="仿宋" w:cs="仿宋"/>
          <w:color w:val="000000"/>
          <w:sz w:val="32"/>
          <w:szCs w:val="32"/>
        </w:rPr>
        <w:t>的委托诉讼代理人杨砚池</w:t>
      </w:r>
      <w:r>
        <w:rPr>
          <w:rFonts w:hint="eastAsia" w:ascii="仿宋" w:hAnsi="仿宋" w:eastAsia="仿宋" w:cs="仿宋"/>
          <w:color w:val="000000"/>
          <w:sz w:val="32"/>
          <w:szCs w:val="32"/>
          <w:lang w:eastAsia="zh-CN"/>
        </w:rPr>
        <w:t>、王子夷</w:t>
      </w:r>
      <w:r>
        <w:rPr>
          <w:rFonts w:hint="eastAsia" w:ascii="仿宋" w:hAnsi="仿宋" w:eastAsia="仿宋" w:cs="仿宋"/>
          <w:color w:val="000000"/>
          <w:sz w:val="32"/>
          <w:szCs w:val="32"/>
        </w:rPr>
        <w:t>，被告</w:t>
      </w:r>
      <w:r>
        <w:rPr>
          <w:rFonts w:hint="eastAsia" w:ascii="仿宋" w:hAnsi="仿宋" w:eastAsia="仿宋" w:cs="仿宋"/>
          <w:color w:val="000000"/>
          <w:sz w:val="32"/>
          <w:szCs w:val="32"/>
          <w:lang w:eastAsia="zh-CN"/>
        </w:rPr>
        <w:t>三某公司的</w:t>
      </w:r>
      <w:r>
        <w:rPr>
          <w:rFonts w:hint="eastAsia" w:ascii="仿宋" w:hAnsi="仿宋" w:eastAsia="仿宋" w:cs="仿宋"/>
          <w:color w:val="000000"/>
          <w:sz w:val="32"/>
          <w:szCs w:val="32"/>
        </w:rPr>
        <w:t>委托诉讼代理人</w:t>
      </w:r>
      <w:r>
        <w:rPr>
          <w:rFonts w:hint="eastAsia" w:ascii="仿宋" w:hAnsi="仿宋" w:eastAsia="仿宋" w:cs="仿宋"/>
          <w:color w:val="000000"/>
          <w:sz w:val="32"/>
          <w:szCs w:val="32"/>
          <w:lang w:eastAsia="zh-CN"/>
        </w:rPr>
        <w:t>李跃</w:t>
      </w:r>
      <w:r>
        <w:rPr>
          <w:rFonts w:hint="eastAsia" w:ascii="仿宋" w:hAnsi="仿宋" w:eastAsia="仿宋" w:cs="仿宋"/>
          <w:color w:val="000000"/>
          <w:sz w:val="32"/>
          <w:szCs w:val="32"/>
        </w:rPr>
        <w:t>到庭参加诉讼。本案现已审理终结。</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原告</w:t>
      </w:r>
      <w:r>
        <w:rPr>
          <w:rFonts w:hint="eastAsia" w:ascii="仿宋" w:hAnsi="仿宋" w:eastAsia="仿宋" w:cs="仿宋"/>
          <w:color w:val="000000"/>
          <w:sz w:val="32"/>
          <w:szCs w:val="32"/>
          <w:lang w:eastAsia="zh-CN"/>
        </w:rPr>
        <w:t>光某公司</w:t>
      </w:r>
      <w:r>
        <w:rPr>
          <w:rFonts w:hint="eastAsia" w:ascii="仿宋" w:hAnsi="仿宋" w:eastAsia="仿宋" w:cs="仿宋"/>
          <w:color w:val="000000"/>
          <w:sz w:val="32"/>
          <w:szCs w:val="32"/>
        </w:rPr>
        <w:t>向本院提出诉讼请求：</w:t>
      </w:r>
      <w:r>
        <w:rPr>
          <w:rFonts w:hint="eastAsia" w:ascii="仿宋" w:hAnsi="仿宋" w:eastAsia="仿宋" w:cs="仿宋"/>
          <w:sz w:val="32"/>
          <w:szCs w:val="32"/>
        </w:rPr>
        <w:t>1.</w:t>
      </w:r>
      <w:r>
        <w:rPr>
          <w:rFonts w:hint="eastAsia" w:ascii="仿宋" w:hAnsi="仿宋" w:eastAsia="仿宋" w:cs="仿宋"/>
          <w:color w:val="000000"/>
          <w:sz w:val="32"/>
          <w:szCs w:val="32"/>
        </w:rPr>
        <w:t>被告立即停止侵害</w:t>
      </w:r>
      <w:r>
        <w:rPr>
          <w:rFonts w:hint="eastAsia" w:ascii="仿宋" w:hAnsi="仿宋" w:eastAsia="仿宋" w:cs="仿宋"/>
          <w:color w:val="000000"/>
          <w:sz w:val="32"/>
          <w:szCs w:val="32"/>
          <w:lang w:eastAsia="zh-CN"/>
        </w:rPr>
        <w:t>原告</w:t>
      </w:r>
      <w:r>
        <w:rPr>
          <w:rFonts w:hint="eastAsia" w:ascii="仿宋" w:hAnsi="仿宋" w:eastAsia="仿宋" w:cs="仿宋"/>
          <w:color w:val="000000"/>
          <w:sz w:val="32"/>
          <w:szCs w:val="32"/>
        </w:rPr>
        <w:t>商业秘密的行为；2.被告赔偿原告经济损失</w:t>
      </w:r>
      <w:r>
        <w:rPr>
          <w:rFonts w:hint="eastAsia" w:ascii="仿宋" w:hAnsi="仿宋" w:eastAsia="仿宋" w:cs="仿宋"/>
          <w:color w:val="000000"/>
          <w:sz w:val="32"/>
          <w:szCs w:val="32"/>
          <w:lang w:val="en-US" w:eastAsia="zh-CN"/>
        </w:rPr>
        <w:t>300万</w:t>
      </w:r>
      <w:r>
        <w:rPr>
          <w:rFonts w:hint="eastAsia" w:ascii="仿宋" w:hAnsi="仿宋" w:eastAsia="仿宋" w:cs="仿宋"/>
          <w:color w:val="000000"/>
          <w:sz w:val="32"/>
          <w:szCs w:val="32"/>
        </w:rPr>
        <w:t>元；</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被告承担本案诉讼费用。事实和理由：</w:t>
      </w:r>
      <w:r>
        <w:rPr>
          <w:rFonts w:hint="eastAsia" w:ascii="仿宋" w:hAnsi="仿宋" w:eastAsia="仿宋" w:cs="仿宋"/>
          <w:color w:val="000000"/>
          <w:sz w:val="32"/>
          <w:szCs w:val="32"/>
          <w:lang w:val="en-US" w:eastAsia="zh-CN"/>
        </w:rPr>
        <w:t>原告光某公司成立于1996年11月4日，注册资本2060万元，原告成立以来一直致力于摩托车的生产、设计和销售。原告产品主要用于出口，产品已远销欧盟、美国、东南亚、中东、非洲等50多个国家和地区。原告生产出口的摩托车都是销售给目的地的经销商，再由经销商自行定价销售。原告出口摩托车的相关商业信息不仅记录了各型号摩托车的单价、数量、销售国家，还详细的记录了目的地经销商名称、成交方式、运输方式等内容，系原告在特定市场的商业信息，该商业信息不为所属领域的相关人员普遍知晓或容易获得，具有未公开性，且原告对其商业秘密已经釆取了相应保密措施。该商业信息在生产经营中具有价值性，能为原告带来现实及潜在的商业价值和竞争优势，对这些信息的了解和掌握有助于在市场交易中取得竞争的主动权。故原告出口摩托车相关商业信息构成原告的商业秘密。被告于2019年和北京某某科技有限公司签订《数据服务协议》，约定北京某某科技有限公司给被告提供出口数据。而这些出口数据是原告的商业秘密，不能通过公开或合法途径获取，被告采取不正当方式进行了获取。被告于2019年12月10日在重庆市第五中级人民法院审理的案件中，使用并向重庆克某某机械制造有限公司披露了原告的出口数据。后被告又于2021年4月9日在重庆市第一中级人民法院使用披露了原告的出口数据。该数据详细披露了原告在2019年1月至7月期间的出口详细数据，也即原告的商业秘密信息。原告与被告同为摩托车生产销售商，具有多年的直接竞争关系，在摩托车出口市场上，被告掌握原告上述商业秘密，在市场竞争中对原告带来了严重影响，侵害了原告的商业秘密</w:t>
      </w:r>
      <w:r>
        <w:rPr>
          <w:rFonts w:hint="eastAsia" w:ascii="仿宋" w:hAnsi="仿宋" w:eastAsia="仿宋" w:cs="仿宋"/>
          <w:color w:val="000000"/>
          <w:sz w:val="32"/>
          <w:szCs w:val="32"/>
          <w:lang w:eastAsia="zh-CN"/>
        </w:rPr>
        <w:t>。原告</w:t>
      </w:r>
      <w:r>
        <w:rPr>
          <w:rFonts w:hint="eastAsia" w:ascii="仿宋" w:hAnsi="仿宋" w:eastAsia="仿宋" w:cs="仿宋"/>
          <w:color w:val="000000"/>
          <w:sz w:val="32"/>
          <w:szCs w:val="32"/>
        </w:rPr>
        <w:t>为维护原告合法权益，特起诉来院，望判如所请。</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被告</w:t>
      </w:r>
      <w:r>
        <w:rPr>
          <w:rFonts w:hint="eastAsia" w:ascii="仿宋" w:hAnsi="仿宋" w:eastAsia="仿宋" w:cs="仿宋"/>
          <w:color w:val="000000"/>
          <w:sz w:val="32"/>
          <w:szCs w:val="32"/>
          <w:lang w:eastAsia="zh-CN"/>
        </w:rPr>
        <w:t>三某公司</w:t>
      </w:r>
      <w:r>
        <w:rPr>
          <w:rFonts w:hint="eastAsia" w:ascii="仿宋" w:hAnsi="仿宋" w:eastAsia="仿宋" w:cs="仿宋"/>
          <w:color w:val="000000"/>
          <w:sz w:val="32"/>
          <w:szCs w:val="32"/>
        </w:rPr>
        <w:t>辩称，1.原告在管辖权异议听证时主张的商业秘密信息是指原告在2019年1月-7月进行的摩托车出口销售信息，包括出口型号名称、数量、目的国、商品名称、品牌、单价、总价、运输方式、排量、出口海关，其他信息原告在管辖权异议听证阶段没有主张。2.原告主张的诸多信息属于行业可公开的范围，绝大多的数据属于公开的数据，不属于商业秘密。3.原告应明确商业秘密的每一</w:t>
      </w:r>
      <w:r>
        <w:rPr>
          <w:rFonts w:hint="eastAsia" w:ascii="仿宋" w:hAnsi="仿宋" w:eastAsia="仿宋" w:cs="仿宋"/>
          <w:color w:val="000000"/>
          <w:sz w:val="32"/>
          <w:szCs w:val="32"/>
          <w:lang w:eastAsia="zh-CN"/>
        </w:rPr>
        <w:t>项</w:t>
      </w:r>
      <w:r>
        <w:rPr>
          <w:rFonts w:hint="eastAsia" w:ascii="仿宋" w:hAnsi="仿宋" w:eastAsia="仿宋" w:cs="仿宋"/>
          <w:color w:val="000000"/>
          <w:sz w:val="32"/>
          <w:szCs w:val="32"/>
        </w:rPr>
        <w:t>信息对其造成的相应的损失。</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eastAsia="zh-CN"/>
        </w:rPr>
        <w:t>原告光某公司为证明其诉讼请求，向本院提交了如下证据：（</w:t>
      </w:r>
      <w:r>
        <w:rPr>
          <w:rFonts w:hint="eastAsia" w:ascii="仿宋" w:hAnsi="仿宋" w:eastAsia="仿宋" w:cs="仿宋"/>
          <w:color w:val="000000"/>
          <w:sz w:val="32"/>
          <w:szCs w:val="32"/>
          <w:lang w:val="en-US" w:eastAsia="zh-CN"/>
        </w:rPr>
        <w:t>2019</w:t>
      </w:r>
      <w:r>
        <w:rPr>
          <w:rFonts w:hint="eastAsia" w:ascii="仿宋" w:hAnsi="仿宋" w:eastAsia="仿宋" w:cs="仿宋"/>
          <w:color w:val="000000"/>
          <w:sz w:val="32"/>
          <w:szCs w:val="32"/>
          <w:lang w:eastAsia="zh-CN"/>
        </w:rPr>
        <w:t>）渝</w:t>
      </w:r>
      <w:r>
        <w:rPr>
          <w:rFonts w:hint="eastAsia" w:ascii="仿宋" w:hAnsi="仿宋" w:eastAsia="仿宋" w:cs="仿宋"/>
          <w:color w:val="000000"/>
          <w:sz w:val="32"/>
          <w:szCs w:val="32"/>
          <w:lang w:val="en-US" w:eastAsia="zh-CN"/>
        </w:rPr>
        <w:t>05民初3767号案件证据目录、《数据服务协议》、光某公司员工手册、发放记录、员工承诺书、《保密协议》、（2019）渝05民初3767号案件传票及庭审记录、（2019）渝中信证字第14070号公证书、（2021）渝01民初6474号庭审笔录及证据材料、产业信息网截图、《法律事务委托合同》及发票。</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被告三某公司对原告光某公司提交的证据发表质证意见如下：对原告提交的</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2019</w:t>
      </w:r>
      <w:r>
        <w:rPr>
          <w:rFonts w:hint="eastAsia" w:ascii="仿宋" w:hAnsi="仿宋" w:eastAsia="仿宋" w:cs="仿宋"/>
          <w:color w:val="000000"/>
          <w:sz w:val="32"/>
          <w:szCs w:val="32"/>
          <w:lang w:eastAsia="zh-CN"/>
        </w:rPr>
        <w:t>）渝</w:t>
      </w:r>
      <w:r>
        <w:rPr>
          <w:rFonts w:hint="eastAsia" w:ascii="仿宋" w:hAnsi="仿宋" w:eastAsia="仿宋" w:cs="仿宋"/>
          <w:color w:val="000000"/>
          <w:sz w:val="32"/>
          <w:szCs w:val="32"/>
          <w:lang w:val="en-US" w:eastAsia="zh-CN"/>
        </w:rPr>
        <w:t>05民初3767号案件证据目录、《数据服务协议》、（2019）渝05民初3767号案件传票及庭审记录、（2019）渝中信证字第14070号公证书、（2021）渝01民初6474号庭审笔录及证据材料、产业信息网截图，确认真实性、合法性、关联性，但不认可证明内容，北京某某科技有限公司提供给被告三某公司的信息均有合法来源，三某公司是在维护自身合法权益的诉讼中提交相关证据，且光某公司亦未要求不公开审理；对原告提交的员工手册、发放记录、员工承诺书、《法律事务委托合同》及发票，被告三某公司均不认可真实性，认为员工手册及员工承诺书的墨迹未干透，系伪造的，《保密协议》未载明本案涉案信息，《法律事务委托合同》遮挡了律师服务费的部分内容。</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被告三某公司为反驳原告光某公司的诉讼请求，向本院提交如下证据：北京某某科技有限公司企业信用信息公示报告、官网截图、（2021）渝01民初6478号民事判决书、（2021）渝01民初6480号民事判决书、（2021）渝01民初6482号民事判决书、（2021）渝01民初6483号民事判决书、（2021）渝01民初6488号民事判决书、（2022）最高法民登1321号通知书、中国汽车工业协会官网的统计数据、公众号文章、产业信息网截图、《中国汽车工业（摩托车部分）产销快讯》</w:t>
      </w:r>
      <w:r>
        <w:rPr>
          <w:rFonts w:hint="eastAsia" w:ascii="仿宋" w:hAnsi="仿宋" w:eastAsia="仿宋" w:cs="仿宋"/>
          <w:color w:val="000000"/>
          <w:sz w:val="32"/>
          <w:szCs w:val="32"/>
          <w:lang w:eastAsia="zh-CN"/>
        </w:rPr>
        <w:t>。</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原告光某公司对于被告三某公司提交的证据发表质证意见如下：对被告提交的除公众号文章外的证据真实性予以认可，但不认可证明目的，汽车工业协会仅能获取统计数据，并不能获取具体某企业的具体某批出口产品的详细出口信息；对被告提交的公众号文章真实性不认可，内容亦不认可。</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案件审理中，本院</w:t>
      </w:r>
      <w:r>
        <w:rPr>
          <w:rFonts w:hint="default" w:ascii="仿宋" w:hAnsi="仿宋" w:eastAsia="仿宋" w:cs="仿宋"/>
          <w:color w:val="000000"/>
          <w:sz w:val="32"/>
          <w:szCs w:val="32"/>
          <w:lang w:eastAsia="zh-CN"/>
        </w:rPr>
        <w:t>依职权</w:t>
      </w:r>
      <w:r>
        <w:rPr>
          <w:rFonts w:hint="eastAsia" w:ascii="仿宋" w:hAnsi="仿宋" w:eastAsia="仿宋" w:cs="仿宋"/>
          <w:color w:val="000000"/>
          <w:sz w:val="32"/>
          <w:szCs w:val="32"/>
          <w:lang w:val="en-US" w:eastAsia="zh-CN"/>
        </w:rPr>
        <w:t>向</w:t>
      </w:r>
      <w:r>
        <w:rPr>
          <w:rFonts w:hint="default" w:ascii="仿宋" w:hAnsi="仿宋" w:eastAsia="仿宋" w:cs="仿宋"/>
          <w:color w:val="000000"/>
          <w:sz w:val="32"/>
          <w:szCs w:val="32"/>
          <w:lang w:eastAsia="zh-CN"/>
        </w:rPr>
        <w:t>案外人</w:t>
      </w:r>
      <w:r>
        <w:rPr>
          <w:rFonts w:hint="eastAsia" w:ascii="仿宋" w:hAnsi="仿宋" w:eastAsia="仿宋" w:cs="仿宋"/>
          <w:color w:val="000000"/>
          <w:sz w:val="32"/>
          <w:szCs w:val="32"/>
          <w:highlight w:val="none"/>
          <w:lang w:val="en-US" w:eastAsia="zh-CN"/>
        </w:rPr>
        <w:t>北京某某科技有限公司发送《协助调查函》，要求其明确涉案数据的来源及形成方式。北京某某科技有限公司</w:t>
      </w:r>
      <w:r>
        <w:rPr>
          <w:rFonts w:hint="default" w:ascii="仿宋" w:hAnsi="仿宋" w:eastAsia="仿宋" w:cs="仿宋"/>
          <w:color w:val="000000"/>
          <w:sz w:val="32"/>
          <w:szCs w:val="32"/>
          <w:highlight w:val="none"/>
          <w:lang w:eastAsia="zh-CN"/>
        </w:rPr>
        <w:t>向本院提交了</w:t>
      </w:r>
      <w:r>
        <w:rPr>
          <w:rFonts w:hint="eastAsia" w:ascii="仿宋" w:hAnsi="仿宋" w:eastAsia="仿宋" w:cs="仿宋"/>
          <w:color w:val="000000"/>
          <w:sz w:val="32"/>
          <w:szCs w:val="32"/>
          <w:highlight w:val="none"/>
          <w:lang w:val="en-US" w:eastAsia="zh-CN"/>
        </w:rPr>
        <w:t>回函。原告光某公司与被告三某公司对该份回函分别发表了书面质证意见。</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针对上述证据，本院认证如下：1.被告对原告提交的</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2019</w:t>
      </w:r>
      <w:r>
        <w:rPr>
          <w:rFonts w:hint="eastAsia" w:ascii="仿宋" w:hAnsi="仿宋" w:eastAsia="仿宋" w:cs="仿宋"/>
          <w:color w:val="000000"/>
          <w:sz w:val="32"/>
          <w:szCs w:val="32"/>
          <w:lang w:eastAsia="zh-CN"/>
        </w:rPr>
        <w:t>）渝</w:t>
      </w:r>
      <w:r>
        <w:rPr>
          <w:rFonts w:hint="eastAsia" w:ascii="仿宋" w:hAnsi="仿宋" w:eastAsia="仿宋" w:cs="仿宋"/>
          <w:color w:val="000000"/>
          <w:sz w:val="32"/>
          <w:szCs w:val="32"/>
          <w:lang w:val="en-US" w:eastAsia="zh-CN"/>
        </w:rPr>
        <w:t>05民初3767号案件证据目录、《数据服务协议》、（2019）渝05民初3767号案件传票及庭审记录、（2019）渝中信证字第14070号公证书、（2021）渝01民初6474号庭审笔录及证据材料、产业信息网截图真实性无异议；原告对被告提交的除公众号文章外的证据真实性无异议；原被告双方对</w:t>
      </w:r>
      <w:r>
        <w:rPr>
          <w:rFonts w:hint="eastAsia" w:ascii="仿宋" w:hAnsi="仿宋" w:eastAsia="仿宋" w:cs="仿宋"/>
          <w:color w:val="000000"/>
          <w:sz w:val="32"/>
          <w:szCs w:val="32"/>
          <w:highlight w:val="none"/>
          <w:lang w:val="en-US" w:eastAsia="zh-CN"/>
        </w:rPr>
        <w:t>北京某某科技有限公司的《回函》真实性予以认可，</w:t>
      </w:r>
      <w:r>
        <w:rPr>
          <w:rFonts w:hint="eastAsia" w:ascii="仿宋" w:hAnsi="仿宋" w:eastAsia="仿宋" w:cs="仿宋"/>
          <w:color w:val="000000"/>
          <w:sz w:val="32"/>
          <w:szCs w:val="32"/>
          <w:lang w:val="en-US" w:eastAsia="zh-CN"/>
        </w:rPr>
        <w:t>本院对上述证据的真实性予以确认，作为本案证据使用。2.对原告提交的员工手册、发放记录、员工承诺书及保密协议，有原件，被告不认可其真实性，但未提出相反证据予以证明，本院对该证据真实性予以确认。3.对原告提交的《法律事务委托合同》及发票，原告提交了原件，即便合同内容部分被遮盖，但经法庭查验不影响证明目的，本院对该证据真实性予以确认。4.被告提交的公众号文章，经查验存在该文章，本院对该证据形式真实性予以确认。</w:t>
      </w:r>
    </w:p>
    <w:p>
      <w:pPr>
        <w:keepNext w:val="0"/>
        <w:keepLines w:val="0"/>
        <w:pageBreakBefore w:val="0"/>
        <w:numPr>
          <w:ilvl w:val="0"/>
          <w:numId w:val="0"/>
        </w:numPr>
        <w:kinsoku/>
        <w:wordWrap/>
        <w:overflowPunct/>
        <w:topLinePunct w:val="0"/>
        <w:bidi w:val="0"/>
        <w:snapToGrid/>
        <w:spacing w:line="540" w:lineRule="exact"/>
        <w:ind w:firstLine="640"/>
        <w:textAlignment w:val="auto"/>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rPr>
        <w:t>本院经审</w:t>
      </w:r>
      <w:r>
        <w:rPr>
          <w:rFonts w:hint="eastAsia" w:ascii="仿宋" w:hAnsi="仿宋" w:eastAsia="仿宋" w:cs="仿宋"/>
          <w:color w:val="000000"/>
          <w:sz w:val="32"/>
          <w:szCs w:val="32"/>
          <w:highlight w:val="none"/>
          <w:lang w:val="en-US" w:eastAsia="zh-CN"/>
        </w:rPr>
        <w:t>理认定事实如下：</w:t>
      </w:r>
    </w:p>
    <w:p>
      <w:pPr>
        <w:keepNext w:val="0"/>
        <w:keepLines w:val="0"/>
        <w:pageBreakBefore w:val="0"/>
        <w:numPr>
          <w:ilvl w:val="0"/>
          <w:numId w:val="0"/>
        </w:numPr>
        <w:kinsoku/>
        <w:wordWrap/>
        <w:overflowPunct/>
        <w:topLinePunct w:val="0"/>
        <w:bidi w:val="0"/>
        <w:snapToGrid/>
        <w:spacing w:line="540" w:lineRule="exact"/>
        <w:ind w:firstLine="640"/>
        <w:textAlignment w:val="auto"/>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一、原告光某公司及涉案经营信息情况</w:t>
      </w:r>
    </w:p>
    <w:p>
      <w:pPr>
        <w:keepNext w:val="0"/>
        <w:keepLines w:val="0"/>
        <w:pageBreakBefore w:val="0"/>
        <w:numPr>
          <w:ilvl w:val="0"/>
          <w:numId w:val="0"/>
        </w:numPr>
        <w:kinsoku/>
        <w:wordWrap/>
        <w:overflowPunct/>
        <w:topLinePunct w:val="0"/>
        <w:bidi w:val="0"/>
        <w:snapToGrid/>
        <w:spacing w:line="540"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highlight w:val="none"/>
          <w:lang w:val="en-US" w:eastAsia="zh-CN"/>
        </w:rPr>
        <w:t>原告光某公司成立于</w:t>
      </w:r>
      <w:r>
        <w:rPr>
          <w:rFonts w:hint="eastAsia" w:ascii="仿宋" w:hAnsi="仿宋" w:eastAsia="仿宋" w:cs="仿宋"/>
          <w:color w:val="000000"/>
          <w:sz w:val="32"/>
          <w:szCs w:val="32"/>
          <w:lang w:val="en-US" w:eastAsia="zh-CN"/>
        </w:rPr>
        <w:t>1996</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11</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日，营业范围包括</w:t>
      </w:r>
      <w:r>
        <w:rPr>
          <w:rFonts w:hint="eastAsia" w:ascii="仿宋" w:hAnsi="仿宋" w:eastAsia="仿宋" w:cs="仿宋"/>
          <w:color w:val="000000"/>
          <w:sz w:val="32"/>
          <w:szCs w:val="32"/>
          <w:lang w:eastAsia="zh-CN"/>
        </w:rPr>
        <w:t>制造、销售摩托车，经营本企业自产产品的出口业务和本企业所需的机械设备、零配件等</w:t>
      </w:r>
      <w:r>
        <w:rPr>
          <w:rFonts w:hint="eastAsia" w:ascii="仿宋" w:hAnsi="仿宋" w:eastAsia="仿宋" w:cs="仿宋"/>
          <w:color w:val="000000"/>
          <w:sz w:val="32"/>
          <w:szCs w:val="32"/>
        </w:rPr>
        <w:t>。</w:t>
      </w:r>
    </w:p>
    <w:p>
      <w:pPr>
        <w:keepNext w:val="0"/>
        <w:keepLines w:val="0"/>
        <w:pageBreakBefore w:val="0"/>
        <w:numPr>
          <w:ilvl w:val="0"/>
          <w:numId w:val="0"/>
        </w:numPr>
        <w:kinsoku/>
        <w:wordWrap/>
        <w:overflowPunct/>
        <w:topLinePunct w:val="0"/>
        <w:bidi w:val="0"/>
        <w:snapToGrid/>
        <w:spacing w:line="540" w:lineRule="exact"/>
        <w:ind w:firstLine="64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原告光某公司在本案中主张的商业秘密是原告在2019年1月-7月进行的摩托车出口销售的信息，每条信息包括出口目的地、中转国、起运港、大区、商品名称、规格型号、排量CC、品牌、型号、成交方式、申报单价、申报总价、申报币制、美元单价、美元总价、申报数量、申报单位、运输方式、包装种类、货主单位名称、申报单位名称，以上21项出口信息类目。上述信息系原告光某公司在2019年1月至7月共计26次出口报关的具体详情信息。</w:t>
      </w:r>
    </w:p>
    <w:p>
      <w:pPr>
        <w:keepNext w:val="0"/>
        <w:keepLines w:val="0"/>
        <w:pageBreakBefore w:val="0"/>
        <w:numPr>
          <w:ilvl w:val="0"/>
          <w:numId w:val="0"/>
        </w:numPr>
        <w:kinsoku/>
        <w:wordWrap/>
        <w:overflowPunct/>
        <w:topLinePunct w:val="0"/>
        <w:bidi w:val="0"/>
        <w:snapToGrid/>
        <w:spacing w:line="540" w:lineRule="exact"/>
        <w:ind w:firstLine="64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原告光某公司的员工手册载明，无论在公司内外，都不得泄露公司机密。原告光某公司的相关工作人员签订承诺书，载明已认真阅读《员工手册》，承诺严格遵守《员工手册》中公司规范。</w:t>
      </w:r>
      <w:r>
        <w:rPr>
          <w:rFonts w:hint="default" w:ascii="仿宋" w:hAnsi="仿宋" w:eastAsia="仿宋" w:cs="仿宋"/>
          <w:color w:val="000000"/>
          <w:sz w:val="32"/>
          <w:szCs w:val="32"/>
          <w:lang w:val="en-US" w:eastAsia="zh-CN"/>
        </w:rPr>
        <w:t>同时原告要求员工签署《承诺书》及《&lt;员工手册</w:t>
      </w:r>
      <w:r>
        <w:rPr>
          <w:rFonts w:hint="eastAsia" w:ascii="仿宋" w:hAnsi="仿宋" w:eastAsia="仿宋" w:cs="仿宋"/>
          <w:color w:val="000000"/>
          <w:sz w:val="32"/>
          <w:szCs w:val="32"/>
          <w:lang w:val="en-US" w:eastAsia="zh-CN"/>
        </w:rPr>
        <w:t>&gt;</w:t>
      </w:r>
      <w:r>
        <w:rPr>
          <w:rFonts w:hint="default" w:ascii="仿宋" w:hAnsi="仿宋" w:eastAsia="仿宋" w:cs="仿宋"/>
          <w:color w:val="000000"/>
          <w:sz w:val="32"/>
          <w:szCs w:val="32"/>
          <w:lang w:val="en-US" w:eastAsia="zh-CN"/>
        </w:rPr>
        <w:t>发放记录》，</w:t>
      </w:r>
      <w:r>
        <w:rPr>
          <w:rFonts w:hint="eastAsia" w:ascii="仿宋" w:hAnsi="仿宋" w:eastAsia="仿宋" w:cs="仿宋"/>
          <w:color w:val="000000"/>
          <w:sz w:val="32"/>
          <w:szCs w:val="32"/>
          <w:lang w:val="en-US" w:eastAsia="zh-CN"/>
        </w:rPr>
        <w:t>原告</w:t>
      </w:r>
      <w:r>
        <w:rPr>
          <w:rFonts w:hint="default" w:ascii="仿宋" w:hAnsi="仿宋" w:eastAsia="仿宋" w:cs="仿宋"/>
          <w:color w:val="000000"/>
          <w:sz w:val="32"/>
          <w:szCs w:val="32"/>
          <w:lang w:val="en-US" w:eastAsia="zh-CN"/>
        </w:rPr>
        <w:t>公司中能够接触到本案涉及经营信息的员工均已签署《承诺书》及《&lt;员工手册</w:t>
      </w:r>
      <w:r>
        <w:rPr>
          <w:rFonts w:hint="eastAsia" w:ascii="仿宋" w:hAnsi="仿宋" w:eastAsia="仿宋" w:cs="仿宋"/>
          <w:color w:val="000000"/>
          <w:sz w:val="32"/>
          <w:szCs w:val="32"/>
          <w:lang w:val="en-US" w:eastAsia="zh-CN"/>
        </w:rPr>
        <w:t>&gt;</w:t>
      </w:r>
      <w:r>
        <w:rPr>
          <w:rFonts w:hint="default" w:ascii="仿宋" w:hAnsi="仿宋" w:eastAsia="仿宋" w:cs="仿宋"/>
          <w:color w:val="000000"/>
          <w:sz w:val="32"/>
          <w:szCs w:val="32"/>
          <w:lang w:val="en-US" w:eastAsia="zh-CN"/>
        </w:rPr>
        <w:t>发放记录》</w:t>
      </w:r>
      <w:r>
        <w:rPr>
          <w:rFonts w:hint="eastAsia" w:ascii="仿宋" w:hAnsi="仿宋" w:eastAsia="仿宋" w:cs="仿宋"/>
          <w:color w:val="000000"/>
          <w:sz w:val="32"/>
          <w:szCs w:val="32"/>
          <w:lang w:val="en-US" w:eastAsia="zh-CN"/>
        </w:rPr>
        <w:t>。2017年2月11日，原告光某公司与重庆某某报关服务有限公司签订《保密协议》，载明双方就光某公司产品出口报关事项进行合作，双方在合作期间，重庆某某报关服务有限公司会接触或掌握光某公司的商业秘密，保密信息包括出口客户信息、客户资料、合同及其中条款、产品型号、产品数量、产品价格、产品重量、交易方式、出口时间、运输目的地、运输方式及运费等，重庆某某报关服务有限公司应确保光某公司的保密信息得到严格的保密，另约定违反保密义务的违约责任。</w:t>
      </w:r>
    </w:p>
    <w:p>
      <w:pPr>
        <w:keepNext w:val="0"/>
        <w:keepLines w:val="0"/>
        <w:pageBreakBefore w:val="0"/>
        <w:numPr>
          <w:ilvl w:val="0"/>
          <w:numId w:val="0"/>
        </w:numPr>
        <w:kinsoku/>
        <w:wordWrap/>
        <w:overflowPunct/>
        <w:topLinePunct w:val="0"/>
        <w:bidi w:val="0"/>
        <w:snapToGrid/>
        <w:spacing w:line="540" w:lineRule="exact"/>
        <w:ind w:firstLine="64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二、被告三某公司及其被控侵权行为</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被告三某公司成立</w:t>
      </w:r>
      <w:r>
        <w:rPr>
          <w:rFonts w:hint="eastAsia" w:ascii="仿宋" w:hAnsi="仿宋" w:eastAsia="仿宋" w:cs="仿宋"/>
          <w:color w:val="000000"/>
          <w:sz w:val="32"/>
          <w:szCs w:val="32"/>
        </w:rPr>
        <w:t>于</w:t>
      </w:r>
      <w:r>
        <w:rPr>
          <w:rFonts w:hint="eastAsia" w:ascii="仿宋" w:hAnsi="仿宋" w:eastAsia="仿宋" w:cs="仿宋"/>
          <w:color w:val="000000"/>
          <w:sz w:val="32"/>
          <w:szCs w:val="32"/>
          <w:lang w:val="en-US" w:eastAsia="zh-CN"/>
        </w:rPr>
        <w:t>1999</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19</w:t>
      </w:r>
      <w:r>
        <w:rPr>
          <w:rFonts w:hint="eastAsia" w:ascii="仿宋" w:hAnsi="仿宋" w:eastAsia="仿宋" w:cs="仿宋"/>
          <w:color w:val="000000"/>
          <w:sz w:val="32"/>
          <w:szCs w:val="32"/>
        </w:rPr>
        <w:t>日，营业范围包括</w:t>
      </w:r>
      <w:r>
        <w:rPr>
          <w:rFonts w:hint="eastAsia" w:ascii="仿宋" w:hAnsi="仿宋" w:eastAsia="仿宋" w:cs="仿宋"/>
          <w:color w:val="000000"/>
          <w:sz w:val="32"/>
          <w:szCs w:val="32"/>
          <w:lang w:eastAsia="zh-CN"/>
        </w:rPr>
        <w:t>摩托车零部件及配件制造、货物进出口等。</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2019年4月17日，被告三某公司与北京某某科技有限公司签订《数据服务协议》，约定北京某某科技有限公司向三某公司提供在四个海关内2019年1月到12月中国出口十位数据服务。2019年8月28日，重庆市中信公证处作出（2019）渝中信证字第14070号公证书，</w:t>
      </w:r>
      <w:r>
        <w:rPr>
          <w:rFonts w:hint="default" w:ascii="仿宋" w:hAnsi="仿宋" w:eastAsia="仿宋" w:cs="仿宋"/>
          <w:color w:val="000000"/>
          <w:sz w:val="32"/>
          <w:szCs w:val="32"/>
          <w:lang w:val="en-US" w:eastAsia="zh-CN"/>
        </w:rPr>
        <w:t>内容</w:t>
      </w:r>
      <w:r>
        <w:rPr>
          <w:rFonts w:hint="eastAsia" w:ascii="仿宋" w:hAnsi="仿宋" w:eastAsia="仿宋" w:cs="仿宋"/>
          <w:color w:val="000000"/>
          <w:sz w:val="32"/>
          <w:szCs w:val="32"/>
          <w:lang w:val="en-US" w:eastAsia="zh-CN"/>
        </w:rPr>
        <w:t>为三某公司工作人员通过登录邮箱，下载北京某某科技有限公司发送的EXCEL文件后</w:t>
      </w:r>
      <w:r>
        <w:rPr>
          <w:rFonts w:hint="default" w:ascii="仿宋" w:hAnsi="仿宋" w:eastAsia="仿宋" w:cs="仿宋"/>
          <w:color w:val="000000"/>
          <w:sz w:val="32"/>
          <w:szCs w:val="32"/>
          <w:lang w:val="en-US" w:eastAsia="zh-CN"/>
        </w:rPr>
        <w:t>勾选</w:t>
      </w:r>
      <w:r>
        <w:rPr>
          <w:rFonts w:hint="eastAsia" w:ascii="仿宋" w:hAnsi="仿宋" w:eastAsia="仿宋" w:cs="仿宋"/>
          <w:color w:val="000000"/>
          <w:sz w:val="32"/>
          <w:szCs w:val="32"/>
          <w:lang w:val="en-US" w:eastAsia="zh-CN"/>
        </w:rPr>
        <w:t>重庆光某摩托车制造有限公司</w:t>
      </w:r>
      <w:r>
        <w:rPr>
          <w:rFonts w:hint="default" w:ascii="仿宋" w:hAnsi="仿宋" w:eastAsia="仿宋" w:cs="仿宋"/>
          <w:color w:val="000000"/>
          <w:sz w:val="32"/>
          <w:szCs w:val="32"/>
          <w:lang w:val="en-US" w:eastAsia="zh-CN"/>
        </w:rPr>
        <w:t>、重庆克维斯机械制造有限公司、</w:t>
      </w:r>
      <w:r>
        <w:rPr>
          <w:rFonts w:hint="eastAsia" w:ascii="仿宋" w:hAnsi="仿宋" w:eastAsia="仿宋" w:cs="仿宋"/>
          <w:color w:val="000000"/>
          <w:sz w:val="32"/>
          <w:szCs w:val="32"/>
          <w:lang w:val="en-US" w:eastAsia="zh-CN"/>
        </w:rPr>
        <w:t>广州三某摩托车有限公司</w:t>
      </w:r>
      <w:r>
        <w:rPr>
          <w:rFonts w:hint="default" w:ascii="仿宋" w:hAnsi="仿宋" w:eastAsia="仿宋" w:cs="仿宋"/>
          <w:color w:val="000000"/>
          <w:sz w:val="32"/>
          <w:szCs w:val="32"/>
          <w:lang w:val="en-US" w:eastAsia="zh-CN"/>
        </w:rPr>
        <w:t>之后的结果</w:t>
      </w:r>
      <w:r>
        <w:rPr>
          <w:rFonts w:hint="eastAsia" w:ascii="仿宋" w:hAnsi="仿宋" w:eastAsia="仿宋" w:cs="仿宋"/>
          <w:color w:val="000000"/>
          <w:sz w:val="32"/>
          <w:szCs w:val="32"/>
          <w:lang w:val="en-US" w:eastAsia="zh-CN"/>
        </w:rPr>
        <w:t>，其中包含光某公司的2019年1月至7月共计26次出口报关的具体详情信息。</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2019年12月10日，重庆市第五中级人民法院以不公开审理方式审理三某公司与重庆克某某机械制造有限公司侵害外观设计专利权纠纷一案中，三某公司举示上述《数据服务协议》以及（2019）渝中信证字第14070号公证书，以证明重庆克某某机械制造有限公司侵权摩托车的数量及价值。在该案庭审中，重庆克某某机械制造有限公司提出该公证书内容为公司具体出口数据，非公开信息，三某公司涉嫌窃取他人经营信息。</w:t>
      </w:r>
    </w:p>
    <w:p>
      <w:pPr>
        <w:keepNext w:val="0"/>
        <w:keepLines w:val="0"/>
        <w:pageBreakBefore w:val="0"/>
        <w:numPr>
          <w:ilvl w:val="0"/>
          <w:numId w:val="0"/>
        </w:numPr>
        <w:kinsoku/>
        <w:wordWrap/>
        <w:overflowPunct/>
        <w:topLinePunct w:val="0"/>
        <w:bidi w:val="0"/>
        <w:snapToGrid/>
        <w:spacing w:line="540" w:lineRule="exact"/>
        <w:ind w:firstLine="64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2021年12月6日，重庆市第一中级人民法院公开开庭审理三某公司与光某公司侵害外观设计专利权纠纷系列案件（2021）渝01民初6474号、6478号、6480号、6482号、6483号、6488号中，三某公司举示（2019）渝中信证字第14070号公证书，以证明光某公司侵权摩托车的数量及价值。在上述案件审理中，三某公司申请法院向重庆海关调取有关光某公司出口摩托车的数据。上述案件民事判决书认定侵权产品的生产、销售数量以被查封的涉案摩托车数量为准，判决光某公司停止侵害三某公司摩托车零部件的外观设计专利权，并赔偿三某公司损失。</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三、有关</w:t>
      </w:r>
      <w:r>
        <w:rPr>
          <w:rFonts w:hint="eastAsia" w:ascii="仿宋" w:hAnsi="仿宋" w:eastAsia="仿宋" w:cs="仿宋"/>
          <w:color w:val="000000"/>
          <w:sz w:val="32"/>
          <w:szCs w:val="32"/>
          <w:highlight w:val="none"/>
          <w:lang w:val="en-US" w:eastAsia="zh-CN"/>
        </w:rPr>
        <w:t>涉案经营信息的来源</w:t>
      </w:r>
    </w:p>
    <w:p>
      <w:pPr>
        <w:keepNext w:val="0"/>
        <w:keepLines w:val="0"/>
        <w:pageBreakBefore w:val="0"/>
        <w:numPr>
          <w:ilvl w:val="0"/>
          <w:numId w:val="0"/>
        </w:numPr>
        <w:kinsoku/>
        <w:wordWrap/>
        <w:overflowPunct/>
        <w:topLinePunct w:val="0"/>
        <w:bidi w:val="0"/>
        <w:snapToGrid/>
        <w:spacing w:line="540" w:lineRule="exact"/>
        <w:ind w:firstLine="640"/>
        <w:textAlignment w:val="auto"/>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lang w:val="en-US" w:eastAsia="zh-CN"/>
        </w:rPr>
        <w:t>北京某某科技有限公司成立于2008年11月28日，经营范围为技术推广服务、经济信息咨询、计算机技术服务、技术咨询、软件开发。</w:t>
      </w:r>
      <w:r>
        <w:rPr>
          <w:rFonts w:hint="eastAsia" w:ascii="仿宋" w:hAnsi="仿宋" w:eastAsia="仿宋" w:cs="仿宋"/>
          <w:color w:val="000000"/>
          <w:sz w:val="32"/>
          <w:szCs w:val="32"/>
          <w:highlight w:val="none"/>
          <w:lang w:val="en-US" w:eastAsia="zh-CN"/>
        </w:rPr>
        <w:t>北京某某科技有限公司就我院发出的《协助调查函》回复：涉案数据是从其他数据服务公司获取，不清楚最终来源；海关总署公开出口年份、月份、国家、商品编码、商品名称、目的国、贸易方式、境内货源地、第一数量、数量单位、第二数量、数量单位、美元金额，企业协会也会公开一些数据，数据公司通过整理制作成透视分析报表供客户分析市场。</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default" w:ascii="仿宋" w:hAnsi="仿宋" w:eastAsia="仿宋" w:cs="仿宋"/>
          <w:color w:val="000000"/>
          <w:sz w:val="32"/>
          <w:szCs w:val="32"/>
          <w:highlight w:val="none"/>
          <w:lang w:val="en-US" w:eastAsia="zh-CN"/>
        </w:rPr>
      </w:pPr>
      <w:r>
        <w:rPr>
          <w:rFonts w:hint="eastAsia" w:ascii="仿宋" w:hAnsi="仿宋" w:eastAsia="仿宋" w:cs="仿宋"/>
          <w:color w:val="000000"/>
          <w:sz w:val="32"/>
          <w:szCs w:val="32"/>
          <w:lang w:val="en-US" w:eastAsia="zh-CN"/>
        </w:rPr>
        <w:t>中国汽车工业协会出版的《中国汽车工业（摩托车部分）产销快讯》反映摩托车行业各公司每月一定范围排量车型的销售数量、出口数量、出口金额。例如，2019年2月摩托车生产企业排量大于250ml三轮摩托车生产情况表中，光某公司的本月完成数量、本月累计数量、去年同期累计数量、比上月增幅、比同期增幅等。</w:t>
      </w:r>
      <w:r>
        <w:rPr>
          <w:rFonts w:hint="eastAsia" w:ascii="仿宋" w:hAnsi="仿宋" w:eastAsia="仿宋" w:cs="仿宋"/>
          <w:color w:val="000000"/>
          <w:sz w:val="32"/>
          <w:szCs w:val="32"/>
          <w:highlight w:val="none"/>
          <w:lang w:val="en-US" w:eastAsia="zh-CN"/>
        </w:rPr>
        <w:t>法庭要求被告提供从上述产销快讯计算出原告主张的出口数据的具体方法，被告在规定时间内提交的说明未具体明确计算出涉案数据的方式。</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四、其他事实</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根据产业信息网来源于中国汽车工业（摩托车）产销快讯的数据，光某公司2018年出口数据为55979，2019年出口数据为42122，2020年出口数据为31419；三某公司2018年出口数据177681，2019年出口数据174263，2020年出口数据为183896，2021年出口数据304945。</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lang w:val="en-US" w:eastAsia="zh-CN"/>
        </w:rPr>
        <w:t>原告与重庆西商律师事务所签订《法律事务委托合同》，委托该律所代理本案一审、二审、执行程序，基础律师服务费为30000元，于合同签订之日起十日内支付。重庆西商律师事务所向原告开具金额为30000元的律师服务费增值税专用发票。</w:t>
      </w:r>
    </w:p>
    <w:p>
      <w:pPr>
        <w:keepNext w:val="0"/>
        <w:keepLines w:val="0"/>
        <w:pageBreakBefore w:val="0"/>
        <w:kinsoku/>
        <w:wordWrap/>
        <w:overflowPunct/>
        <w:topLinePunct w:val="0"/>
        <w:bidi w:val="0"/>
        <w:snapToGrid/>
        <w:spacing w:line="540" w:lineRule="exact"/>
        <w:ind w:firstLine="640" w:firstLineChars="200"/>
        <w:textAlignment w:val="auto"/>
        <w:rPr>
          <w:rFonts w:hint="default"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本院认为，</w:t>
      </w:r>
      <w:r>
        <w:rPr>
          <w:rFonts w:hint="eastAsia" w:ascii="仿宋" w:hAnsi="仿宋" w:eastAsia="仿宋" w:cs="仿宋"/>
          <w:color w:val="000000"/>
          <w:sz w:val="32"/>
          <w:szCs w:val="32"/>
          <w:highlight w:val="none"/>
          <w:lang w:eastAsia="zh-CN"/>
        </w:rPr>
        <w:t>本案是涉及数据交易的商业秘密纠纷案件。数据是商事主体之间竞争的重要内容，数据交易涉及的商业秘密侵权纠纷受</w:t>
      </w:r>
      <w:r>
        <w:rPr>
          <w:rFonts w:hint="eastAsia" w:ascii="仿宋" w:hAnsi="仿宋" w:eastAsia="仿宋" w:cs="仿宋"/>
          <w:color w:val="000000"/>
          <w:sz w:val="32"/>
          <w:szCs w:val="32"/>
        </w:rPr>
        <w:t>《中华人民共和国</w:t>
      </w:r>
      <w:r>
        <w:rPr>
          <w:rFonts w:hint="eastAsia" w:ascii="仿宋" w:hAnsi="仿宋" w:eastAsia="仿宋" w:cs="仿宋"/>
          <w:color w:val="000000"/>
          <w:sz w:val="32"/>
          <w:szCs w:val="32"/>
          <w:lang w:eastAsia="zh-CN"/>
        </w:rPr>
        <w:t>反</w:t>
      </w:r>
      <w:r>
        <w:rPr>
          <w:rFonts w:hint="eastAsia" w:ascii="仿宋" w:hAnsi="仿宋" w:eastAsia="仿宋" w:cs="仿宋"/>
          <w:color w:val="000000"/>
          <w:sz w:val="32"/>
          <w:szCs w:val="32"/>
        </w:rPr>
        <w:t>不正当竞争法》</w:t>
      </w:r>
      <w:r>
        <w:rPr>
          <w:rFonts w:hint="eastAsia" w:ascii="仿宋" w:hAnsi="仿宋" w:eastAsia="仿宋" w:cs="仿宋"/>
          <w:color w:val="000000"/>
          <w:sz w:val="32"/>
          <w:szCs w:val="32"/>
          <w:lang w:eastAsia="zh-CN"/>
        </w:rPr>
        <w:t>规制</w:t>
      </w:r>
      <w:r>
        <w:rPr>
          <w:rFonts w:hint="eastAsia" w:ascii="仿宋" w:hAnsi="仿宋" w:eastAsia="仿宋" w:cs="仿宋"/>
          <w:color w:val="000000"/>
          <w:sz w:val="32"/>
          <w:szCs w:val="32"/>
          <w:highlight w:val="none"/>
          <w:lang w:eastAsia="zh-CN"/>
        </w:rPr>
        <w:t>。本案的争议焦点为：</w:t>
      </w:r>
      <w:r>
        <w:rPr>
          <w:rFonts w:hint="eastAsia" w:ascii="仿宋" w:hAnsi="仿宋" w:eastAsia="仿宋" w:cs="仿宋"/>
          <w:color w:val="000000"/>
          <w:sz w:val="32"/>
          <w:szCs w:val="32"/>
          <w:highlight w:val="none"/>
          <w:lang w:val="en-US" w:eastAsia="zh-CN"/>
        </w:rPr>
        <w:t>1.原告主张的出口数据等经营信息是否构成商业秘密；2.被告</w:t>
      </w:r>
      <w:r>
        <w:rPr>
          <w:rFonts w:hint="eastAsia" w:ascii="仿宋" w:hAnsi="仿宋" w:eastAsia="仿宋" w:cs="仿宋"/>
          <w:color w:val="000000"/>
          <w:sz w:val="32"/>
          <w:szCs w:val="32"/>
          <w:lang w:val="en-US" w:eastAsia="zh-CN"/>
        </w:rPr>
        <w:t>购买数据</w:t>
      </w:r>
      <w:r>
        <w:rPr>
          <w:rFonts w:hint="default" w:ascii="仿宋" w:hAnsi="仿宋" w:eastAsia="仿宋" w:cs="仿宋"/>
          <w:color w:val="000000"/>
          <w:sz w:val="32"/>
          <w:szCs w:val="32"/>
          <w:lang w:eastAsia="zh-CN"/>
        </w:rPr>
        <w:t>的</w:t>
      </w:r>
      <w:r>
        <w:rPr>
          <w:rFonts w:hint="eastAsia" w:ascii="仿宋" w:hAnsi="仿宋" w:eastAsia="仿宋" w:cs="仿宋"/>
          <w:color w:val="000000"/>
          <w:sz w:val="32"/>
          <w:szCs w:val="32"/>
          <w:lang w:val="en-US" w:eastAsia="zh-CN"/>
        </w:rPr>
        <w:t>行为是否侵害原告的商业秘密；3.被告在庭审中举示原告涉案经营信息的行为是否侵害原告商业秘密；4.若侵权成</w:t>
      </w:r>
      <w:r>
        <w:rPr>
          <w:rFonts w:hint="eastAsia" w:ascii="仿宋" w:hAnsi="仿宋" w:eastAsia="仿宋" w:cs="仿宋"/>
          <w:color w:val="000000"/>
          <w:sz w:val="32"/>
          <w:szCs w:val="32"/>
          <w:highlight w:val="none"/>
          <w:lang w:val="en-US" w:eastAsia="zh-CN"/>
        </w:rPr>
        <w:t>立，被告应如何承担民事责任。</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eastAsia="zh-CN"/>
        </w:rPr>
        <w:t>一、</w:t>
      </w:r>
      <w:r>
        <w:rPr>
          <w:rFonts w:hint="eastAsia" w:ascii="仿宋" w:hAnsi="仿宋" w:eastAsia="仿宋" w:cs="仿宋"/>
          <w:color w:val="000000"/>
          <w:sz w:val="32"/>
          <w:szCs w:val="32"/>
          <w:highlight w:val="none"/>
          <w:lang w:val="en-US" w:eastAsia="zh-CN"/>
        </w:rPr>
        <w:t>原告光某公司主张的出口数据等经营信息是否构成商业秘密</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《中华人民共和国</w:t>
      </w:r>
      <w:r>
        <w:rPr>
          <w:rFonts w:hint="eastAsia" w:ascii="仿宋" w:hAnsi="仿宋" w:eastAsia="仿宋" w:cs="仿宋"/>
          <w:color w:val="000000"/>
          <w:sz w:val="32"/>
          <w:szCs w:val="32"/>
          <w:lang w:eastAsia="zh-CN"/>
        </w:rPr>
        <w:t>反</w:t>
      </w:r>
      <w:r>
        <w:rPr>
          <w:rFonts w:hint="eastAsia" w:ascii="仿宋" w:hAnsi="仿宋" w:eastAsia="仿宋" w:cs="仿宋"/>
          <w:color w:val="000000"/>
          <w:sz w:val="32"/>
          <w:szCs w:val="32"/>
        </w:rPr>
        <w:t>不正当竞争法》第九条第四款规定：“本法所称的商业秘密，是指不为公众所知悉、具有商业价值并经权利人采取相应保密措施的技术信息、经营信息等商业信息。”</w:t>
      </w:r>
      <w:r>
        <w:rPr>
          <w:rFonts w:hint="eastAsia" w:ascii="仿宋" w:hAnsi="仿宋" w:eastAsia="仿宋" w:cs="仿宋"/>
          <w:color w:val="000000"/>
          <w:sz w:val="32"/>
          <w:szCs w:val="32"/>
          <w:lang w:eastAsia="zh-CN"/>
        </w:rPr>
        <w:t>根据此规定，本案原告主张的出口数据构成商业秘密的信息应当具备秘密性、保密性和价值性三个要件，分别论述</w:t>
      </w:r>
      <w:r>
        <w:rPr>
          <w:rFonts w:hint="eastAsia" w:ascii="仿宋" w:hAnsi="仿宋" w:eastAsia="仿宋" w:cs="仿宋"/>
          <w:color w:val="000000"/>
          <w:sz w:val="32"/>
          <w:szCs w:val="32"/>
          <w:lang w:val="en-US" w:eastAsia="zh-CN"/>
        </w:rPr>
        <w:t>如下</w:t>
      </w:r>
      <w:r>
        <w:rPr>
          <w:rFonts w:hint="eastAsia" w:ascii="仿宋" w:hAnsi="仿宋" w:eastAsia="仿宋" w:cs="仿宋"/>
          <w:color w:val="000000"/>
          <w:sz w:val="32"/>
          <w:szCs w:val="32"/>
          <w:lang w:eastAsia="zh-CN"/>
        </w:rPr>
        <w:t>：</w:t>
      </w:r>
    </w:p>
    <w:p>
      <w:pPr>
        <w:keepNext w:val="0"/>
        <w:keepLines w:val="0"/>
        <w:pageBreakBefore w:val="0"/>
        <w:numPr>
          <w:ilvl w:val="0"/>
          <w:numId w:val="1"/>
        </w:numPr>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eastAsia="zh-CN"/>
        </w:rPr>
        <w:t>关于秘密性。</w:t>
      </w:r>
      <w:r>
        <w:rPr>
          <w:rFonts w:hint="eastAsia" w:ascii="仿宋" w:hAnsi="仿宋" w:eastAsia="仿宋" w:cs="仿宋"/>
          <w:color w:val="000000"/>
          <w:sz w:val="32"/>
          <w:szCs w:val="32"/>
        </w:rPr>
        <w:t>《最高人民法院关于审理侵犯商业秘密民事案件适用法律若干问题的规定》</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以下简称《规定》</w:t>
      </w:r>
      <w:r>
        <w:rPr>
          <w:rFonts w:hint="eastAsia" w:ascii="仿宋" w:hAnsi="仿宋" w:eastAsia="仿宋" w:cs="仿宋"/>
          <w:color w:val="000000"/>
          <w:sz w:val="32"/>
          <w:szCs w:val="32"/>
          <w:lang w:eastAsia="zh-CN"/>
        </w:rPr>
        <w:t>）第三条规定，</w:t>
      </w:r>
      <w:r>
        <w:rPr>
          <w:rFonts w:hint="eastAsia" w:ascii="仿宋" w:hAnsi="仿宋" w:eastAsia="仿宋" w:cs="仿宋"/>
          <w:color w:val="000000"/>
          <w:sz w:val="32"/>
          <w:szCs w:val="32"/>
          <w:lang w:val="en-US" w:eastAsia="zh-CN"/>
        </w:rPr>
        <w:t>权利人请求保护的信息在被诉侵权行为发生时不为所属领域的相关人员普遍知悉和容易获得的，人民法院应当认定为</w:t>
      </w:r>
      <w:r>
        <w:rPr>
          <w:rFonts w:hint="eastAsia" w:ascii="仿宋" w:hAnsi="仿宋" w:eastAsia="仿宋" w:cs="仿宋"/>
          <w:color w:val="000000"/>
          <w:sz w:val="32"/>
          <w:szCs w:val="32"/>
          <w:lang w:val="en-US" w:eastAsia="zh-CN"/>
        </w:rPr>
        <w:fldChar w:fldCharType="begin"/>
      </w:r>
      <w:r>
        <w:rPr>
          <w:rFonts w:hint="eastAsia" w:ascii="仿宋" w:hAnsi="仿宋" w:eastAsia="仿宋" w:cs="仿宋"/>
          <w:color w:val="000000"/>
          <w:sz w:val="32"/>
          <w:szCs w:val="32"/>
          <w:lang w:val="en-US" w:eastAsia="zh-CN"/>
        </w:rPr>
        <w:instrText xml:space="preserve"> HYPERLINK "javascript:void(0);" </w:instrText>
      </w:r>
      <w:r>
        <w:rPr>
          <w:rFonts w:hint="eastAsia" w:ascii="仿宋" w:hAnsi="仿宋" w:eastAsia="仿宋" w:cs="仿宋"/>
          <w:color w:val="000000"/>
          <w:sz w:val="32"/>
          <w:szCs w:val="32"/>
          <w:lang w:val="en-US" w:eastAsia="zh-CN"/>
        </w:rPr>
        <w:fldChar w:fldCharType="separate"/>
      </w:r>
      <w:r>
        <w:rPr>
          <w:rFonts w:hint="eastAsia" w:ascii="仿宋" w:hAnsi="仿宋" w:eastAsia="仿宋" w:cs="仿宋"/>
          <w:color w:val="000000"/>
          <w:sz w:val="32"/>
          <w:szCs w:val="32"/>
        </w:rPr>
        <w:t>反不正当竞争法</w:t>
      </w:r>
      <w:r>
        <w:rPr>
          <w:rFonts w:hint="eastAsia" w:ascii="仿宋" w:hAnsi="仿宋" w:eastAsia="仿宋" w:cs="仿宋"/>
          <w:color w:val="000000"/>
          <w:sz w:val="32"/>
          <w:szCs w:val="32"/>
          <w:lang w:val="en-US" w:eastAsia="zh-CN"/>
        </w:rPr>
        <w:fldChar w:fldCharType="end"/>
      </w:r>
      <w:r>
        <w:rPr>
          <w:rFonts w:hint="eastAsia" w:ascii="仿宋" w:hAnsi="仿宋" w:eastAsia="仿宋" w:cs="仿宋"/>
          <w:color w:val="000000"/>
          <w:sz w:val="32"/>
          <w:szCs w:val="32"/>
          <w:lang w:val="en-US" w:eastAsia="zh-CN"/>
        </w:rPr>
        <w:t>第</w:t>
      </w:r>
      <w:r>
        <w:rPr>
          <w:rFonts w:hint="eastAsia" w:ascii="仿宋" w:hAnsi="仿宋" w:eastAsia="仿宋" w:cs="仿宋"/>
          <w:color w:val="000000"/>
          <w:sz w:val="32"/>
          <w:szCs w:val="32"/>
          <w:lang w:val="en-US" w:eastAsia="zh-CN"/>
        </w:rPr>
        <w:fldChar w:fldCharType="begin"/>
      </w:r>
      <w:r>
        <w:rPr>
          <w:rFonts w:hint="eastAsia" w:ascii="仿宋" w:hAnsi="仿宋" w:eastAsia="仿宋" w:cs="仿宋"/>
          <w:color w:val="000000"/>
          <w:sz w:val="32"/>
          <w:szCs w:val="32"/>
          <w:lang w:val="en-US" w:eastAsia="zh-CN"/>
        </w:rPr>
        <w:instrText xml:space="preserve"> HYPERLINK "javascript:void(0);" </w:instrText>
      </w:r>
      <w:r>
        <w:rPr>
          <w:rFonts w:hint="eastAsia" w:ascii="仿宋" w:hAnsi="仿宋" w:eastAsia="仿宋" w:cs="仿宋"/>
          <w:color w:val="000000"/>
          <w:sz w:val="32"/>
          <w:szCs w:val="32"/>
          <w:lang w:val="en-US" w:eastAsia="zh-CN"/>
        </w:rPr>
        <w:fldChar w:fldCharType="separate"/>
      </w:r>
      <w:r>
        <w:rPr>
          <w:rFonts w:hint="eastAsia" w:ascii="仿宋" w:hAnsi="仿宋" w:eastAsia="仿宋" w:cs="仿宋"/>
          <w:color w:val="000000"/>
          <w:sz w:val="32"/>
          <w:szCs w:val="32"/>
        </w:rPr>
        <w:t>九条</w:t>
      </w:r>
      <w:r>
        <w:rPr>
          <w:rFonts w:hint="eastAsia" w:ascii="仿宋" w:hAnsi="仿宋" w:eastAsia="仿宋" w:cs="仿宋"/>
          <w:color w:val="000000"/>
          <w:sz w:val="32"/>
          <w:szCs w:val="32"/>
          <w:lang w:val="en-US" w:eastAsia="zh-CN"/>
        </w:rPr>
        <w:fldChar w:fldCharType="end"/>
      </w:r>
      <w:r>
        <w:rPr>
          <w:rFonts w:hint="eastAsia" w:ascii="仿宋" w:hAnsi="仿宋" w:eastAsia="仿宋" w:cs="仿宋"/>
          <w:color w:val="000000"/>
          <w:sz w:val="32"/>
          <w:szCs w:val="32"/>
          <w:lang w:val="en-US" w:eastAsia="zh-CN"/>
        </w:rPr>
        <w:t>第四款所称的不为公众所知悉。据此，出口数据的秘密性应当包括“不为相关人员普遍知悉”和“并非容易获得”两个要件。</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首先，《海关统计工作管理规定》第三十一条规定，海关综合统计资料包括下列内容：各地进出口总值表、进出口商品贸易方式总值表、国别（地区）进出口总值表、主要商品进出口量值表、进出口贸易方式企业性质总值表、运输方式进出口总值表、反映进出口总体进度的分析报告、进出口监测预警信息等。第三十二条规定，海关统计人员对在统计过程中各种知悉的国家秘密、商业秘密、海关工作秘密负有保密义务。海关对外公开的数据及信息是有关部门统计所需的总值表，并不对外公开某企业某一次或多次出口的具体信息，不能体现某企业对外出口到某个国家的某款摩托车（品牌、排量、型号）对应的单价、数量等个性化内容。原被告双方均从事摩托车生产销售领域，应当知道企业就出口某个国家的某款摩托车（品牌、排量、型号）对应数量、出口单价的信息系不对外公开的信息内容。</w:t>
      </w:r>
      <w:r>
        <w:rPr>
          <w:rFonts w:hint="eastAsia" w:ascii="仿宋" w:hAnsi="仿宋" w:eastAsia="仿宋" w:cs="仿宋"/>
          <w:color w:val="000000"/>
          <w:sz w:val="32"/>
          <w:szCs w:val="32"/>
          <w:highlight w:val="none"/>
          <w:lang w:val="en-US" w:eastAsia="zh-CN"/>
        </w:rPr>
        <w:t>原告光某公司主张的出口数据等经营信息中出口目的国、中转国、起运港、大区、商品名称、规格型号、成交方式、申报单位、</w:t>
      </w:r>
      <w:r>
        <w:rPr>
          <w:rFonts w:hint="eastAsia" w:ascii="仿宋" w:hAnsi="仿宋" w:eastAsia="仿宋" w:cs="仿宋"/>
          <w:color w:val="000000"/>
          <w:sz w:val="32"/>
          <w:szCs w:val="32"/>
          <w:lang w:val="en-US" w:eastAsia="zh-CN"/>
        </w:rPr>
        <w:t>申报币制、</w:t>
      </w:r>
      <w:r>
        <w:rPr>
          <w:rFonts w:hint="eastAsia" w:ascii="仿宋" w:hAnsi="仿宋" w:eastAsia="仿宋" w:cs="仿宋"/>
          <w:color w:val="000000"/>
          <w:sz w:val="32"/>
          <w:szCs w:val="32"/>
          <w:highlight w:val="none"/>
          <w:lang w:val="en-US" w:eastAsia="zh-CN"/>
        </w:rPr>
        <w:t>运输方式、包装种类、货主单位名称、申报单位名称的经营信息，为一般通用信息，不具有秘密性。而出口到某目的国的摩托车排量CC、品牌、型号能确定某款摩托车，对应的申报单价、申报</w:t>
      </w:r>
      <w:r>
        <w:rPr>
          <w:rFonts w:hint="eastAsia" w:ascii="仿宋" w:hAnsi="仿宋" w:eastAsia="仿宋" w:cs="仿宋"/>
          <w:color w:val="000000"/>
          <w:sz w:val="32"/>
          <w:szCs w:val="32"/>
          <w:lang w:val="en-US" w:eastAsia="zh-CN"/>
        </w:rPr>
        <w:t>总价、美元单价、美元总价、申报数量组合信息，反映原告出口到某个国家的某款摩托车数量以及单价，显然具有秘密性。被告抗辩认为上述组合经营信息可从公开出版物数据中计算出来，但《中国汽车工业（摩托车部分）产销快讯》仅反映摩托车行业各公司每月一定范围排量车型的销售总数量、出口总数量、出口总金额，无法计算出各公司出口到某个国家的某款摩托车（品牌、排量、型号）对应的单价以及数量信息。被告向北京某某科技有限公司购买中国出口十位数据服务，亦可以反证涉案出口数据并非领域内所普遍知悉的信息。</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其次，本案原告针对某目的国出口某款摩托车（品牌、排量、型号）对应的数量、单价组合信息足以体现出口目的国的个性需求，展现出交易习惯、市场行情等情况，构成了特殊信息。涉案数据组合作为特殊信息，并非容易获得，而是原告经过长期出口经营活动取得的成果，系原告经过一定努力、付出一定代价而取得的。</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综上，原告涉案数据组合作为特殊信息具备商业秘密认定的秘密性要件，不属于领域内所普遍知悉和容易获得的商业信息。</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（二）关于保密性。</w:t>
      </w:r>
      <w:r>
        <w:rPr>
          <w:rFonts w:hint="eastAsia" w:ascii="仿宋" w:hAnsi="仿宋" w:eastAsia="仿宋" w:cs="仿宋"/>
          <w:color w:val="000000"/>
          <w:sz w:val="32"/>
          <w:szCs w:val="32"/>
        </w:rPr>
        <w:t>《最高人民法院关于审理侵犯商业秘密民事案件适用法律若干问题的规定》</w:t>
      </w:r>
      <w:r>
        <w:rPr>
          <w:rFonts w:hint="eastAsia" w:ascii="仿宋" w:hAnsi="仿宋" w:eastAsia="仿宋" w:cs="仿宋"/>
          <w:color w:val="000000"/>
          <w:sz w:val="32"/>
          <w:szCs w:val="32"/>
          <w:lang w:eastAsia="zh-CN"/>
        </w:rPr>
        <w:t>第五条规定，权</w:t>
      </w:r>
      <w:r>
        <w:rPr>
          <w:rFonts w:hint="eastAsia" w:ascii="仿宋" w:hAnsi="仿宋" w:eastAsia="仿宋" w:cs="仿宋"/>
          <w:color w:val="000000"/>
          <w:sz w:val="32"/>
          <w:szCs w:val="32"/>
          <w:lang w:val="en-US" w:eastAsia="zh-CN"/>
        </w:rPr>
        <w:t>利人为防止商业秘密泄露，在被诉侵权行为发生以前所采取的合理保密措施，人民法院应当认定为</w:t>
      </w:r>
      <w:r>
        <w:rPr>
          <w:rFonts w:hint="eastAsia" w:ascii="仿宋" w:hAnsi="仿宋" w:eastAsia="仿宋" w:cs="仿宋"/>
          <w:color w:val="000000"/>
          <w:sz w:val="32"/>
          <w:szCs w:val="32"/>
          <w:lang w:val="en-US" w:eastAsia="zh-CN"/>
        </w:rPr>
        <w:fldChar w:fldCharType="begin"/>
      </w:r>
      <w:r>
        <w:rPr>
          <w:rFonts w:hint="eastAsia" w:ascii="仿宋" w:hAnsi="仿宋" w:eastAsia="仿宋" w:cs="仿宋"/>
          <w:color w:val="000000"/>
          <w:sz w:val="32"/>
          <w:szCs w:val="32"/>
          <w:lang w:val="en-US" w:eastAsia="zh-CN"/>
        </w:rPr>
        <w:instrText xml:space="preserve"> HYPERLINK "javascript:void(0);" </w:instrText>
      </w:r>
      <w:r>
        <w:rPr>
          <w:rFonts w:hint="eastAsia" w:ascii="仿宋" w:hAnsi="仿宋" w:eastAsia="仿宋" w:cs="仿宋"/>
          <w:color w:val="000000"/>
          <w:sz w:val="32"/>
          <w:szCs w:val="32"/>
          <w:lang w:val="en-US" w:eastAsia="zh-CN"/>
        </w:rPr>
        <w:fldChar w:fldCharType="separate"/>
      </w:r>
      <w:r>
        <w:rPr>
          <w:rFonts w:hint="eastAsia" w:ascii="仿宋" w:hAnsi="仿宋" w:eastAsia="仿宋" w:cs="仿宋"/>
          <w:color w:val="000000"/>
          <w:sz w:val="32"/>
          <w:szCs w:val="32"/>
          <w:lang w:eastAsia="zh-CN"/>
        </w:rPr>
        <w:t>反不正当竞争法</w:t>
      </w:r>
      <w:r>
        <w:rPr>
          <w:rFonts w:hint="eastAsia" w:ascii="仿宋" w:hAnsi="仿宋" w:eastAsia="仿宋" w:cs="仿宋"/>
          <w:color w:val="000000"/>
          <w:sz w:val="32"/>
          <w:szCs w:val="32"/>
          <w:lang w:val="en-US" w:eastAsia="zh-CN"/>
        </w:rPr>
        <w:fldChar w:fldCharType="end"/>
      </w:r>
      <w:r>
        <w:rPr>
          <w:rFonts w:hint="eastAsia" w:ascii="仿宋" w:hAnsi="仿宋" w:eastAsia="仿宋" w:cs="仿宋"/>
          <w:color w:val="000000"/>
          <w:sz w:val="32"/>
          <w:szCs w:val="32"/>
          <w:lang w:val="en-US" w:eastAsia="zh-CN"/>
        </w:rPr>
        <w:t>第</w:t>
      </w:r>
      <w:r>
        <w:rPr>
          <w:rFonts w:hint="eastAsia" w:ascii="仿宋" w:hAnsi="仿宋" w:eastAsia="仿宋" w:cs="仿宋"/>
          <w:color w:val="000000"/>
          <w:sz w:val="32"/>
          <w:szCs w:val="32"/>
          <w:lang w:val="en-US" w:eastAsia="zh-CN"/>
        </w:rPr>
        <w:fldChar w:fldCharType="begin"/>
      </w:r>
      <w:r>
        <w:rPr>
          <w:rFonts w:hint="eastAsia" w:ascii="仿宋" w:hAnsi="仿宋" w:eastAsia="仿宋" w:cs="仿宋"/>
          <w:color w:val="000000"/>
          <w:sz w:val="32"/>
          <w:szCs w:val="32"/>
          <w:lang w:val="en-US" w:eastAsia="zh-CN"/>
        </w:rPr>
        <w:instrText xml:space="preserve"> HYPERLINK "javascript:void(0);" </w:instrText>
      </w:r>
      <w:r>
        <w:rPr>
          <w:rFonts w:hint="eastAsia" w:ascii="仿宋" w:hAnsi="仿宋" w:eastAsia="仿宋" w:cs="仿宋"/>
          <w:color w:val="000000"/>
          <w:sz w:val="32"/>
          <w:szCs w:val="32"/>
          <w:lang w:val="en-US" w:eastAsia="zh-CN"/>
        </w:rPr>
        <w:fldChar w:fldCharType="separate"/>
      </w:r>
      <w:r>
        <w:rPr>
          <w:rFonts w:hint="eastAsia" w:ascii="仿宋" w:hAnsi="仿宋" w:eastAsia="仿宋" w:cs="仿宋"/>
          <w:color w:val="000000"/>
          <w:sz w:val="32"/>
          <w:szCs w:val="32"/>
          <w:lang w:eastAsia="zh-CN"/>
        </w:rPr>
        <w:t>九条</w:t>
      </w:r>
      <w:r>
        <w:rPr>
          <w:rFonts w:hint="eastAsia" w:ascii="仿宋" w:hAnsi="仿宋" w:eastAsia="仿宋" w:cs="仿宋"/>
          <w:color w:val="000000"/>
          <w:sz w:val="32"/>
          <w:szCs w:val="32"/>
          <w:lang w:val="en-US" w:eastAsia="zh-CN"/>
        </w:rPr>
        <w:fldChar w:fldCharType="end"/>
      </w:r>
      <w:r>
        <w:rPr>
          <w:rFonts w:hint="eastAsia" w:ascii="仿宋" w:hAnsi="仿宋" w:eastAsia="仿宋" w:cs="仿宋"/>
          <w:color w:val="000000"/>
          <w:sz w:val="32"/>
          <w:szCs w:val="32"/>
          <w:lang w:val="en-US" w:eastAsia="zh-CN"/>
        </w:rPr>
        <w:t>第四款所称的相应保密措施。人民法院应当根据商业秘密及其载体的性质、商业秘密的商业价值、保密措施的可识别程度、保密措施与商业秘密的对应程度以及权利人的保密意愿等因素，认定权利人是否采取了相应保密措施。</w:t>
      </w:r>
      <w:r>
        <w:rPr>
          <w:rFonts w:hint="default" w:ascii="仿宋" w:hAnsi="仿宋" w:eastAsia="仿宋" w:cs="仿宋"/>
          <w:color w:val="000000"/>
          <w:sz w:val="32"/>
          <w:szCs w:val="32"/>
          <w:lang w:val="en-US" w:eastAsia="zh-CN"/>
        </w:rPr>
        <w:t>第六条</w:t>
      </w:r>
      <w:r>
        <w:rPr>
          <w:rFonts w:hint="eastAsia" w:ascii="仿宋" w:hAnsi="仿宋" w:eastAsia="仿宋" w:cs="仿宋"/>
          <w:color w:val="000000"/>
          <w:sz w:val="32"/>
          <w:szCs w:val="32"/>
          <w:lang w:val="en-US" w:eastAsia="zh-CN"/>
        </w:rPr>
        <w:t>规定，</w:t>
      </w:r>
      <w:r>
        <w:rPr>
          <w:rFonts w:hint="default" w:ascii="仿宋" w:hAnsi="仿宋" w:eastAsia="仿宋" w:cs="仿宋"/>
          <w:color w:val="000000"/>
          <w:sz w:val="32"/>
          <w:szCs w:val="32"/>
          <w:lang w:val="en-US" w:eastAsia="zh-CN"/>
        </w:rPr>
        <w:t>具有下列情形之一，在正常情况下足以防止商业秘密泄露的，人民法院应当认定权利人采取了相应保密措施：（一）签订保密协议或者在合同中约定保密义务的；（二）通过章程、培训、规章制度、书面告知等方式，对能够接触、获取商业秘密的员工、前员工、供应商、客户、来访者等提出保密要求的</w:t>
      </w:r>
      <w:r>
        <w:rPr>
          <w:rFonts w:hint="eastAsia" w:ascii="仿宋" w:hAnsi="仿宋" w:eastAsia="仿宋" w:cs="仿宋"/>
          <w:color w:val="000000"/>
          <w:sz w:val="32"/>
          <w:szCs w:val="32"/>
          <w:lang w:val="en-US" w:eastAsia="zh-CN"/>
        </w:rPr>
        <w:t>。</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首先，</w:t>
      </w:r>
      <w:r>
        <w:rPr>
          <w:rFonts w:hint="default" w:ascii="仿宋" w:hAnsi="仿宋" w:eastAsia="仿宋" w:cs="仿宋"/>
          <w:color w:val="000000"/>
          <w:sz w:val="32"/>
          <w:szCs w:val="32"/>
          <w:lang w:val="en-US" w:eastAsia="zh-CN"/>
        </w:rPr>
        <w:t>原告在与员工签订的《员工手册》中对员工规定了保密条款，约定了员工的保密义务。</w:t>
      </w:r>
      <w:r>
        <w:rPr>
          <w:rFonts w:hint="eastAsia" w:ascii="仿宋" w:hAnsi="仿宋" w:eastAsia="仿宋" w:cs="仿宋"/>
          <w:color w:val="000000"/>
          <w:sz w:val="32"/>
          <w:szCs w:val="32"/>
          <w:lang w:val="en-US" w:eastAsia="zh-CN"/>
        </w:rPr>
        <w:t>《员工手册》载明</w:t>
      </w:r>
      <w:r>
        <w:rPr>
          <w:rFonts w:hint="default" w:ascii="仿宋" w:hAnsi="仿宋" w:eastAsia="仿宋" w:cs="仿宋"/>
          <w:color w:val="000000"/>
          <w:sz w:val="32"/>
          <w:szCs w:val="32"/>
          <w:lang w:val="en-US" w:eastAsia="zh-CN"/>
        </w:rPr>
        <w:t>无论在公司内外，都不得泄露公司机密</w:t>
      </w:r>
      <w:r>
        <w:rPr>
          <w:rFonts w:hint="eastAsia" w:ascii="仿宋" w:hAnsi="仿宋" w:eastAsia="仿宋" w:cs="仿宋"/>
          <w:color w:val="000000"/>
          <w:sz w:val="32"/>
          <w:szCs w:val="32"/>
          <w:lang w:val="en-US" w:eastAsia="zh-CN"/>
        </w:rPr>
        <w:t>。</w:t>
      </w:r>
      <w:r>
        <w:rPr>
          <w:rFonts w:hint="default" w:ascii="仿宋" w:hAnsi="仿宋" w:eastAsia="仿宋" w:cs="仿宋"/>
          <w:color w:val="000000"/>
          <w:sz w:val="32"/>
          <w:szCs w:val="32"/>
          <w:lang w:val="en-US" w:eastAsia="zh-CN"/>
        </w:rPr>
        <w:t>同时原告要求员工签署《承诺书》及《&lt;员工手册》发放记录》，</w:t>
      </w:r>
      <w:r>
        <w:rPr>
          <w:rFonts w:hint="eastAsia" w:ascii="仿宋" w:hAnsi="仿宋" w:eastAsia="仿宋" w:cs="仿宋"/>
          <w:color w:val="000000"/>
          <w:sz w:val="32"/>
          <w:szCs w:val="32"/>
          <w:lang w:val="en-US" w:eastAsia="zh-CN"/>
        </w:rPr>
        <w:t>原告</w:t>
      </w:r>
      <w:r>
        <w:rPr>
          <w:rFonts w:hint="default" w:ascii="仿宋" w:hAnsi="仿宋" w:eastAsia="仿宋" w:cs="仿宋"/>
          <w:color w:val="000000"/>
          <w:sz w:val="32"/>
          <w:szCs w:val="32"/>
          <w:lang w:val="en-US" w:eastAsia="zh-CN"/>
        </w:rPr>
        <w:t>公司中能够接触到本案涉及经营信息的员工均已签署《承诺书》及《&lt;员工手册》发放记录》，对保密义务明确知晓。</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其次，</w:t>
      </w:r>
      <w:r>
        <w:rPr>
          <w:rFonts w:hint="default" w:ascii="仿宋" w:hAnsi="仿宋" w:eastAsia="仿宋" w:cs="仿宋"/>
          <w:color w:val="000000"/>
          <w:sz w:val="32"/>
          <w:szCs w:val="32"/>
          <w:lang w:val="en-US" w:eastAsia="zh-CN"/>
        </w:rPr>
        <w:t>原告与重庆</w:t>
      </w:r>
      <w:r>
        <w:rPr>
          <w:rFonts w:hint="eastAsia" w:ascii="仿宋" w:hAnsi="仿宋" w:eastAsia="仿宋" w:cs="仿宋"/>
          <w:color w:val="000000"/>
          <w:sz w:val="32"/>
          <w:szCs w:val="32"/>
          <w:lang w:val="en-US" w:eastAsia="zh-CN"/>
        </w:rPr>
        <w:t>某某</w:t>
      </w:r>
      <w:r>
        <w:rPr>
          <w:rFonts w:hint="default" w:ascii="仿宋" w:hAnsi="仿宋" w:eastAsia="仿宋" w:cs="仿宋"/>
          <w:color w:val="000000"/>
          <w:sz w:val="32"/>
          <w:szCs w:val="32"/>
          <w:lang w:val="en-US" w:eastAsia="zh-CN"/>
        </w:rPr>
        <w:t>报关服务公司签署了《保密协议》</w:t>
      </w:r>
      <w:r>
        <w:rPr>
          <w:rFonts w:hint="eastAsia" w:ascii="仿宋" w:hAnsi="仿宋" w:eastAsia="仿宋" w:cs="仿宋"/>
          <w:color w:val="000000"/>
          <w:sz w:val="32"/>
          <w:szCs w:val="32"/>
          <w:lang w:val="en-US" w:eastAsia="zh-CN"/>
        </w:rPr>
        <w:t>，明确</w:t>
      </w:r>
      <w:r>
        <w:rPr>
          <w:rFonts w:hint="default" w:ascii="仿宋" w:hAnsi="仿宋" w:eastAsia="仿宋" w:cs="仿宋"/>
          <w:color w:val="000000"/>
          <w:sz w:val="32"/>
          <w:szCs w:val="32"/>
          <w:lang w:val="en-US" w:eastAsia="zh-CN"/>
        </w:rPr>
        <w:t>约定，保密信息包括但不限于</w:t>
      </w:r>
      <w:r>
        <w:rPr>
          <w:rFonts w:hint="eastAsia" w:ascii="仿宋" w:hAnsi="仿宋" w:eastAsia="仿宋" w:cs="仿宋"/>
          <w:color w:val="000000"/>
          <w:sz w:val="32"/>
          <w:szCs w:val="32"/>
          <w:lang w:val="en-US" w:eastAsia="zh-CN"/>
        </w:rPr>
        <w:t>原告</w:t>
      </w:r>
      <w:r>
        <w:rPr>
          <w:rFonts w:hint="default" w:ascii="仿宋" w:hAnsi="仿宋" w:eastAsia="仿宋" w:cs="仿宋"/>
          <w:color w:val="000000"/>
          <w:sz w:val="32"/>
          <w:szCs w:val="32"/>
          <w:lang w:val="en-US" w:eastAsia="zh-CN"/>
        </w:rPr>
        <w:t>的出口信息、客户资料、合同及其中条款、产品型号、产品数量、产品价格、产品重量、交易方式、出口时间、运输目的地、运输方式及运费等</w:t>
      </w:r>
      <w:r>
        <w:rPr>
          <w:rFonts w:hint="eastAsia" w:ascii="仿宋" w:hAnsi="仿宋" w:eastAsia="仿宋" w:cs="仿宋"/>
          <w:color w:val="000000"/>
          <w:sz w:val="32"/>
          <w:szCs w:val="32"/>
          <w:lang w:val="en-US" w:eastAsia="zh-CN"/>
        </w:rPr>
        <w:t>，还约定</w:t>
      </w:r>
      <w:r>
        <w:rPr>
          <w:rFonts w:hint="default" w:ascii="仿宋" w:hAnsi="仿宋" w:eastAsia="仿宋" w:cs="仿宋"/>
          <w:color w:val="000000"/>
          <w:sz w:val="32"/>
          <w:szCs w:val="32"/>
          <w:lang w:val="en-US" w:eastAsia="zh-CN"/>
        </w:rPr>
        <w:t>违反保密义务</w:t>
      </w:r>
      <w:r>
        <w:rPr>
          <w:rFonts w:hint="eastAsia" w:ascii="仿宋" w:hAnsi="仿宋" w:eastAsia="仿宋" w:cs="仿宋"/>
          <w:color w:val="000000"/>
          <w:sz w:val="32"/>
          <w:szCs w:val="32"/>
          <w:lang w:val="en-US" w:eastAsia="zh-CN"/>
        </w:rPr>
        <w:t>的违约责任</w:t>
      </w:r>
      <w:r>
        <w:rPr>
          <w:rFonts w:hint="default" w:ascii="仿宋" w:hAnsi="仿宋" w:eastAsia="仿宋" w:cs="仿宋"/>
          <w:color w:val="000000"/>
          <w:sz w:val="32"/>
          <w:szCs w:val="32"/>
          <w:lang w:val="en-US" w:eastAsia="zh-CN"/>
        </w:rPr>
        <w:t>。</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default" w:ascii="仿宋" w:hAnsi="仿宋" w:eastAsia="仿宋" w:cs="仿宋"/>
          <w:color w:val="000000"/>
          <w:sz w:val="32"/>
          <w:szCs w:val="32"/>
          <w:lang w:val="en-US" w:eastAsia="zh-CN"/>
        </w:rPr>
      </w:pPr>
      <w:r>
        <w:rPr>
          <w:rFonts w:hint="default" w:ascii="仿宋" w:hAnsi="仿宋" w:eastAsia="仿宋" w:cs="仿宋"/>
          <w:color w:val="000000"/>
          <w:sz w:val="32"/>
          <w:szCs w:val="32"/>
          <w:lang w:val="en-US" w:eastAsia="zh-CN"/>
        </w:rPr>
        <w:t>综上所述，原告为确保案涉经营信息不被泄露，分别向员工发放《员工手册》，并要求员工签署《承诺书》，同时还与报关公司前述《保密协议》，</w:t>
      </w:r>
      <w:r>
        <w:rPr>
          <w:rFonts w:hint="eastAsia" w:ascii="仿宋" w:hAnsi="仿宋" w:eastAsia="仿宋" w:cs="仿宋"/>
          <w:color w:val="000000"/>
          <w:sz w:val="32"/>
          <w:szCs w:val="32"/>
          <w:lang w:val="en-US" w:eastAsia="zh-CN"/>
        </w:rPr>
        <w:t>原告</w:t>
      </w:r>
      <w:r>
        <w:rPr>
          <w:rFonts w:hint="default" w:ascii="仿宋" w:hAnsi="仿宋" w:eastAsia="仿宋" w:cs="仿宋"/>
          <w:color w:val="000000"/>
          <w:sz w:val="32"/>
          <w:szCs w:val="32"/>
          <w:lang w:val="en-US" w:eastAsia="zh-CN"/>
        </w:rPr>
        <w:t>已采取了与涉案</w:t>
      </w:r>
      <w:r>
        <w:rPr>
          <w:rFonts w:hint="eastAsia" w:ascii="仿宋" w:hAnsi="仿宋" w:eastAsia="仿宋" w:cs="仿宋"/>
          <w:color w:val="000000"/>
          <w:sz w:val="32"/>
          <w:szCs w:val="32"/>
          <w:lang w:val="en-US" w:eastAsia="zh-CN"/>
        </w:rPr>
        <w:t>出口数据</w:t>
      </w:r>
      <w:r>
        <w:rPr>
          <w:rFonts w:hint="default" w:ascii="仿宋" w:hAnsi="仿宋" w:eastAsia="仿宋" w:cs="仿宋"/>
          <w:color w:val="000000"/>
          <w:sz w:val="32"/>
          <w:szCs w:val="32"/>
          <w:lang w:val="en-US" w:eastAsia="zh-CN"/>
        </w:rPr>
        <w:t>相适应的合理保密措施，符合法律规定。</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（三）关于价值性。</w:t>
      </w:r>
      <w:r>
        <w:rPr>
          <w:rFonts w:hint="eastAsia" w:ascii="仿宋" w:hAnsi="仿宋" w:eastAsia="仿宋" w:cs="仿宋"/>
          <w:color w:val="000000"/>
          <w:sz w:val="32"/>
          <w:szCs w:val="32"/>
        </w:rPr>
        <w:t>《最高人民法院关于审理侵犯商业秘密民事案件适用法律若干问题的规定》</w:t>
      </w:r>
      <w:r>
        <w:rPr>
          <w:rFonts w:hint="eastAsia" w:ascii="仿宋" w:hAnsi="仿宋" w:eastAsia="仿宋" w:cs="仿宋"/>
          <w:color w:val="000000"/>
          <w:sz w:val="32"/>
          <w:szCs w:val="32"/>
          <w:lang w:val="en-US" w:eastAsia="zh-CN"/>
        </w:rPr>
        <w:t>第七条规定，权利人请求保护的信息因不为公众所知悉而具有现实的或者潜在的商业价值的，人民法院经审查可以认定为</w:t>
      </w:r>
      <w:r>
        <w:rPr>
          <w:rFonts w:hint="eastAsia" w:ascii="仿宋" w:hAnsi="仿宋" w:eastAsia="仿宋" w:cs="仿宋"/>
          <w:color w:val="000000"/>
          <w:sz w:val="32"/>
          <w:szCs w:val="32"/>
          <w:lang w:val="en-US" w:eastAsia="zh-CN"/>
        </w:rPr>
        <w:fldChar w:fldCharType="begin"/>
      </w:r>
      <w:r>
        <w:rPr>
          <w:rFonts w:hint="eastAsia" w:ascii="仿宋" w:hAnsi="仿宋" w:eastAsia="仿宋" w:cs="仿宋"/>
          <w:color w:val="000000"/>
          <w:sz w:val="32"/>
          <w:szCs w:val="32"/>
          <w:lang w:val="en-US" w:eastAsia="zh-CN"/>
        </w:rPr>
        <w:instrText xml:space="preserve"> HYPERLINK "javascript:void(0);" </w:instrText>
      </w:r>
      <w:r>
        <w:rPr>
          <w:rFonts w:hint="eastAsia" w:ascii="仿宋" w:hAnsi="仿宋" w:eastAsia="仿宋" w:cs="仿宋"/>
          <w:color w:val="000000"/>
          <w:sz w:val="32"/>
          <w:szCs w:val="32"/>
          <w:lang w:val="en-US" w:eastAsia="zh-CN"/>
        </w:rPr>
        <w:fldChar w:fldCharType="separate"/>
      </w:r>
      <w:r>
        <w:rPr>
          <w:rFonts w:hint="eastAsia" w:ascii="仿宋" w:hAnsi="仿宋" w:eastAsia="仿宋" w:cs="仿宋"/>
          <w:color w:val="000000"/>
          <w:sz w:val="32"/>
          <w:szCs w:val="32"/>
        </w:rPr>
        <w:t>反不正当竞争法</w:t>
      </w:r>
      <w:r>
        <w:rPr>
          <w:rFonts w:hint="eastAsia" w:ascii="仿宋" w:hAnsi="仿宋" w:eastAsia="仿宋" w:cs="仿宋"/>
          <w:color w:val="000000"/>
          <w:sz w:val="32"/>
          <w:szCs w:val="32"/>
          <w:lang w:val="en-US" w:eastAsia="zh-CN"/>
        </w:rPr>
        <w:fldChar w:fldCharType="end"/>
      </w:r>
      <w:r>
        <w:rPr>
          <w:rFonts w:hint="eastAsia" w:ascii="仿宋" w:hAnsi="仿宋" w:eastAsia="仿宋" w:cs="仿宋"/>
          <w:color w:val="000000"/>
          <w:sz w:val="32"/>
          <w:szCs w:val="32"/>
          <w:lang w:val="en-US" w:eastAsia="zh-CN"/>
        </w:rPr>
        <w:t>第</w:t>
      </w:r>
      <w:r>
        <w:rPr>
          <w:rFonts w:hint="eastAsia" w:ascii="仿宋" w:hAnsi="仿宋" w:eastAsia="仿宋" w:cs="仿宋"/>
          <w:color w:val="000000"/>
          <w:sz w:val="32"/>
          <w:szCs w:val="32"/>
          <w:lang w:val="en-US" w:eastAsia="zh-CN"/>
        </w:rPr>
        <w:fldChar w:fldCharType="begin"/>
      </w:r>
      <w:r>
        <w:rPr>
          <w:rFonts w:hint="eastAsia" w:ascii="仿宋" w:hAnsi="仿宋" w:eastAsia="仿宋" w:cs="仿宋"/>
          <w:color w:val="000000"/>
          <w:sz w:val="32"/>
          <w:szCs w:val="32"/>
          <w:lang w:val="en-US" w:eastAsia="zh-CN"/>
        </w:rPr>
        <w:instrText xml:space="preserve"> HYPERLINK "javascript:void(0);" </w:instrText>
      </w:r>
      <w:r>
        <w:rPr>
          <w:rFonts w:hint="eastAsia" w:ascii="仿宋" w:hAnsi="仿宋" w:eastAsia="仿宋" w:cs="仿宋"/>
          <w:color w:val="000000"/>
          <w:sz w:val="32"/>
          <w:szCs w:val="32"/>
          <w:lang w:val="en-US" w:eastAsia="zh-CN"/>
        </w:rPr>
        <w:fldChar w:fldCharType="separate"/>
      </w:r>
      <w:r>
        <w:rPr>
          <w:rFonts w:hint="eastAsia" w:ascii="仿宋" w:hAnsi="仿宋" w:eastAsia="仿宋" w:cs="仿宋"/>
          <w:color w:val="000000"/>
          <w:sz w:val="32"/>
          <w:szCs w:val="32"/>
        </w:rPr>
        <w:t>九条</w:t>
      </w:r>
      <w:r>
        <w:rPr>
          <w:rFonts w:hint="eastAsia" w:ascii="仿宋" w:hAnsi="仿宋" w:eastAsia="仿宋" w:cs="仿宋"/>
          <w:color w:val="000000"/>
          <w:sz w:val="32"/>
          <w:szCs w:val="32"/>
          <w:lang w:val="en-US" w:eastAsia="zh-CN"/>
        </w:rPr>
        <w:fldChar w:fldCharType="end"/>
      </w:r>
      <w:r>
        <w:rPr>
          <w:rFonts w:hint="eastAsia" w:ascii="仿宋" w:hAnsi="仿宋" w:eastAsia="仿宋" w:cs="仿宋"/>
          <w:color w:val="000000"/>
          <w:sz w:val="32"/>
          <w:szCs w:val="32"/>
          <w:lang w:val="en-US" w:eastAsia="zh-CN"/>
        </w:rPr>
        <w:t>第四款所称的具有商业价值。</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default" w:ascii="仿宋" w:hAnsi="仿宋" w:eastAsia="仿宋" w:cs="仿宋"/>
          <w:color w:val="000000"/>
          <w:sz w:val="32"/>
          <w:szCs w:val="32"/>
          <w:lang w:val="en-US" w:eastAsia="zh-CN"/>
        </w:rPr>
      </w:pPr>
      <w:r>
        <w:rPr>
          <w:rFonts w:hint="default" w:ascii="仿宋" w:hAnsi="仿宋" w:eastAsia="仿宋" w:cs="仿宋"/>
          <w:color w:val="000000"/>
          <w:sz w:val="32"/>
          <w:szCs w:val="32"/>
          <w:lang w:val="en-US" w:eastAsia="zh-CN"/>
        </w:rPr>
        <w:t>原被告</w:t>
      </w:r>
      <w:r>
        <w:rPr>
          <w:rFonts w:hint="eastAsia" w:ascii="仿宋" w:hAnsi="仿宋" w:eastAsia="仿宋" w:cs="仿宋"/>
          <w:color w:val="000000"/>
          <w:sz w:val="32"/>
          <w:szCs w:val="32"/>
          <w:lang w:val="en-US" w:eastAsia="zh-CN"/>
        </w:rPr>
        <w:t>均从事摩托车出口销售，</w:t>
      </w:r>
      <w:r>
        <w:rPr>
          <w:rFonts w:hint="default" w:ascii="仿宋" w:hAnsi="仿宋" w:eastAsia="仿宋" w:cs="仿宋"/>
          <w:color w:val="000000"/>
          <w:sz w:val="32"/>
          <w:szCs w:val="32"/>
          <w:lang w:val="en-US" w:eastAsia="zh-CN"/>
        </w:rPr>
        <w:t>系行业内的直接竞争对手。</w:t>
      </w:r>
      <w:r>
        <w:rPr>
          <w:rFonts w:hint="eastAsia" w:ascii="仿宋" w:hAnsi="仿宋" w:eastAsia="仿宋" w:cs="仿宋"/>
          <w:color w:val="000000"/>
          <w:sz w:val="32"/>
          <w:szCs w:val="32"/>
          <w:lang w:val="en-US" w:eastAsia="zh-CN"/>
        </w:rPr>
        <w:t>原告</w:t>
      </w:r>
      <w:r>
        <w:rPr>
          <w:rFonts w:hint="default" w:ascii="仿宋" w:hAnsi="仿宋" w:eastAsia="仿宋" w:cs="仿宋"/>
          <w:color w:val="000000"/>
          <w:sz w:val="32"/>
          <w:szCs w:val="32"/>
          <w:lang w:val="en-US" w:eastAsia="zh-CN"/>
        </w:rPr>
        <w:t>2019年1-7月进行的摩托车出口销售</w:t>
      </w:r>
      <w:r>
        <w:rPr>
          <w:rFonts w:hint="eastAsia" w:ascii="仿宋" w:hAnsi="仿宋" w:eastAsia="仿宋" w:cs="仿宋"/>
          <w:color w:val="000000"/>
          <w:sz w:val="32"/>
          <w:szCs w:val="32"/>
          <w:lang w:val="en-US" w:eastAsia="zh-CN"/>
        </w:rPr>
        <w:t>数据包含</w:t>
      </w:r>
      <w:r>
        <w:rPr>
          <w:rFonts w:hint="default" w:ascii="仿宋" w:hAnsi="仿宋" w:eastAsia="仿宋" w:cs="仿宋"/>
          <w:color w:val="000000"/>
          <w:sz w:val="32"/>
          <w:szCs w:val="32"/>
          <w:lang w:val="en-US" w:eastAsia="zh-CN"/>
        </w:rPr>
        <w:t>原告与其海外经销商交易的</w:t>
      </w:r>
      <w:r>
        <w:rPr>
          <w:rFonts w:hint="eastAsia" w:ascii="仿宋" w:hAnsi="仿宋" w:eastAsia="仿宋" w:cs="仿宋"/>
          <w:color w:val="000000"/>
          <w:sz w:val="32"/>
          <w:szCs w:val="32"/>
          <w:lang w:val="en-US" w:eastAsia="zh-CN"/>
        </w:rPr>
        <w:t>具体详情，而针对某目的国出口某款摩托车（品牌、排量、型号）对应的数量、单价组合信息足以体现出口目的国的</w:t>
      </w:r>
      <w:r>
        <w:rPr>
          <w:rFonts w:hint="default" w:ascii="仿宋" w:hAnsi="仿宋" w:eastAsia="仿宋" w:cs="仿宋"/>
          <w:color w:val="000000"/>
          <w:sz w:val="32"/>
          <w:szCs w:val="32"/>
          <w:lang w:val="en-US" w:eastAsia="zh-CN"/>
        </w:rPr>
        <w:t>个性需求，展现出交易习惯、市场行情等情况，构成了</w:t>
      </w:r>
      <w:r>
        <w:rPr>
          <w:rFonts w:hint="eastAsia" w:ascii="仿宋" w:hAnsi="仿宋" w:eastAsia="仿宋" w:cs="仿宋"/>
          <w:color w:val="000000"/>
          <w:sz w:val="32"/>
          <w:szCs w:val="32"/>
          <w:lang w:val="en-US" w:eastAsia="zh-CN"/>
        </w:rPr>
        <w:t>特殊</w:t>
      </w:r>
      <w:r>
        <w:rPr>
          <w:rFonts w:hint="default" w:ascii="仿宋" w:hAnsi="仿宋" w:eastAsia="仿宋" w:cs="仿宋"/>
          <w:color w:val="000000"/>
          <w:sz w:val="32"/>
          <w:szCs w:val="32"/>
          <w:lang w:val="en-US" w:eastAsia="zh-CN"/>
        </w:rPr>
        <w:t>信息</w:t>
      </w:r>
      <w:r>
        <w:rPr>
          <w:rFonts w:hint="eastAsia" w:ascii="仿宋" w:hAnsi="仿宋" w:eastAsia="仿宋" w:cs="仿宋"/>
          <w:color w:val="000000"/>
          <w:sz w:val="32"/>
          <w:szCs w:val="32"/>
          <w:lang w:val="en-US" w:eastAsia="zh-CN"/>
        </w:rPr>
        <w:t>。就摩托车出口行业而言，掌握其他公司出口某国的某款摩托车（品牌、排量、型号）对应的数量、单价组合信息，</w:t>
      </w:r>
      <w:r>
        <w:rPr>
          <w:rFonts w:hint="default" w:ascii="仿宋" w:hAnsi="仿宋" w:eastAsia="仿宋" w:cs="仿宋"/>
          <w:color w:val="000000"/>
          <w:sz w:val="32"/>
          <w:szCs w:val="32"/>
          <w:lang w:val="en-US" w:eastAsia="zh-CN"/>
        </w:rPr>
        <w:t>能够</w:t>
      </w:r>
      <w:r>
        <w:rPr>
          <w:rFonts w:hint="eastAsia" w:ascii="仿宋" w:hAnsi="仿宋" w:eastAsia="仿宋" w:cs="仿宋"/>
          <w:color w:val="000000"/>
          <w:sz w:val="32"/>
          <w:szCs w:val="32"/>
          <w:lang w:val="en-US" w:eastAsia="zh-CN"/>
        </w:rPr>
        <w:t>使己方</w:t>
      </w:r>
      <w:r>
        <w:rPr>
          <w:rFonts w:hint="default" w:ascii="仿宋" w:hAnsi="仿宋" w:eastAsia="仿宋" w:cs="仿宋"/>
          <w:color w:val="000000"/>
          <w:sz w:val="32"/>
          <w:szCs w:val="32"/>
          <w:lang w:val="en-US" w:eastAsia="zh-CN"/>
        </w:rPr>
        <w:t>在</w:t>
      </w:r>
      <w:r>
        <w:rPr>
          <w:rFonts w:hint="eastAsia" w:ascii="仿宋" w:hAnsi="仿宋" w:eastAsia="仿宋" w:cs="仿宋"/>
          <w:color w:val="000000"/>
          <w:sz w:val="32"/>
          <w:szCs w:val="32"/>
          <w:lang w:val="en-US" w:eastAsia="zh-CN"/>
        </w:rPr>
        <w:t>该国</w:t>
      </w:r>
      <w:r>
        <w:rPr>
          <w:rFonts w:hint="default" w:ascii="仿宋" w:hAnsi="仿宋" w:eastAsia="仿宋" w:cs="仿宋"/>
          <w:color w:val="000000"/>
          <w:sz w:val="32"/>
          <w:szCs w:val="32"/>
          <w:lang w:val="en-US" w:eastAsia="zh-CN"/>
        </w:rPr>
        <w:t>市场竞争中获得成交优势，从而得到产销量的提升。</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综上，原告主张经营信息中针对某目的国出口某款摩托车（品牌、排量、型号）对应的数量、单价组合信息是不为相关人员普遍知悉和容易获得的，能为原告带来竞争优势和经济效益的，并已采取了合理保密措施的商业秘密。</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二、被告三某公司购买数据</w:t>
      </w:r>
      <w:r>
        <w:rPr>
          <w:rFonts w:hint="default" w:ascii="仿宋" w:hAnsi="仿宋" w:eastAsia="仿宋" w:cs="仿宋"/>
          <w:color w:val="000000"/>
          <w:sz w:val="32"/>
          <w:szCs w:val="32"/>
          <w:highlight w:val="none"/>
          <w:lang w:eastAsia="zh-CN"/>
        </w:rPr>
        <w:t>的</w:t>
      </w:r>
      <w:r>
        <w:rPr>
          <w:rFonts w:hint="eastAsia" w:ascii="仿宋" w:hAnsi="仿宋" w:eastAsia="仿宋" w:cs="仿宋"/>
          <w:color w:val="000000"/>
          <w:sz w:val="32"/>
          <w:szCs w:val="32"/>
          <w:highlight w:val="none"/>
          <w:lang w:val="en-US" w:eastAsia="zh-CN"/>
        </w:rPr>
        <w:t>行为是否侵害原告光某公司的商业秘密</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中华人民共和国数据安全法》第三十二条规定，任何组织、个人收集数据，应当采取合法、正当的方式，不得窃取或者以其他非法方式获取数据。企业在采购数据时，知道或应当知道采购的数据系侵害他人商业秘密的信息，属于通过不正当手段获取他人商业秘密的行为。如企业采购数据时不知道数据系侵害他人商业秘密的数据，但在接收数据时知道或应当知道采购的数据系侵害他人商业秘密的信息，仍予以接收，证明该数据交付符合企业数据交易的目的，该企业亦构成通过不正当手段获取他人商业秘密。本案中，被告三某公司与北京某某科技有限公司签订《数据服务协议》，被告三某公司向北京某某科技有限公司购买在四个海关内2019年1月到12月中国出口十位数据服务。被告三某公司是通过数据交易的方式获得原告光某公司</w:t>
      </w:r>
      <w:r>
        <w:rPr>
          <w:rFonts w:hint="eastAsia" w:ascii="仿宋" w:hAnsi="仿宋" w:eastAsia="仿宋" w:cs="仿宋"/>
          <w:color w:val="000000"/>
          <w:sz w:val="32"/>
          <w:szCs w:val="32"/>
          <w:lang w:val="en-US" w:eastAsia="zh-CN"/>
        </w:rPr>
        <w:t>针对某目的国出口某款摩托车（品牌、排量、型号）对应的数量、单价组合信息</w:t>
      </w:r>
      <w:r>
        <w:rPr>
          <w:rFonts w:hint="eastAsia" w:ascii="仿宋" w:hAnsi="仿宋" w:eastAsia="仿宋" w:cs="仿宋"/>
          <w:color w:val="000000"/>
          <w:sz w:val="32"/>
          <w:szCs w:val="32"/>
          <w:highlight w:val="none"/>
          <w:lang w:val="en-US" w:eastAsia="zh-CN"/>
        </w:rPr>
        <w:t>，即便三某公司在与北京某某科技有限公司签订《数据服务协议》购买海关出口数据时不知道数据涉及原告光某公司的商业秘密，但在其接收北京某某科技有限公司数据时，其作为摩托车生产者，理应清楚同行竞争企业</w:t>
      </w:r>
      <w:r>
        <w:rPr>
          <w:rFonts w:hint="eastAsia" w:ascii="仿宋" w:hAnsi="仿宋" w:eastAsia="仿宋" w:cs="仿宋"/>
          <w:color w:val="000000"/>
          <w:sz w:val="32"/>
          <w:szCs w:val="32"/>
          <w:lang w:val="en-US" w:eastAsia="zh-CN"/>
        </w:rPr>
        <w:t>针对某目的国出口某款摩托车（品牌、排量、型号）对应的数量、单价组合信息</w:t>
      </w:r>
      <w:r>
        <w:rPr>
          <w:rFonts w:hint="eastAsia" w:ascii="仿宋" w:hAnsi="仿宋" w:eastAsia="仿宋" w:cs="仿宋"/>
          <w:color w:val="000000"/>
          <w:sz w:val="32"/>
          <w:szCs w:val="32"/>
          <w:highlight w:val="none"/>
          <w:lang w:val="en-US" w:eastAsia="zh-CN"/>
        </w:rPr>
        <w:t>涉及他人商业秘密，其仍予以接收，证明该经营组合信息的交付符合三某公司进行数据交易的目的，结合《数据服务协议》约定北京某某科技有限公司向被告三某公司提供在四个海关内2019年1月到12月中国出口十位数据服务，被告三某公司主观上欲获得同行业中竞争优势企业的出口数据商业秘密，在获得该商业秘密后进一步披露、使用该商业秘密用于生产经营的可能性较大。本院认为被告购买包含涉案经营信息数据的行为主观上存在过错，属于通过不正当手段获取他人商业秘密。</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三、被告三某公司在庭审中举示原告涉案经营信息的行为是否侵害其商业秘密</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首先，在庭审中举示证据是一种披露行为。三某公司在非公开庭审中向重庆克某某机械制造有限公司举示以及在公开庭审中举示上述特殊组合的经营信息，客观上会导致原告商业秘密的泄露。其他公司掌握原告</w:t>
      </w:r>
      <w:r>
        <w:rPr>
          <w:rFonts w:hint="eastAsia" w:ascii="仿宋" w:hAnsi="仿宋" w:eastAsia="仿宋" w:cs="仿宋"/>
          <w:color w:val="000000"/>
          <w:sz w:val="32"/>
          <w:szCs w:val="32"/>
          <w:lang w:val="en-US" w:eastAsia="zh-CN"/>
        </w:rPr>
        <w:t>针对某目的国出口某款摩托车（品牌、排量、型号）对应的数量、单价组合信息</w:t>
      </w:r>
      <w:r>
        <w:rPr>
          <w:rFonts w:hint="eastAsia" w:ascii="仿宋" w:hAnsi="仿宋" w:eastAsia="仿宋" w:cs="仿宋"/>
          <w:color w:val="000000"/>
          <w:sz w:val="32"/>
          <w:szCs w:val="32"/>
          <w:highlight w:val="none"/>
          <w:lang w:val="en-US" w:eastAsia="zh-CN"/>
        </w:rPr>
        <w:t>，掌握该国摩托车市场行情信息，能够使己方在摩托车出口市场竞争中获得成交优势，从而得到产销量的提升。该披露行为给商业秘密所有人即原告带来竞争损害，也对竞争秩序造成破坏。</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其次，民事诉讼活动是国家为保障公民或企业权利的一系列活动，公民或企业的诉讼行为本身不存在侵权。判断民事诉讼活动的举证行为是否侵害他人商业秘密，应从是否超过民事诉讼行为的必要限度为界。虽然民事诉讼活动赋予当事人提交证据材料的权利，任何权利的行使都应当依照法定的职权和程序行使，当事人在行使自己的权利和自由时，亦不应超过必要限度。被告抗辩称披露涉案数据的目的是正当维权，不应当承担侵权责任。在三某公司与重庆克某某机械制造有限公司侵害外观设计专利权纠纷案中，三某公司可以采取不向重庆克某某机械制造有限公司披露光某公司上述经营信息的方式进行举证，但三某公司并未采取措施防止泄露光某公司的商业秘密。三某公司未经光某公司允许而擅自披露光某公司上述商业秘密的行为已超出了法律赋予其在诉讼中所享有的权利边界。三某公司在诉讼中向他人披露光某公司涉案商业秘密的行为非具有必要性，侵害了原告的商业秘密。</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另外，在三某公司与光某公司侵害外观设计专利权纠纷案中，三某公司举示涉案出口数据商业秘密时，光某公司作为诉讼相对方未要求不公开审理，系其对三某公司披露其涉案商业秘密的放任，不应当由三某公司承担侵害责任。</w:t>
      </w:r>
    </w:p>
    <w:p>
      <w:pPr>
        <w:keepNext w:val="0"/>
        <w:keepLines w:val="0"/>
        <w:pageBreakBefore w:val="0"/>
        <w:numPr>
          <w:ilvl w:val="0"/>
          <w:numId w:val="0"/>
        </w:numPr>
        <w:kinsoku/>
        <w:wordWrap/>
        <w:overflowPunct/>
        <w:topLinePunct w:val="0"/>
        <w:bidi w:val="0"/>
        <w:snapToGrid/>
        <w:spacing w:line="54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四、</w:t>
      </w:r>
      <w:r>
        <w:rPr>
          <w:rFonts w:hint="default" w:ascii="仿宋" w:hAnsi="仿宋" w:eastAsia="仿宋" w:cs="仿宋"/>
          <w:color w:val="000000"/>
          <w:sz w:val="32"/>
          <w:szCs w:val="32"/>
          <w:lang w:val="en-US" w:eastAsia="zh-CN"/>
        </w:rPr>
        <w:t>关于被告应当承担的法律责任</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中华人民共和国反不正当竞争法》第十七条第一款、第二款规定，经营者违反本法规定，给他人造成损害的，应当依法承担民事责任。经营者的合法权益受到不正当竞争行为损害的，可以向人民法院提起诉讼。被告违反权利人即原告有关保守商业秘密的要求，不正当获取、披露、使用原告的商业秘密，侵犯了原告针对某目的国出口某款摩托车（品牌、排量、型号）对应的数量、单价组合信息商业秘密权利。被告应当立即停止侵害原告</w:t>
      </w:r>
      <w:r>
        <w:rPr>
          <w:rFonts w:hint="eastAsia" w:ascii="仿宋" w:hAnsi="仿宋" w:eastAsia="仿宋" w:cs="仿宋"/>
          <w:color w:val="000000"/>
          <w:sz w:val="32"/>
          <w:szCs w:val="32"/>
          <w:lang w:eastAsia="zh-CN"/>
        </w:rPr>
        <w:t>光某公司</w:t>
      </w:r>
      <w:r>
        <w:rPr>
          <w:rFonts w:hint="eastAsia" w:ascii="仿宋" w:hAnsi="仿宋" w:eastAsia="仿宋" w:cs="仿宋"/>
          <w:color w:val="000000"/>
          <w:sz w:val="32"/>
          <w:szCs w:val="32"/>
          <w:lang w:val="en-US" w:eastAsia="zh-CN"/>
        </w:rPr>
        <w:t>商业秘密,即不得披露、使用或允许他人使用原告</w:t>
      </w:r>
      <w:r>
        <w:rPr>
          <w:rFonts w:hint="eastAsia" w:ascii="仿宋" w:hAnsi="仿宋" w:eastAsia="仿宋" w:cs="仿宋"/>
          <w:color w:val="000000"/>
          <w:sz w:val="32"/>
          <w:szCs w:val="32"/>
          <w:lang w:eastAsia="zh-CN"/>
        </w:rPr>
        <w:t>光某公司上述</w:t>
      </w:r>
      <w:r>
        <w:rPr>
          <w:rFonts w:hint="eastAsia" w:ascii="仿宋" w:hAnsi="仿宋" w:eastAsia="仿宋" w:cs="仿宋"/>
          <w:color w:val="000000"/>
          <w:sz w:val="32"/>
          <w:szCs w:val="32"/>
          <w:lang w:val="en-US" w:eastAsia="zh-CN"/>
        </w:rPr>
        <w:t>出口组合数据的商业秘密。</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关于赔偿损失的诉讼请求，根据《中华人民共和国反不正当竞争法》第十七条第三款、第四款规定，因不正当竞争行为受到损害的经营者的赔偿数额，按照其因被侵权所受到的实际损失确定；实际损失难以计算的，按照侵权人因侵权所获得的利益确定。经营者恶意实施侵犯商业秘密行为，情节严重的，可以在按照上述方法确定数额的一倍以上五倍以下确定赔偿数额。赔偿数额还应当包括经营者为制止侵权行为所支付的合理开支。经营者违反本法第六条、第九条规定，权利人因被侵权所受到的实际损失、侵权人因侵权所获得的利益难以确定的，由人民法院根据侵权行为的情节判决给予权利人五百万元以下的赔偿。鉴于本案权利人因被侵权所受到的实际损失、侵权人因侵权所获得的利益等均难以确定，本院综合考虑涉案商业秘密的性质、商业价值、信息积累成本、能带来的竞争优势以及侵权人的主观过错、侵权行为的性质、情节、后果等因素酌情确定被告三某公司应承担的赔偿数额及合理开支为5万元。</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综上所述，根据</w:t>
      </w:r>
      <w:r>
        <w:rPr>
          <w:rFonts w:hint="eastAsia" w:ascii="仿宋" w:hAnsi="仿宋" w:eastAsia="仿宋" w:cs="仿宋"/>
          <w:color w:val="000000"/>
          <w:sz w:val="32"/>
          <w:szCs w:val="32"/>
          <w:highlight w:val="none"/>
          <w:lang w:val="en-US" w:eastAsia="zh-CN"/>
        </w:rPr>
        <w:t>《中华人民共和国数据安全法》第三十二条，</w:t>
      </w:r>
      <w:r>
        <w:rPr>
          <w:rFonts w:hint="eastAsia" w:ascii="仿宋" w:hAnsi="仿宋" w:eastAsia="仿宋" w:cs="仿宋"/>
          <w:color w:val="000000"/>
          <w:sz w:val="32"/>
          <w:szCs w:val="32"/>
          <w:lang w:val="en-US" w:eastAsia="zh-CN"/>
        </w:rPr>
        <w:t>《中华人民共和国反不正当竞争法》第九条、第十七条、第三十二条，《最高人民法院关于审理侵犯商业秘密民事案件适用法律若干问题的规定》第三条、第五条、第七条、第二十条，《最高人民法院关于审理不正当竞争民事案件应用法律若干问题的解释》第十三条，《中华人民共和国民事诉讼法》第六十七条、第一百四十五条、第一百五十五条之规定，判决如下：</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lang w:val="en-US" w:eastAsia="zh-CN"/>
        </w:rPr>
        <w:t>一、被告</w:t>
      </w:r>
      <w:r>
        <w:rPr>
          <w:rFonts w:hint="eastAsia" w:ascii="仿宋" w:hAnsi="仿宋" w:eastAsia="仿宋" w:cs="仿宋"/>
          <w:color w:val="000000"/>
          <w:sz w:val="32"/>
          <w:szCs w:val="32"/>
          <w:lang w:eastAsia="zh-CN"/>
        </w:rPr>
        <w:t>广州三某摩托车有限公司</w:t>
      </w:r>
      <w:r>
        <w:rPr>
          <w:rFonts w:hint="eastAsia" w:ascii="仿宋" w:hAnsi="仿宋" w:eastAsia="仿宋" w:cs="仿宋"/>
          <w:color w:val="000000"/>
          <w:sz w:val="32"/>
          <w:szCs w:val="32"/>
          <w:lang w:val="en-US" w:eastAsia="zh-CN"/>
        </w:rPr>
        <w:t>于本判决生效之日起立即停止侵害原告</w:t>
      </w:r>
      <w:r>
        <w:rPr>
          <w:rFonts w:hint="eastAsia" w:ascii="仿宋" w:hAnsi="仿宋" w:eastAsia="仿宋" w:cs="仿宋"/>
          <w:color w:val="000000"/>
          <w:sz w:val="32"/>
          <w:szCs w:val="32"/>
          <w:lang w:eastAsia="zh-CN"/>
        </w:rPr>
        <w:t>重庆光某摩托车制造有限公司</w:t>
      </w:r>
      <w:r>
        <w:rPr>
          <w:rFonts w:hint="eastAsia" w:ascii="仿宋" w:hAnsi="仿宋" w:eastAsia="仿宋" w:cs="仿宋"/>
          <w:color w:val="000000"/>
          <w:sz w:val="32"/>
          <w:szCs w:val="32"/>
          <w:lang w:val="en-US" w:eastAsia="zh-CN"/>
        </w:rPr>
        <w:t>商业秘密的不正当竞争行为,即不得披露、使用或允许他人使用原告</w:t>
      </w:r>
      <w:r>
        <w:rPr>
          <w:rFonts w:hint="eastAsia" w:ascii="仿宋" w:hAnsi="仿宋" w:eastAsia="仿宋" w:cs="仿宋"/>
          <w:color w:val="000000"/>
          <w:sz w:val="32"/>
          <w:szCs w:val="32"/>
          <w:lang w:eastAsia="zh-CN"/>
        </w:rPr>
        <w:t>重庆光某摩托车制造有限公司</w:t>
      </w:r>
      <w:r>
        <w:rPr>
          <w:rFonts w:hint="eastAsia" w:ascii="仿宋" w:hAnsi="仿宋" w:eastAsia="仿宋" w:cs="仿宋"/>
          <w:color w:val="000000"/>
          <w:sz w:val="32"/>
          <w:szCs w:val="32"/>
          <w:highlight w:val="none"/>
          <w:lang w:val="en-US" w:eastAsia="zh-CN"/>
        </w:rPr>
        <w:t>构成商业秘密的涉案经营信息；</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二、被告</w:t>
      </w:r>
      <w:r>
        <w:rPr>
          <w:rFonts w:hint="eastAsia" w:ascii="仿宋" w:hAnsi="仿宋" w:eastAsia="仿宋" w:cs="仿宋"/>
          <w:color w:val="000000"/>
          <w:sz w:val="32"/>
          <w:szCs w:val="32"/>
          <w:lang w:eastAsia="zh-CN"/>
        </w:rPr>
        <w:t>广州三某摩托车有限公司</w:t>
      </w:r>
      <w:r>
        <w:rPr>
          <w:rFonts w:hint="eastAsia" w:ascii="仿宋" w:hAnsi="仿宋" w:eastAsia="仿宋" w:cs="仿宋"/>
          <w:color w:val="000000"/>
          <w:sz w:val="32"/>
          <w:szCs w:val="32"/>
          <w:lang w:val="en-US" w:eastAsia="zh-CN"/>
        </w:rPr>
        <w:t>于判决生效之日起十日内赔偿原告</w:t>
      </w:r>
      <w:r>
        <w:rPr>
          <w:rFonts w:hint="eastAsia" w:ascii="仿宋" w:hAnsi="仿宋" w:eastAsia="仿宋" w:cs="仿宋"/>
          <w:color w:val="000000"/>
          <w:sz w:val="32"/>
          <w:szCs w:val="32"/>
          <w:lang w:eastAsia="zh-CN"/>
        </w:rPr>
        <w:t>重庆光某摩托车制造有限公司</w:t>
      </w:r>
      <w:r>
        <w:rPr>
          <w:rFonts w:hint="eastAsia" w:ascii="仿宋" w:hAnsi="仿宋" w:eastAsia="仿宋" w:cs="仿宋"/>
          <w:color w:val="000000"/>
          <w:sz w:val="32"/>
          <w:szCs w:val="32"/>
          <w:lang w:val="en-US" w:eastAsia="zh-CN"/>
        </w:rPr>
        <w:t>经济损失及合理开支共计5万元；</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bookmarkStart w:id="0" w:name="PJJG"/>
      <w:bookmarkEnd w:id="0"/>
      <w:r>
        <w:rPr>
          <w:rFonts w:hint="eastAsia" w:ascii="仿宋" w:hAnsi="仿宋" w:eastAsia="仿宋" w:cs="仿宋"/>
          <w:color w:val="000000"/>
          <w:sz w:val="32"/>
          <w:szCs w:val="32"/>
          <w:lang w:val="en-US" w:eastAsia="zh-CN"/>
        </w:rPr>
        <w:t>三、驳回原告</w:t>
      </w:r>
      <w:r>
        <w:rPr>
          <w:rFonts w:hint="eastAsia" w:ascii="仿宋" w:hAnsi="仿宋" w:eastAsia="仿宋" w:cs="仿宋"/>
          <w:color w:val="000000"/>
          <w:sz w:val="32"/>
          <w:szCs w:val="32"/>
          <w:lang w:eastAsia="zh-CN"/>
        </w:rPr>
        <w:t>重庆光某摩托车制造有限公司</w:t>
      </w:r>
      <w:r>
        <w:rPr>
          <w:rFonts w:hint="eastAsia" w:ascii="仿宋" w:hAnsi="仿宋" w:eastAsia="仿宋" w:cs="仿宋"/>
          <w:color w:val="000000"/>
          <w:sz w:val="32"/>
          <w:szCs w:val="32"/>
          <w:lang w:val="en-US" w:eastAsia="zh-CN"/>
        </w:rPr>
        <w:t>的其他诉讼请求。</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如果未按本判决指定的期间履行给付金钱义务，应当依照《中华人民共和国民事诉讼法》第二百六十条规定，加倍支付迟延履行期间的债务利息。</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案件受理费30800元，由原告</w:t>
      </w:r>
      <w:r>
        <w:rPr>
          <w:rFonts w:hint="eastAsia" w:ascii="仿宋" w:hAnsi="仿宋" w:eastAsia="仿宋" w:cs="仿宋"/>
          <w:color w:val="000000"/>
          <w:sz w:val="32"/>
          <w:szCs w:val="32"/>
          <w:lang w:eastAsia="zh-CN"/>
        </w:rPr>
        <w:t>重庆光某摩托车制造有限公司</w:t>
      </w:r>
      <w:r>
        <w:rPr>
          <w:rFonts w:hint="eastAsia" w:ascii="仿宋" w:hAnsi="仿宋" w:eastAsia="仿宋" w:cs="仿宋"/>
          <w:color w:val="000000"/>
          <w:sz w:val="32"/>
          <w:szCs w:val="32"/>
          <w:lang w:val="en-US" w:eastAsia="zh-CN"/>
        </w:rPr>
        <w:t>负担12800元，由被告</w:t>
      </w:r>
      <w:r>
        <w:rPr>
          <w:rFonts w:hint="eastAsia" w:ascii="仿宋" w:hAnsi="仿宋" w:eastAsia="仿宋" w:cs="仿宋"/>
          <w:color w:val="000000"/>
          <w:sz w:val="32"/>
          <w:szCs w:val="32"/>
          <w:lang w:eastAsia="zh-CN"/>
        </w:rPr>
        <w:t>广州三某摩托车有限公司</w:t>
      </w:r>
      <w:r>
        <w:rPr>
          <w:rFonts w:hint="eastAsia" w:ascii="仿宋" w:hAnsi="仿宋" w:eastAsia="仿宋" w:cs="仿宋"/>
          <w:color w:val="000000"/>
          <w:sz w:val="32"/>
          <w:szCs w:val="32"/>
          <w:lang w:val="en-US" w:eastAsia="zh-CN"/>
        </w:rPr>
        <w:t>负担18000元。</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如不服本判决，可以在收到本判决书之日起十五日内向本院提交上诉状，并按对方当事人的人数提出副本，上诉于重庆市第一中级人民法院。</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p>
    <w:p>
      <w:pPr>
        <w:keepNext w:val="0"/>
        <w:keepLines w:val="0"/>
        <w:pageBreakBefore w:val="0"/>
        <w:kinsoku/>
        <w:wordWrap/>
        <w:overflowPunct/>
        <w:topLinePunct w:val="0"/>
        <w:bidi w:val="0"/>
        <w:snapToGrid/>
        <w:spacing w:line="54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 xml:space="preserve">                 审    判    长      杨  丽  霞</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 xml:space="preserve">                 审    判    员      王  雁  苗</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 xml:space="preserve">                 审    判    员      曹  玉  婷</w:t>
      </w: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p>
    <w:p>
      <w:pPr>
        <w:keepNext w:val="0"/>
        <w:keepLines w:val="0"/>
        <w:pageBreakBefore w:val="0"/>
        <w:kinsoku/>
        <w:wordWrap/>
        <w:overflowPunct/>
        <w:topLinePunct w:val="0"/>
        <w:bidi w:val="0"/>
        <w:snapToGrid/>
        <w:spacing w:line="54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 xml:space="preserve">                   二 〇 二 三 年 八 月 四 日</w:t>
      </w:r>
    </w:p>
    <w:p>
      <w:pPr>
        <w:keepNext w:val="0"/>
        <w:keepLines w:val="0"/>
        <w:pageBreakBefore w:val="0"/>
        <w:kinsoku/>
        <w:wordWrap/>
        <w:overflowPunct/>
        <w:topLinePunct w:val="0"/>
        <w:bidi w:val="0"/>
        <w:snapToGrid/>
        <w:spacing w:line="540" w:lineRule="exact"/>
        <w:ind w:right="-512" w:rightChars="-244"/>
        <w:textAlignment w:val="auto"/>
        <w:rPr>
          <w:rFonts w:hint="eastAsia" w:ascii="仿宋" w:hAnsi="仿宋" w:eastAsia="仿宋" w:cs="仿宋"/>
          <w:color w:val="000000"/>
          <w:sz w:val="32"/>
          <w:szCs w:val="32"/>
          <w:lang w:val="en-US" w:eastAsia="zh-CN"/>
        </w:rPr>
      </w:pPr>
    </w:p>
    <w:p>
      <w:pPr>
        <w:keepNext w:val="0"/>
        <w:keepLines w:val="0"/>
        <w:pageBreakBefore w:val="0"/>
        <w:kinsoku/>
        <w:wordWrap/>
        <w:overflowPunct/>
        <w:topLinePunct w:val="0"/>
        <w:bidi w:val="0"/>
        <w:snapToGrid/>
        <w:spacing w:line="540" w:lineRule="exact"/>
        <w:ind w:right="-512" w:rightChars="-244" w:firstLine="3520" w:firstLineChars="11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 xml:space="preserve">法  官  助  理      刘  龙 美      </w:t>
      </w:r>
    </w:p>
    <w:p>
      <w:pPr>
        <w:keepNext w:val="0"/>
        <w:keepLines w:val="0"/>
        <w:pageBreakBefore w:val="0"/>
        <w:kinsoku/>
        <w:wordWrap/>
        <w:overflowPunct/>
        <w:topLinePunct w:val="0"/>
        <w:bidi w:val="0"/>
        <w:snapToGrid/>
        <w:spacing w:line="540" w:lineRule="exact"/>
        <w:ind w:right="-512" w:rightChars="-244" w:firstLine="3520" w:firstLineChars="110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书    记    员      黄     蒙</w:t>
      </w:r>
    </w:p>
    <w:p>
      <w:pPr>
        <w:keepNext w:val="0"/>
        <w:keepLines w:val="0"/>
        <w:pageBreakBefore w:val="0"/>
        <w:kinsoku/>
        <w:wordWrap/>
        <w:overflowPunct/>
        <w:topLinePunct w:val="0"/>
        <w:bidi w:val="0"/>
        <w:snapToGrid/>
        <w:spacing w:line="540" w:lineRule="exact"/>
        <w:ind w:right="-512" w:rightChars="-244" w:firstLine="3520" w:firstLineChars="1100"/>
        <w:textAlignment w:val="auto"/>
        <w:rPr>
          <w:rFonts w:hint="eastAsia" w:ascii="仿宋" w:hAnsi="仿宋" w:eastAsia="仿宋" w:cs="仿宋"/>
          <w:color w:val="000000"/>
          <w:sz w:val="32"/>
          <w:szCs w:val="32"/>
          <w:lang w:eastAsia="zh-CN"/>
        </w:rPr>
      </w:pPr>
    </w:p>
    <w:p>
      <w:pPr>
        <w:rPr>
          <w:rFonts w:hint="eastAsia" w:ascii="仿宋_GB2312" w:hAnsi="仿宋_GB2312" w:eastAsia="仿宋_GB2312" w:cs="仿宋_GB2312"/>
          <w:sz w:val="32"/>
          <w:szCs w:val="3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E-BZ9-PK74888-Identity-H">
    <w:altName w:val="宋体"/>
    <w:panose1 w:val="00000000000000000000"/>
    <w:charset w:val="00"/>
    <w:family w:val="auto"/>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FFD613"/>
    <w:multiLevelType w:val="singleLevel"/>
    <w:tmpl w:val="7DFFD61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mMmVjZTEwZmRlNWJjODY5ZTZmZmFhYzg4OTBmYTMifQ=="/>
  </w:docVars>
  <w:rsids>
    <w:rsidRoot w:val="175D78D3"/>
    <w:rsid w:val="01E272A3"/>
    <w:rsid w:val="0B106E41"/>
    <w:rsid w:val="0B6E1DBA"/>
    <w:rsid w:val="152D239E"/>
    <w:rsid w:val="175D78D3"/>
    <w:rsid w:val="2298179E"/>
    <w:rsid w:val="22F83FEB"/>
    <w:rsid w:val="2C9A221E"/>
    <w:rsid w:val="2FEFE5B4"/>
    <w:rsid w:val="30DC1215"/>
    <w:rsid w:val="30FE2A72"/>
    <w:rsid w:val="32F56799"/>
    <w:rsid w:val="3306385D"/>
    <w:rsid w:val="33614D15"/>
    <w:rsid w:val="37C91FA2"/>
    <w:rsid w:val="3E051CC1"/>
    <w:rsid w:val="4C6A0153"/>
    <w:rsid w:val="4D650F5A"/>
    <w:rsid w:val="56AA10EC"/>
    <w:rsid w:val="57507CD1"/>
    <w:rsid w:val="5CF51B32"/>
    <w:rsid w:val="5D1C12D3"/>
    <w:rsid w:val="631B72A6"/>
    <w:rsid w:val="6703252B"/>
    <w:rsid w:val="6E3631E6"/>
    <w:rsid w:val="79D7762B"/>
    <w:rsid w:val="7AAD4830"/>
    <w:rsid w:val="7BDCD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autoRedefine/>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autoRedefine/>
    <w:qFormat/>
    <w:uiPriority w:val="0"/>
    <w:rPr>
      <w:b/>
    </w:rPr>
  </w:style>
  <w:style w:type="character" w:styleId="9">
    <w:name w:val="Emphasis"/>
    <w:basedOn w:val="7"/>
    <w:autoRedefine/>
    <w:qFormat/>
    <w:uiPriority w:val="0"/>
    <w:rPr>
      <w:i/>
    </w:rPr>
  </w:style>
  <w:style w:type="character" w:styleId="10">
    <w:name w:val="Hyperlink"/>
    <w:basedOn w:val="7"/>
    <w:autoRedefine/>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15</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2023-12-13T02:15:00Z</dcterms:created>
  <dc:creator>苗</dc:creator>
  <cp:lastModifiedBy>IPE</cp:lastModifiedBy>
  <dcterms:modified xsi:type="dcterms:W3CDTF">2024-04-24T03:02:47Z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69D317E7E0F546E79FD0BFB37DBF7DFC_13</vt:lpwstr>
  </property>
</Properties>
</file>