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val="0"/>
        <w:adjustRightInd/>
        <w:snapToGrid/>
        <w:spacing w:after="0"/>
        <w:jc w:val="center"/>
        <w:rPr>
          <w:rFonts w:ascii="方正小标宋简体" w:hAnsi="宋体" w:eastAsia="方正小标宋简体"/>
          <w:sz w:val="44"/>
        </w:rPr>
      </w:pPr>
      <w:r>
        <w:rPr>
          <w:rFonts w:hint="eastAsia" w:ascii="方正小标宋简体" w:hAnsi="宋体" w:eastAsia="方正小标宋简体"/>
          <w:sz w:val="44"/>
        </w:rPr>
        <w:t>浙江省金华市中级人民法院</w:t>
      </w:r>
    </w:p>
    <w:p>
      <w:pPr>
        <w:widowControl w:val="0"/>
        <w:adjustRightInd/>
        <w:snapToGrid/>
        <w:spacing w:after="480" w:afterLines="200"/>
        <w:jc w:val="center"/>
        <w:rPr>
          <w:rFonts w:ascii="方正小标宋简体" w:hAnsi="宋体" w:eastAsia="方正小标宋简体"/>
          <w:sz w:val="44"/>
        </w:rPr>
      </w:pPr>
      <w:r>
        <w:rPr>
          <w:rFonts w:hint="eastAsia" w:ascii="方正小标宋简体" w:hAnsi="宋体" w:eastAsia="方正小标宋简体"/>
          <w:sz w:val="44"/>
        </w:rPr>
        <w:t>民事判决书</w:t>
      </w:r>
    </w:p>
    <w:p>
      <w:pPr>
        <w:widowControl w:val="0"/>
        <w:adjustRightInd/>
        <w:snapToGrid/>
        <w:spacing w:after="240" w:afterLines="100" w:line="380" w:lineRule="exact"/>
        <w:ind w:right="660" w:rightChars="300"/>
        <w:jc w:val="right"/>
        <w:rPr>
          <w:rFonts w:ascii="仿宋_GB2312" w:hAnsi="Times New Roman" w:eastAsia="仿宋_GB2312"/>
          <w:sz w:val="32"/>
        </w:rPr>
      </w:pPr>
      <w:r>
        <w:rPr>
          <w:rFonts w:hint="eastAsia" w:ascii="仿宋_GB2312" w:hAnsi="Times New Roman" w:eastAsia="仿宋_GB2312"/>
          <w:sz w:val="32"/>
        </w:rPr>
        <w:t>（2022）浙07民初324号</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原告：</w:t>
      </w:r>
      <w:r>
        <w:rPr>
          <w:rFonts w:hint="eastAsia" w:ascii="仿宋_GB2312" w:hAnsi="宋体" w:eastAsia="仿宋_GB2312"/>
          <w:sz w:val="32"/>
          <w:lang w:eastAsia="zh-CN"/>
        </w:rPr>
        <w:t>吴某。</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被告：</w:t>
      </w:r>
      <w:r>
        <w:rPr>
          <w:rFonts w:hint="eastAsia" w:ascii="仿宋_GB2312" w:hAnsi="宋体" w:eastAsia="仿宋_GB2312"/>
          <w:sz w:val="32"/>
          <w:lang w:eastAsia="zh-CN"/>
        </w:rPr>
        <w:t>何某</w:t>
      </w:r>
      <w:r>
        <w:rPr>
          <w:rFonts w:hint="eastAsia" w:ascii="仿宋_GB2312" w:hAnsi="宋体" w:eastAsia="仿宋_GB2312"/>
          <w:sz w:val="32"/>
        </w:rPr>
        <w:t>。</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被告：</w:t>
      </w:r>
      <w:r>
        <w:rPr>
          <w:rFonts w:hint="eastAsia" w:ascii="仿宋_GB2312" w:hAnsi="宋体" w:eastAsia="仿宋_GB2312"/>
          <w:sz w:val="32"/>
          <w:lang w:eastAsia="zh-CN"/>
        </w:rPr>
        <w:t>义乌市甲贸易有限公司</w:t>
      </w:r>
      <w:r>
        <w:rPr>
          <w:rFonts w:hint="eastAsia" w:ascii="仿宋_GB2312" w:hAnsi="宋体" w:eastAsia="仿宋_GB2312"/>
          <w:sz w:val="32"/>
        </w:rPr>
        <w:t>。</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原告</w:t>
      </w:r>
      <w:r>
        <w:rPr>
          <w:rFonts w:hint="eastAsia" w:ascii="仿宋_GB2312" w:hAnsi="宋体" w:eastAsia="仿宋_GB2312"/>
          <w:sz w:val="32"/>
          <w:lang w:eastAsia="zh-CN"/>
        </w:rPr>
        <w:t>吴某</w:t>
      </w:r>
      <w:r>
        <w:rPr>
          <w:rFonts w:hint="eastAsia" w:ascii="仿宋_GB2312" w:hAnsi="宋体" w:eastAsia="仿宋_GB2312"/>
          <w:sz w:val="32"/>
        </w:rPr>
        <w:t>与被告</w:t>
      </w:r>
      <w:r>
        <w:rPr>
          <w:rFonts w:hint="eastAsia" w:ascii="仿宋_GB2312" w:hAnsi="宋体" w:eastAsia="仿宋_GB2312"/>
          <w:sz w:val="32"/>
          <w:lang w:eastAsia="zh-CN"/>
        </w:rPr>
        <w:t>何某</w:t>
      </w:r>
      <w:r>
        <w:rPr>
          <w:rFonts w:hint="eastAsia" w:ascii="仿宋_GB2312" w:hAnsi="宋体" w:eastAsia="仿宋_GB2312"/>
          <w:sz w:val="32"/>
        </w:rPr>
        <w:t>、</w:t>
      </w:r>
      <w:r>
        <w:rPr>
          <w:rFonts w:hint="eastAsia" w:ascii="仿宋_GB2312" w:hAnsi="宋体" w:eastAsia="仿宋_GB2312"/>
          <w:sz w:val="32"/>
          <w:lang w:eastAsia="zh-CN"/>
        </w:rPr>
        <w:t>义乌市甲贸易有限公司</w:t>
      </w:r>
      <w:r>
        <w:rPr>
          <w:rFonts w:hint="eastAsia" w:ascii="仿宋_GB2312" w:hAnsi="宋体" w:eastAsia="仿宋_GB2312"/>
          <w:sz w:val="32"/>
        </w:rPr>
        <w:t>（以下简称</w:t>
      </w:r>
      <w:r>
        <w:rPr>
          <w:rFonts w:hint="eastAsia" w:ascii="仿宋_GB2312" w:hAnsi="宋体" w:eastAsia="仿宋_GB2312"/>
          <w:sz w:val="32"/>
          <w:lang w:eastAsia="zh-CN"/>
        </w:rPr>
        <w:t>甲公司</w:t>
      </w:r>
      <w:r>
        <w:rPr>
          <w:rFonts w:hint="eastAsia" w:ascii="仿宋_GB2312" w:hAnsi="宋体" w:eastAsia="仿宋_GB2312"/>
          <w:sz w:val="32"/>
        </w:rPr>
        <w:t>）侵害外观设计专利权纠纷一案，本院于2022年6月1日立案受理后，依法组成合议庭，于2022年9月8日公开开庭进行了审理，原告</w:t>
      </w:r>
      <w:r>
        <w:rPr>
          <w:rFonts w:hint="eastAsia" w:ascii="仿宋_GB2312" w:hAnsi="宋体" w:eastAsia="仿宋_GB2312"/>
          <w:sz w:val="32"/>
          <w:lang w:eastAsia="zh-CN"/>
        </w:rPr>
        <w:t>吴某</w:t>
      </w:r>
      <w:r>
        <w:rPr>
          <w:rFonts w:hint="eastAsia" w:ascii="仿宋_GB2312" w:hAnsi="宋体" w:eastAsia="仿宋_GB2312"/>
          <w:sz w:val="32"/>
        </w:rPr>
        <w:t>的委托诉讼代理人季</w:t>
      </w:r>
      <w:r>
        <w:rPr>
          <w:rFonts w:hint="eastAsia" w:ascii="仿宋_GB2312" w:hAnsi="宋体" w:eastAsia="仿宋_GB2312"/>
          <w:sz w:val="32"/>
          <w:lang w:eastAsia="zh-CN"/>
        </w:rPr>
        <w:t>某</w:t>
      </w:r>
      <w:r>
        <w:rPr>
          <w:rFonts w:hint="eastAsia" w:ascii="仿宋_GB2312" w:hAnsi="宋体" w:eastAsia="仿宋_GB2312"/>
          <w:sz w:val="32"/>
        </w:rPr>
        <w:t>，被告</w:t>
      </w:r>
      <w:r>
        <w:rPr>
          <w:rFonts w:hint="eastAsia" w:ascii="仿宋_GB2312" w:hAnsi="宋体" w:eastAsia="仿宋_GB2312"/>
          <w:sz w:val="32"/>
          <w:lang w:eastAsia="zh-CN"/>
        </w:rPr>
        <w:t>何某</w:t>
      </w:r>
      <w:r>
        <w:rPr>
          <w:rFonts w:hint="eastAsia" w:ascii="仿宋_GB2312" w:hAnsi="宋体" w:eastAsia="仿宋_GB2312"/>
          <w:sz w:val="32"/>
        </w:rPr>
        <w:t>、</w:t>
      </w:r>
      <w:r>
        <w:rPr>
          <w:rFonts w:hint="eastAsia" w:ascii="仿宋_GB2312" w:hAnsi="宋体" w:eastAsia="仿宋_GB2312"/>
          <w:sz w:val="32"/>
          <w:lang w:eastAsia="zh-CN"/>
        </w:rPr>
        <w:t>甲公司</w:t>
      </w:r>
      <w:r>
        <w:rPr>
          <w:rFonts w:hint="eastAsia" w:ascii="仿宋_GB2312" w:hAnsi="宋体" w:eastAsia="仿宋_GB2312"/>
          <w:sz w:val="32"/>
        </w:rPr>
        <w:t>的法定代表人</w:t>
      </w:r>
      <w:r>
        <w:rPr>
          <w:rFonts w:hint="eastAsia" w:ascii="仿宋_GB2312" w:hAnsi="宋体" w:eastAsia="仿宋_GB2312"/>
          <w:sz w:val="32"/>
          <w:lang w:eastAsia="zh-CN"/>
        </w:rPr>
        <w:t>夏某</w:t>
      </w:r>
      <w:r>
        <w:rPr>
          <w:rFonts w:hint="eastAsia" w:ascii="仿宋_GB2312" w:hAnsi="宋体" w:eastAsia="仿宋_GB2312"/>
          <w:sz w:val="32"/>
        </w:rPr>
        <w:t>到庭参加诉讼。本案现已审理终结。</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原告</w:t>
      </w:r>
      <w:r>
        <w:rPr>
          <w:rFonts w:hint="eastAsia" w:ascii="仿宋_GB2312" w:hAnsi="宋体" w:eastAsia="仿宋_GB2312"/>
          <w:sz w:val="32"/>
          <w:lang w:eastAsia="zh-CN"/>
        </w:rPr>
        <w:t>吴某</w:t>
      </w:r>
      <w:r>
        <w:rPr>
          <w:rFonts w:hint="eastAsia" w:ascii="仿宋_GB2312" w:hAnsi="宋体" w:eastAsia="仿宋_GB2312"/>
          <w:sz w:val="32"/>
        </w:rPr>
        <w:t>向本院提出诉讼请求：一、判令被告</w:t>
      </w:r>
      <w:r>
        <w:rPr>
          <w:rFonts w:hint="eastAsia" w:ascii="仿宋_GB2312" w:hAnsi="宋体" w:eastAsia="仿宋_GB2312"/>
          <w:sz w:val="32"/>
          <w:lang w:eastAsia="zh-CN"/>
        </w:rPr>
        <w:t>何某</w:t>
      </w:r>
      <w:r>
        <w:rPr>
          <w:rFonts w:hint="eastAsia" w:ascii="仿宋_GB2312" w:hAnsi="宋体" w:eastAsia="仿宋_GB2312"/>
          <w:sz w:val="32"/>
        </w:rPr>
        <w:t>、</w:t>
      </w:r>
      <w:r>
        <w:rPr>
          <w:rFonts w:hint="eastAsia" w:ascii="仿宋_GB2312" w:hAnsi="宋体" w:eastAsia="仿宋_GB2312"/>
          <w:sz w:val="32"/>
          <w:lang w:eastAsia="zh-CN"/>
        </w:rPr>
        <w:t>甲公司</w:t>
      </w:r>
      <w:r>
        <w:rPr>
          <w:rFonts w:hint="eastAsia" w:ascii="仿宋_GB2312" w:hAnsi="宋体" w:eastAsia="仿宋_GB2312"/>
          <w:sz w:val="32"/>
        </w:rPr>
        <w:t>立即停止生产、销售、许诺销售侵害原告</w:t>
      </w:r>
      <w:r>
        <w:rPr>
          <w:rFonts w:hint="eastAsia" w:ascii="仿宋_GB2312" w:hAnsi="宋体" w:eastAsia="仿宋_GB2312"/>
          <w:sz w:val="32"/>
          <w:lang w:eastAsia="zh-CN"/>
        </w:rPr>
        <w:t>吴某ZL2019xxxx0359.4</w:t>
      </w:r>
      <w:r>
        <w:rPr>
          <w:rFonts w:hint="eastAsia" w:ascii="仿宋_GB2312" w:hAnsi="宋体" w:eastAsia="仿宋_GB2312"/>
          <w:sz w:val="32"/>
        </w:rPr>
        <w:t>“宠物猫玩具(转转风车)”外观设计专利权的侵权产品(包括立即下架侵权产品；销毁现存侵权产品、半成品；销毁产品模具)。二、判令被告赔偿原告损失20万元人民币(包含合理费用)。三、被告承担本案全部诉讼费用。事实与理由：原告</w:t>
      </w:r>
      <w:r>
        <w:rPr>
          <w:rFonts w:hint="eastAsia" w:ascii="仿宋_GB2312" w:hAnsi="宋体" w:eastAsia="仿宋_GB2312"/>
          <w:sz w:val="32"/>
          <w:lang w:eastAsia="zh-CN"/>
        </w:rPr>
        <w:t>吴某</w:t>
      </w:r>
      <w:r>
        <w:rPr>
          <w:rFonts w:hint="eastAsia" w:ascii="仿宋_GB2312" w:hAnsi="宋体" w:eastAsia="仿宋_GB2312"/>
          <w:sz w:val="32"/>
        </w:rPr>
        <w:t>系专利号为</w:t>
      </w:r>
      <w:r>
        <w:rPr>
          <w:rFonts w:hint="eastAsia" w:ascii="仿宋_GB2312" w:hAnsi="宋体" w:eastAsia="仿宋_GB2312"/>
          <w:sz w:val="32"/>
          <w:lang w:eastAsia="zh-CN"/>
        </w:rPr>
        <w:t>ZL2019xxxx0359.4</w:t>
      </w:r>
      <w:r>
        <w:rPr>
          <w:rFonts w:hint="eastAsia" w:ascii="仿宋_GB2312" w:hAnsi="宋体" w:eastAsia="仿宋_GB2312"/>
          <w:sz w:val="32"/>
        </w:rPr>
        <w:t>“宠物猫玩具(转转风车)”(以下简称“案涉专利”)外观设计专利权人，目前该专利仍在保护期内，专利权合法有效。经原告市场调查发现，被告在未经原告允许的情况下，在义乌市国际商贸城</w:t>
      </w:r>
      <w:r>
        <w:rPr>
          <w:rFonts w:hint="eastAsia" w:ascii="仿宋_GB2312" w:hAnsi="宋体" w:eastAsia="仿宋_GB2312"/>
          <w:sz w:val="32"/>
          <w:lang w:val="en-US" w:eastAsia="zh-CN"/>
        </w:rPr>
        <w:t>xx</w:t>
      </w:r>
      <w:r>
        <w:rPr>
          <w:rFonts w:hint="eastAsia" w:ascii="仿宋_GB2312" w:hAnsi="宋体" w:eastAsia="仿宋_GB2312"/>
          <w:sz w:val="32"/>
        </w:rPr>
        <w:t>商位以批发形式销售侵犯案涉专利的侵权产品。原告通过现场批发购买的方式对侵权产品进行公证并封存实物。根据(2022)浙义证内字第213号公证书中显示，封存产品与案涉专利无实质性区别，已导致消费者混淆，侵害了原告的合法权益。原告认为，被告的行为侵害了原告的专利权，给原告造成了经济损失，应当予以赔偿。</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被告</w:t>
      </w:r>
      <w:r>
        <w:rPr>
          <w:rFonts w:hint="eastAsia" w:ascii="仿宋_GB2312" w:hAnsi="宋体" w:eastAsia="仿宋_GB2312"/>
          <w:sz w:val="32"/>
          <w:lang w:eastAsia="zh-CN"/>
        </w:rPr>
        <w:t>何某</w:t>
      </w:r>
      <w:r>
        <w:rPr>
          <w:rFonts w:hint="eastAsia" w:ascii="仿宋_GB2312" w:hAnsi="宋体" w:eastAsia="仿宋_GB2312"/>
          <w:sz w:val="32"/>
        </w:rPr>
        <w:t>答辩称：其没有生产、销售涉案侵权产品，其只是把义乌市国际商贸城</w:t>
      </w:r>
      <w:r>
        <w:rPr>
          <w:rFonts w:hint="eastAsia" w:ascii="仿宋_GB2312" w:hAnsi="宋体" w:eastAsia="仿宋_GB2312"/>
          <w:sz w:val="32"/>
          <w:lang w:val="en-US" w:eastAsia="zh-CN"/>
        </w:rPr>
        <w:t>xx</w:t>
      </w:r>
      <w:r>
        <w:rPr>
          <w:rFonts w:hint="eastAsia" w:ascii="仿宋_GB2312" w:hAnsi="宋体" w:eastAsia="仿宋_GB2312"/>
          <w:sz w:val="32"/>
        </w:rPr>
        <w:t>商位租给</w:t>
      </w:r>
      <w:r>
        <w:rPr>
          <w:rFonts w:hint="eastAsia" w:ascii="仿宋_GB2312" w:hAnsi="宋体" w:eastAsia="仿宋_GB2312"/>
          <w:sz w:val="32"/>
          <w:lang w:eastAsia="zh-CN"/>
        </w:rPr>
        <w:t>夏某</w:t>
      </w:r>
      <w:r>
        <w:rPr>
          <w:rFonts w:hint="eastAsia" w:ascii="仿宋_GB2312" w:hAnsi="宋体" w:eastAsia="仿宋_GB2312"/>
          <w:sz w:val="32"/>
        </w:rPr>
        <w:t>，对上述侵权情况不知情。</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被告</w:t>
      </w:r>
      <w:r>
        <w:rPr>
          <w:rFonts w:hint="eastAsia" w:ascii="仿宋_GB2312" w:hAnsi="宋体" w:eastAsia="仿宋_GB2312"/>
          <w:sz w:val="32"/>
          <w:lang w:eastAsia="zh-CN"/>
        </w:rPr>
        <w:t>甲公司</w:t>
      </w:r>
      <w:r>
        <w:rPr>
          <w:rFonts w:hint="eastAsia" w:ascii="仿宋_GB2312" w:hAnsi="宋体" w:eastAsia="仿宋_GB2312"/>
          <w:sz w:val="32"/>
        </w:rPr>
        <w:t>答辩称：该产品是否侵权其不清楚，该产品是经销商或者厂家放在其店里，说会有客户上门订货。</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原告为证明其起诉主张，向本院提交如下证据：</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1.外观设计专利证书；</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2.外观设计专利权评价报告；</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证据1、2共同证明案涉专利</w:t>
      </w:r>
      <w:r>
        <w:rPr>
          <w:rFonts w:hint="eastAsia" w:ascii="仿宋_GB2312" w:hAnsi="宋体" w:eastAsia="仿宋_GB2312"/>
          <w:sz w:val="32"/>
          <w:lang w:eastAsia="zh-CN"/>
        </w:rPr>
        <w:t>ZL2019xxxx0359.4</w:t>
      </w:r>
      <w:r>
        <w:rPr>
          <w:rFonts w:hint="eastAsia" w:ascii="仿宋_GB2312" w:hAnsi="宋体" w:eastAsia="仿宋_GB2312"/>
          <w:sz w:val="32"/>
        </w:rPr>
        <w:t>“宠物猫玩具（转转风车）”仍处于保护期内，专利合法有效，专利权人系</w:t>
      </w:r>
      <w:r>
        <w:rPr>
          <w:rFonts w:hint="eastAsia" w:ascii="仿宋_GB2312" w:hAnsi="宋体" w:eastAsia="仿宋_GB2312"/>
          <w:sz w:val="32"/>
          <w:lang w:eastAsia="zh-CN"/>
        </w:rPr>
        <w:t>吴某</w:t>
      </w:r>
      <w:r>
        <w:rPr>
          <w:rFonts w:hint="eastAsia" w:ascii="仿宋_GB2312" w:hAnsi="宋体" w:eastAsia="仿宋_GB2312"/>
          <w:sz w:val="32"/>
        </w:rPr>
        <w:t>。</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3.原告店铺产品链接截图，证明原告已经充分实施该专利;涉案专利产品的生产、销售情况，产品销量大，在业界享有一定知名度和影响力。</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4.（2022）浙义证内字第213号公证书、购买实物费用截图、公证费发票；</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5.公证实物；</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证据4、5共同证明被告通过国际商贸城</w:t>
      </w:r>
      <w:r>
        <w:rPr>
          <w:rFonts w:hint="eastAsia" w:ascii="仿宋_GB2312" w:hAnsi="宋体" w:eastAsia="仿宋_GB2312"/>
          <w:sz w:val="32"/>
          <w:lang w:val="en-US" w:eastAsia="zh-CN"/>
        </w:rPr>
        <w:t>xx</w:t>
      </w:r>
      <w:r>
        <w:rPr>
          <w:rFonts w:hint="eastAsia" w:ascii="仿宋_GB2312" w:hAnsi="宋体" w:eastAsia="仿宋_GB2312"/>
          <w:sz w:val="32"/>
        </w:rPr>
        <w:t>商位销售案涉侵权产品。原告以购买样品方式对侵权产品进行了公证，花费公证费1500元，购买费650元。案涉侵权产品与原告外观专利无实质性区别。</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6.企查查工商信息查询截图，证明被告</w:t>
      </w:r>
      <w:r>
        <w:rPr>
          <w:rFonts w:hint="eastAsia" w:ascii="仿宋_GB2312" w:hAnsi="宋体" w:eastAsia="仿宋_GB2312"/>
          <w:sz w:val="32"/>
          <w:lang w:eastAsia="zh-CN"/>
        </w:rPr>
        <w:t>何某</w:t>
      </w:r>
      <w:r>
        <w:rPr>
          <w:rFonts w:hint="eastAsia" w:ascii="仿宋_GB2312" w:hAnsi="宋体" w:eastAsia="仿宋_GB2312"/>
          <w:sz w:val="32"/>
        </w:rPr>
        <w:t>为案涉上述商位的经营主体，系本案适格被告。</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7.专利缴纳年费截图及发票，证明原告为申请专利所支出的部分成本，原告自专利申请日以来，按年缴纳专利年费。</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8.授权委托书，证明原告对</w:t>
      </w:r>
      <w:r>
        <w:rPr>
          <w:rFonts w:hint="eastAsia" w:ascii="仿宋_GB2312" w:hAnsi="宋体" w:eastAsia="仿宋_GB2312"/>
          <w:sz w:val="32"/>
          <w:lang w:eastAsia="zh-CN"/>
        </w:rPr>
        <w:t>山东某宠物用品有限公司</w:t>
      </w:r>
      <w:r>
        <w:rPr>
          <w:rFonts w:hint="eastAsia" w:ascii="仿宋_GB2312" w:hAnsi="宋体" w:eastAsia="仿宋_GB2312"/>
          <w:sz w:val="32"/>
        </w:rPr>
        <w:t>的专利授权情况。</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9.</w:t>
      </w:r>
      <w:r>
        <w:rPr>
          <w:rFonts w:hint="eastAsia" w:ascii="仿宋_GB2312" w:hAnsi="宋体" w:eastAsia="仿宋_GB2312"/>
          <w:sz w:val="32"/>
          <w:lang w:eastAsia="zh-CN"/>
        </w:rPr>
        <w:t>山东某宠物用品有限公司</w:t>
      </w:r>
      <w:r>
        <w:rPr>
          <w:rFonts w:hint="eastAsia" w:ascii="仿宋_GB2312" w:hAnsi="宋体" w:eastAsia="仿宋_GB2312"/>
          <w:sz w:val="32"/>
        </w:rPr>
        <w:t>简介、宣传视频、研发能力的介绍、销售实力介绍、公司荣誉介绍、原告授权所有的专利资料；</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10.（2022）渝北证字第12688号公证书；</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11.各授权店铺销售情况网页截图；</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证据9-11证明原告享有多项国内外专利，案涉专利不仅在国内享有合法专利，同时也申请了欧盟、美国专利；产品均系原告原创产品；原告授权公司系宠物研发与生产的龙头企业，在国内外享有知名度；原告授权公司对案涉专利投入巨大，在各个授权店铺中销量均领先同行业，同种类产品市场份额大。</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对上述证据，被告</w:t>
      </w:r>
      <w:r>
        <w:rPr>
          <w:rFonts w:hint="eastAsia" w:ascii="仿宋_GB2312" w:hAnsi="宋体" w:eastAsia="仿宋_GB2312"/>
          <w:sz w:val="32"/>
          <w:lang w:eastAsia="zh-CN"/>
        </w:rPr>
        <w:t>甲公司</w:t>
      </w:r>
      <w:r>
        <w:rPr>
          <w:rFonts w:hint="eastAsia" w:ascii="仿宋_GB2312" w:hAnsi="宋体" w:eastAsia="仿宋_GB2312"/>
          <w:sz w:val="32"/>
        </w:rPr>
        <w:t>质证认为，对原告所提供证据的真实性均没有异议。对证据4公证书的内容予以认可。被告</w:t>
      </w:r>
      <w:r>
        <w:rPr>
          <w:rFonts w:hint="eastAsia" w:ascii="仿宋_GB2312" w:hAnsi="宋体" w:eastAsia="仿宋_GB2312"/>
          <w:sz w:val="32"/>
          <w:lang w:eastAsia="zh-CN"/>
        </w:rPr>
        <w:t>何某</w:t>
      </w:r>
      <w:r>
        <w:rPr>
          <w:rFonts w:hint="eastAsia" w:ascii="仿宋_GB2312" w:hAnsi="宋体" w:eastAsia="仿宋_GB2312"/>
          <w:sz w:val="32"/>
        </w:rPr>
        <w:t>质证认为，除对公证书所载的购买过程不清楚外，对原告提供的证据的真实性均无异议。</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被告</w:t>
      </w:r>
      <w:r>
        <w:rPr>
          <w:rFonts w:hint="eastAsia" w:ascii="仿宋_GB2312" w:hAnsi="宋体" w:eastAsia="仿宋_GB2312"/>
          <w:sz w:val="32"/>
          <w:lang w:eastAsia="zh-CN"/>
        </w:rPr>
        <w:t>何某</w:t>
      </w:r>
      <w:r>
        <w:rPr>
          <w:rFonts w:hint="eastAsia" w:ascii="仿宋_GB2312" w:hAnsi="宋体" w:eastAsia="仿宋_GB2312"/>
          <w:sz w:val="32"/>
        </w:rPr>
        <w:t>向本院提供以下证据：</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1.租赁合同一份，证明被告</w:t>
      </w:r>
      <w:r>
        <w:rPr>
          <w:rFonts w:hint="eastAsia" w:ascii="仿宋_GB2312" w:hAnsi="宋体" w:eastAsia="仿宋_GB2312"/>
          <w:sz w:val="32"/>
          <w:lang w:eastAsia="zh-CN"/>
        </w:rPr>
        <w:t>何某</w:t>
      </w:r>
      <w:r>
        <w:rPr>
          <w:rFonts w:hint="eastAsia" w:ascii="仿宋_GB2312" w:hAnsi="宋体" w:eastAsia="仿宋_GB2312"/>
          <w:sz w:val="32"/>
        </w:rPr>
        <w:t>的妻子把涉案的商位租给</w:t>
      </w:r>
      <w:r>
        <w:rPr>
          <w:rFonts w:hint="eastAsia" w:ascii="仿宋_GB2312" w:hAnsi="宋体" w:eastAsia="仿宋_GB2312"/>
          <w:sz w:val="32"/>
          <w:lang w:eastAsia="zh-CN"/>
        </w:rPr>
        <w:t>甲公司</w:t>
      </w:r>
      <w:r>
        <w:rPr>
          <w:rFonts w:hint="eastAsia" w:ascii="仿宋_GB2312" w:hAnsi="宋体" w:eastAsia="仿宋_GB2312"/>
          <w:sz w:val="32"/>
        </w:rPr>
        <w:t>法定代表人</w:t>
      </w:r>
      <w:r>
        <w:rPr>
          <w:rFonts w:hint="eastAsia" w:ascii="仿宋_GB2312" w:hAnsi="宋体" w:eastAsia="仿宋_GB2312"/>
          <w:sz w:val="32"/>
          <w:lang w:eastAsia="zh-CN"/>
        </w:rPr>
        <w:t>夏某</w:t>
      </w:r>
      <w:r>
        <w:rPr>
          <w:rFonts w:hint="eastAsia" w:ascii="仿宋_GB2312" w:hAnsi="宋体" w:eastAsia="仿宋_GB2312"/>
          <w:sz w:val="32"/>
        </w:rPr>
        <w:t>。</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2.转租商位双方协议书，证明由于疫情原因，商户延期三个月，涉案的商位是租给</w:t>
      </w:r>
      <w:r>
        <w:rPr>
          <w:rFonts w:hint="eastAsia" w:ascii="仿宋_GB2312" w:hAnsi="宋体" w:eastAsia="仿宋_GB2312"/>
          <w:sz w:val="32"/>
          <w:lang w:eastAsia="zh-CN"/>
        </w:rPr>
        <w:t>夏某</w:t>
      </w:r>
      <w:r>
        <w:rPr>
          <w:rFonts w:hint="eastAsia" w:ascii="仿宋_GB2312" w:hAnsi="宋体" w:eastAsia="仿宋_GB2312"/>
          <w:sz w:val="32"/>
        </w:rPr>
        <w:t>的事实。</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3.情况说明及结婚证各一份，证明</w:t>
      </w:r>
      <w:r>
        <w:rPr>
          <w:rFonts w:hint="eastAsia" w:ascii="仿宋_GB2312" w:hAnsi="宋体" w:eastAsia="仿宋_GB2312"/>
          <w:sz w:val="32"/>
          <w:lang w:eastAsia="zh-CN"/>
        </w:rPr>
        <w:t>刘乙</w:t>
      </w:r>
      <w:r>
        <w:rPr>
          <w:rFonts w:hint="eastAsia" w:ascii="仿宋_GB2312" w:hAnsi="宋体" w:eastAsia="仿宋_GB2312"/>
          <w:sz w:val="32"/>
        </w:rPr>
        <w:t>和刘</w:t>
      </w:r>
      <w:r>
        <w:rPr>
          <w:rFonts w:hint="eastAsia" w:ascii="仿宋_GB2312" w:hAnsi="宋体" w:eastAsia="仿宋_GB2312"/>
          <w:sz w:val="32"/>
          <w:lang w:eastAsia="zh-CN"/>
        </w:rPr>
        <w:t>丙</w:t>
      </w:r>
      <w:r>
        <w:rPr>
          <w:rFonts w:hint="eastAsia" w:ascii="仿宋_GB2312" w:hAnsi="宋体" w:eastAsia="仿宋_GB2312"/>
          <w:sz w:val="32"/>
        </w:rPr>
        <w:t>是一个人，系被告</w:t>
      </w:r>
      <w:r>
        <w:rPr>
          <w:rFonts w:hint="eastAsia" w:ascii="仿宋_GB2312" w:hAnsi="宋体" w:eastAsia="仿宋_GB2312"/>
          <w:sz w:val="32"/>
          <w:lang w:eastAsia="zh-CN"/>
        </w:rPr>
        <w:t>何某</w:t>
      </w:r>
      <w:r>
        <w:rPr>
          <w:rFonts w:hint="eastAsia" w:ascii="仿宋_GB2312" w:hAnsi="宋体" w:eastAsia="仿宋_GB2312"/>
          <w:sz w:val="32"/>
        </w:rPr>
        <w:t>的妻子。</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4.营业执照，证明涉案商位的经营者为被告</w:t>
      </w:r>
      <w:r>
        <w:rPr>
          <w:rFonts w:hint="eastAsia" w:ascii="仿宋_GB2312" w:hAnsi="宋体" w:eastAsia="仿宋_GB2312"/>
          <w:sz w:val="32"/>
          <w:lang w:eastAsia="zh-CN"/>
        </w:rPr>
        <w:t>何某</w:t>
      </w:r>
      <w:r>
        <w:rPr>
          <w:rFonts w:hint="eastAsia" w:ascii="仿宋_GB2312" w:hAnsi="宋体" w:eastAsia="仿宋_GB2312"/>
          <w:sz w:val="32"/>
        </w:rPr>
        <w:t>。</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对上述证据，原告质证认为，对证据1、2真实性无异议，对关联性及证明目的有异议，该证据无法确定合同具体的签订时间，也无法排除共同经营的可能。对证据3的真实性无异议。对证据4的真实性无异议，此证据可以证明</w:t>
      </w:r>
      <w:r>
        <w:rPr>
          <w:rFonts w:hint="eastAsia" w:ascii="仿宋_GB2312" w:hAnsi="宋体" w:eastAsia="仿宋_GB2312"/>
          <w:sz w:val="32"/>
          <w:lang w:eastAsia="zh-CN"/>
        </w:rPr>
        <w:t>何某</w:t>
      </w:r>
      <w:r>
        <w:rPr>
          <w:rFonts w:hint="eastAsia" w:ascii="仿宋_GB2312" w:hAnsi="宋体" w:eastAsia="仿宋_GB2312"/>
          <w:sz w:val="32"/>
        </w:rPr>
        <w:t>为涉案侵权商铺的经营者。被告</w:t>
      </w:r>
      <w:r>
        <w:rPr>
          <w:rFonts w:hint="eastAsia" w:ascii="仿宋_GB2312" w:hAnsi="宋体" w:eastAsia="仿宋_GB2312"/>
          <w:sz w:val="32"/>
          <w:lang w:eastAsia="zh-CN"/>
        </w:rPr>
        <w:t>甲公司</w:t>
      </w:r>
      <w:r>
        <w:rPr>
          <w:rFonts w:hint="eastAsia" w:ascii="仿宋_GB2312" w:hAnsi="宋体" w:eastAsia="仿宋_GB2312"/>
          <w:sz w:val="32"/>
        </w:rPr>
        <w:t>对上述证据没有意见。</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被告</w:t>
      </w:r>
      <w:r>
        <w:rPr>
          <w:rFonts w:hint="eastAsia" w:ascii="仿宋_GB2312" w:hAnsi="宋体" w:eastAsia="仿宋_GB2312"/>
          <w:sz w:val="32"/>
          <w:lang w:eastAsia="zh-CN"/>
        </w:rPr>
        <w:t>甲公司</w:t>
      </w:r>
      <w:r>
        <w:rPr>
          <w:rFonts w:hint="eastAsia" w:ascii="仿宋_GB2312" w:hAnsi="宋体" w:eastAsia="仿宋_GB2312"/>
          <w:sz w:val="32"/>
        </w:rPr>
        <w:t>向本院提供转租商位双方协议书一份，证明被告</w:t>
      </w:r>
      <w:r>
        <w:rPr>
          <w:rFonts w:hint="eastAsia" w:ascii="仿宋_GB2312" w:hAnsi="宋体" w:eastAsia="仿宋_GB2312"/>
          <w:sz w:val="32"/>
          <w:lang w:eastAsia="zh-CN"/>
        </w:rPr>
        <w:t>何某</w:t>
      </w:r>
      <w:r>
        <w:rPr>
          <w:rFonts w:hint="eastAsia" w:ascii="仿宋_GB2312" w:hAnsi="宋体" w:eastAsia="仿宋_GB2312"/>
          <w:sz w:val="32"/>
        </w:rPr>
        <w:t>将涉案的商位租赁给</w:t>
      </w:r>
      <w:r>
        <w:rPr>
          <w:rFonts w:hint="eastAsia" w:ascii="仿宋_GB2312" w:hAnsi="宋体" w:eastAsia="仿宋_GB2312"/>
          <w:sz w:val="32"/>
          <w:lang w:eastAsia="zh-CN"/>
        </w:rPr>
        <w:t>夏某</w:t>
      </w:r>
      <w:r>
        <w:rPr>
          <w:rFonts w:hint="eastAsia" w:ascii="仿宋_GB2312" w:hAnsi="宋体" w:eastAsia="仿宋_GB2312"/>
          <w:sz w:val="32"/>
        </w:rPr>
        <w:t>的事实。</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对该份证据，原告质证认为，对该证据的真实性无异议，对关联性及证明目的有异议，该证据无法确定合同具体的签订时间，也无法排除二被告共同经营的可能。被告</w:t>
      </w:r>
      <w:r>
        <w:rPr>
          <w:rFonts w:hint="eastAsia" w:ascii="仿宋_GB2312" w:hAnsi="宋体" w:eastAsia="仿宋_GB2312"/>
          <w:sz w:val="32"/>
          <w:lang w:eastAsia="zh-CN"/>
        </w:rPr>
        <w:t>何某</w:t>
      </w:r>
      <w:r>
        <w:rPr>
          <w:rFonts w:hint="eastAsia" w:ascii="仿宋_GB2312" w:hAnsi="宋体" w:eastAsia="仿宋_GB2312"/>
          <w:sz w:val="32"/>
        </w:rPr>
        <w:t>对该证据没有意见。</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对上述原、被告提供的证据，因双方对对方所提供证据的真实性均无异议，本院对上述原、被告提供证据的真实性均予以确认。</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本院经审理查明事实如下：2019年12月25日，</w:t>
      </w:r>
      <w:r>
        <w:rPr>
          <w:rFonts w:hint="eastAsia" w:ascii="仿宋_GB2312" w:hAnsi="宋体" w:eastAsia="仿宋_GB2312"/>
          <w:sz w:val="32"/>
          <w:lang w:eastAsia="zh-CN"/>
        </w:rPr>
        <w:t>吴某</w:t>
      </w:r>
      <w:r>
        <w:rPr>
          <w:rFonts w:hint="eastAsia" w:ascii="仿宋_GB2312" w:hAnsi="宋体" w:eastAsia="仿宋_GB2312"/>
          <w:sz w:val="32"/>
        </w:rPr>
        <w:t>向国家知识产权局申请了名为“宠物猫玩具（转转风车）”的外观设计专利，授权公告日为2020年6月23日，专利号</w:t>
      </w:r>
      <w:r>
        <w:rPr>
          <w:rFonts w:hint="eastAsia" w:ascii="仿宋_GB2312" w:hAnsi="宋体" w:eastAsia="仿宋_GB2312"/>
          <w:sz w:val="32"/>
          <w:lang w:eastAsia="zh-CN"/>
        </w:rPr>
        <w:t>ZL2019xxxx0359.4</w:t>
      </w:r>
      <w:r>
        <w:rPr>
          <w:rFonts w:hint="eastAsia" w:ascii="仿宋_GB2312" w:hAnsi="宋体" w:eastAsia="仿宋_GB2312"/>
          <w:sz w:val="32"/>
        </w:rPr>
        <w:t>，设计人</w:t>
      </w:r>
      <w:r>
        <w:rPr>
          <w:rFonts w:hint="eastAsia" w:ascii="仿宋_GB2312" w:hAnsi="宋体" w:eastAsia="仿宋_GB2312"/>
          <w:sz w:val="32"/>
          <w:lang w:eastAsia="zh-CN"/>
        </w:rPr>
        <w:t>吴某</w:t>
      </w:r>
      <w:r>
        <w:rPr>
          <w:rFonts w:hint="eastAsia" w:ascii="仿宋_GB2312" w:hAnsi="宋体" w:eastAsia="仿宋_GB2312"/>
          <w:sz w:val="32"/>
        </w:rPr>
        <w:t>，专利权人</w:t>
      </w:r>
      <w:r>
        <w:rPr>
          <w:rFonts w:hint="eastAsia" w:ascii="仿宋_GB2312" w:hAnsi="宋体" w:eastAsia="仿宋_GB2312"/>
          <w:sz w:val="32"/>
          <w:lang w:eastAsia="zh-CN"/>
        </w:rPr>
        <w:t>吴某</w:t>
      </w:r>
      <w:r>
        <w:rPr>
          <w:rFonts w:hint="eastAsia" w:ascii="仿宋_GB2312" w:hAnsi="宋体" w:eastAsia="仿宋_GB2312"/>
          <w:sz w:val="32"/>
        </w:rPr>
        <w:t>，该专利至今有效。简要说明记载：本外观设计产品用于供宠物猫玩耍，设计要点在于外观设计产品的形状，设计1立体图最能表明设计要点。国家知识产权局于2020年7月15日出具的外观设计专利评价报告显示，涉案专利全部外观设计未发现存在不符合授予专利权条件的缺陷。</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2022年1月4日，浙江</w:t>
      </w:r>
      <w:r>
        <w:rPr>
          <w:rFonts w:hint="eastAsia" w:ascii="仿宋_GB2312" w:hAnsi="宋体" w:eastAsia="仿宋_GB2312"/>
          <w:sz w:val="32"/>
          <w:lang w:eastAsia="zh-CN"/>
        </w:rPr>
        <w:t>某</w:t>
      </w:r>
      <w:r>
        <w:rPr>
          <w:rFonts w:hint="eastAsia" w:ascii="仿宋_GB2312" w:hAnsi="宋体" w:eastAsia="仿宋_GB2312"/>
          <w:sz w:val="32"/>
        </w:rPr>
        <w:t>科技有限公司的委托代理人郑</w:t>
      </w:r>
      <w:r>
        <w:rPr>
          <w:rFonts w:hint="eastAsia" w:ascii="仿宋_GB2312" w:hAnsi="宋体" w:eastAsia="仿宋_GB2312"/>
          <w:sz w:val="32"/>
          <w:lang w:eastAsia="zh-CN"/>
        </w:rPr>
        <w:t>某</w:t>
      </w:r>
      <w:r>
        <w:rPr>
          <w:rFonts w:hint="eastAsia" w:ascii="仿宋_GB2312" w:hAnsi="宋体" w:eastAsia="仿宋_GB2312"/>
          <w:sz w:val="32"/>
        </w:rPr>
        <w:t>向浙江省义乌市公证处申请保全证据公证。同日，该公证处公证员、工作人员跟随郑</w:t>
      </w:r>
      <w:r>
        <w:rPr>
          <w:rFonts w:hint="eastAsia" w:ascii="仿宋_GB2312" w:hAnsi="宋体" w:eastAsia="仿宋_GB2312"/>
          <w:sz w:val="32"/>
          <w:lang w:eastAsia="zh-CN"/>
        </w:rPr>
        <w:t>某</w:t>
      </w:r>
      <w:r>
        <w:rPr>
          <w:rFonts w:hint="eastAsia" w:ascii="仿宋_GB2312" w:hAnsi="宋体" w:eastAsia="仿宋_GB2312"/>
          <w:sz w:val="32"/>
        </w:rPr>
        <w:t>至义乌市国际商贸城</w:t>
      </w:r>
      <w:r>
        <w:rPr>
          <w:rFonts w:hint="eastAsia" w:ascii="仿宋_GB2312" w:hAnsi="宋体" w:eastAsia="仿宋_GB2312"/>
          <w:sz w:val="32"/>
          <w:lang w:val="en-US" w:eastAsia="zh-CN"/>
        </w:rPr>
        <w:t>xx</w:t>
      </w:r>
      <w:r>
        <w:rPr>
          <w:rFonts w:hint="eastAsia" w:ascii="仿宋_GB2312" w:hAnsi="宋体" w:eastAsia="仿宋_GB2312"/>
          <w:sz w:val="32"/>
        </w:rPr>
        <w:t>商位（店面上方有“</w:t>
      </w:r>
      <w:r>
        <w:rPr>
          <w:rFonts w:hint="eastAsia" w:ascii="仿宋_GB2312" w:hAnsi="宋体" w:eastAsia="仿宋_GB2312"/>
          <w:sz w:val="32"/>
          <w:lang w:eastAsia="zh-CN"/>
        </w:rPr>
        <w:t>某某</w:t>
      </w:r>
      <w:r>
        <w:rPr>
          <w:rFonts w:hint="eastAsia" w:ascii="仿宋_GB2312" w:hAnsi="宋体" w:eastAsia="仿宋_GB2312"/>
          <w:sz w:val="32"/>
        </w:rPr>
        <w:t>宠物用品”等字样），对郑伟购买被诉侵权产品的过程进行监督并拍照。郑</w:t>
      </w:r>
      <w:r>
        <w:rPr>
          <w:rFonts w:hint="eastAsia" w:ascii="仿宋_GB2312" w:hAnsi="宋体" w:eastAsia="仿宋_GB2312"/>
          <w:sz w:val="32"/>
          <w:lang w:eastAsia="zh-CN"/>
        </w:rPr>
        <w:t>某</w:t>
      </w:r>
      <w:r>
        <w:rPr>
          <w:rFonts w:hint="eastAsia" w:ascii="仿宋_GB2312" w:hAnsi="宋体" w:eastAsia="仿宋_GB2312"/>
          <w:sz w:val="32"/>
        </w:rPr>
        <w:t>持一张编号为NO7373658的单据和“</w:t>
      </w:r>
      <w:r>
        <w:rPr>
          <w:rFonts w:hint="eastAsia" w:ascii="仿宋_GB2312" w:hAnsi="宋体" w:eastAsia="仿宋_GB2312"/>
          <w:sz w:val="32"/>
          <w:lang w:eastAsia="zh-CN"/>
        </w:rPr>
        <w:t>夏某</w:t>
      </w:r>
      <w:r>
        <w:rPr>
          <w:rFonts w:hint="eastAsia" w:ascii="仿宋_GB2312" w:hAnsi="宋体" w:eastAsia="仿宋_GB2312"/>
          <w:sz w:val="32"/>
        </w:rPr>
        <w:t>叶</w:t>
      </w:r>
      <w:r>
        <w:rPr>
          <w:rFonts w:hint="eastAsia" w:ascii="仿宋_GB2312" w:hAnsi="宋体" w:eastAsia="仿宋_GB2312"/>
          <w:sz w:val="32"/>
          <w:lang w:eastAsia="zh-CN"/>
        </w:rPr>
        <w:t>某</w:t>
      </w:r>
      <w:r>
        <w:rPr>
          <w:rFonts w:hint="eastAsia" w:ascii="仿宋_GB2312" w:hAnsi="宋体" w:eastAsia="仿宋_GB2312"/>
          <w:sz w:val="32"/>
        </w:rPr>
        <w:t>”的名片向该商位内的工作人员要求提货，该工作人员核对提货人信息后，将放置在该商位内的一箱货物交给郑</w:t>
      </w:r>
      <w:r>
        <w:rPr>
          <w:rFonts w:hint="eastAsia" w:ascii="仿宋_GB2312" w:hAnsi="宋体" w:eastAsia="仿宋_GB2312"/>
          <w:sz w:val="32"/>
          <w:lang w:eastAsia="zh-CN"/>
        </w:rPr>
        <w:t>某</w:t>
      </w:r>
      <w:r>
        <w:rPr>
          <w:rFonts w:hint="eastAsia" w:ascii="仿宋_GB2312" w:hAnsi="宋体" w:eastAsia="仿宋_GB2312"/>
          <w:sz w:val="32"/>
        </w:rPr>
        <w:t>，并在上述单据上注明“货已提”字样。根据NO7373658的单据载明,郑</w:t>
      </w:r>
      <w:r>
        <w:rPr>
          <w:rFonts w:hint="eastAsia" w:ascii="仿宋_GB2312" w:hAnsi="宋体" w:eastAsia="仿宋_GB2312"/>
          <w:sz w:val="32"/>
          <w:lang w:eastAsia="zh-CN"/>
        </w:rPr>
        <w:t>某</w:t>
      </w:r>
      <w:r>
        <w:rPr>
          <w:rFonts w:hint="eastAsia" w:ascii="仿宋_GB2312" w:hAnsi="宋体" w:eastAsia="仿宋_GB2312"/>
          <w:sz w:val="32"/>
        </w:rPr>
        <w:t>所买的物品名称为“风车转转”，箱数为1箱，每箱数量为100个，单价为6.5元，金额为650元。后郑</w:t>
      </w:r>
      <w:r>
        <w:rPr>
          <w:rFonts w:hint="eastAsia" w:ascii="仿宋_GB2312" w:hAnsi="宋体" w:eastAsia="仿宋_GB2312"/>
          <w:sz w:val="32"/>
          <w:lang w:eastAsia="zh-CN"/>
        </w:rPr>
        <w:t>某</w:t>
      </w:r>
      <w:r>
        <w:rPr>
          <w:rFonts w:hint="eastAsia" w:ascii="仿宋_GB2312" w:hAnsi="宋体" w:eastAsia="仿宋_GB2312"/>
          <w:sz w:val="32"/>
        </w:rPr>
        <w:t>在提货现场附近从上述货物中抽取一个“玩具”，并将抽取的玩具及上述单据和名片交给公证员及工作人员带回公证处进行封存。公证员及公证处工作人员对上述过程进行了监督和拍摄。</w:t>
      </w:r>
      <w:r>
        <w:rPr>
          <w:rFonts w:hint="eastAsia" w:ascii="仿宋_GB2312" w:hAnsi="宋体" w:eastAsia="仿宋_GB2312"/>
          <w:sz w:val="32"/>
          <w:lang w:eastAsia="zh-CN"/>
        </w:rPr>
        <w:t>吴某</w:t>
      </w:r>
      <w:r>
        <w:rPr>
          <w:rFonts w:hint="eastAsia" w:ascii="仿宋_GB2312" w:hAnsi="宋体" w:eastAsia="仿宋_GB2312"/>
          <w:sz w:val="32"/>
        </w:rPr>
        <w:t>为本案诉讼支付了公证费人民币1500元，购买被控侵权产品费用人民币650元。</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上述公证购买的实物，经庭审出示、比对，被诉侵权产品设计与案涉专利均由三部分构成：第一部分为顶部刺状的半圆形盖子；第二部分为三个相同圆形等分连接的长柄，两侧圆形中间有顶部四叶草镂空状的球体镶嵌，中间圆形连接上下两个部分；第三部分为圆形吸盘，上半部分为挑高的圆柱形，下半部分的吸盘边缘两侧各有一个小猫耳，底部呈现同心圆，向中心陷入。三部分依次连接形成一个整体。二者的区别点在于：从涉案专利设计1立体图看，其中一侧有四颗星星图案，从专利设计1后视图看，另一侧有三颗星星图案，而被诉侵权产品设计前后各有三颗星星图案。原告认为被诉侵权设计与涉案授权外观专利设计完全一致，构成相同。被告</w:t>
      </w:r>
      <w:r>
        <w:rPr>
          <w:rFonts w:hint="eastAsia" w:ascii="仿宋_GB2312" w:hAnsi="宋体" w:eastAsia="仿宋_GB2312"/>
          <w:sz w:val="32"/>
          <w:lang w:eastAsia="zh-CN"/>
        </w:rPr>
        <w:t>甲公司</w:t>
      </w:r>
      <w:r>
        <w:rPr>
          <w:rFonts w:hint="eastAsia" w:ascii="仿宋_GB2312" w:hAnsi="宋体" w:eastAsia="仿宋_GB2312"/>
          <w:sz w:val="32"/>
        </w:rPr>
        <w:t>、</w:t>
      </w:r>
      <w:r>
        <w:rPr>
          <w:rFonts w:hint="eastAsia" w:ascii="仿宋_GB2312" w:hAnsi="宋体" w:eastAsia="仿宋_GB2312"/>
          <w:sz w:val="32"/>
          <w:lang w:eastAsia="zh-CN"/>
        </w:rPr>
        <w:t>何某</w:t>
      </w:r>
      <w:r>
        <w:rPr>
          <w:rFonts w:hint="eastAsia" w:ascii="仿宋_GB2312" w:hAnsi="宋体" w:eastAsia="仿宋_GB2312"/>
          <w:sz w:val="32"/>
        </w:rPr>
        <w:t>认为被诉侵权设计与授权外观设计构成相似，认为被诉侵权产品设计顶部与涉案专利存在不同。</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另查明，被告</w:t>
      </w:r>
      <w:r>
        <w:rPr>
          <w:rFonts w:hint="eastAsia" w:ascii="仿宋_GB2312" w:hAnsi="宋体" w:eastAsia="仿宋_GB2312"/>
          <w:sz w:val="32"/>
          <w:lang w:eastAsia="zh-CN"/>
        </w:rPr>
        <w:t>何某</w:t>
      </w:r>
      <w:r>
        <w:rPr>
          <w:rFonts w:hint="eastAsia" w:ascii="仿宋_GB2312" w:hAnsi="宋体" w:eastAsia="仿宋_GB2312"/>
          <w:sz w:val="32"/>
        </w:rPr>
        <w:t>系义乌市国际商贸城</w:t>
      </w:r>
      <w:r>
        <w:rPr>
          <w:rFonts w:hint="eastAsia" w:ascii="仿宋_GB2312" w:hAnsi="宋体" w:eastAsia="仿宋_GB2312"/>
          <w:sz w:val="32"/>
          <w:lang w:val="en-US" w:eastAsia="zh-CN"/>
        </w:rPr>
        <w:t>xx</w:t>
      </w:r>
      <w:r>
        <w:rPr>
          <w:rFonts w:hint="eastAsia" w:ascii="仿宋_GB2312" w:hAnsi="宋体" w:eastAsia="仿宋_GB2312"/>
          <w:sz w:val="32"/>
        </w:rPr>
        <w:t>商位的经营者。2021年6月3日，由</w:t>
      </w:r>
      <w:r>
        <w:rPr>
          <w:rFonts w:hint="eastAsia" w:ascii="仿宋_GB2312" w:hAnsi="宋体" w:eastAsia="仿宋_GB2312"/>
          <w:sz w:val="32"/>
          <w:lang w:eastAsia="zh-CN"/>
        </w:rPr>
        <w:t>何某</w:t>
      </w:r>
      <w:r>
        <w:rPr>
          <w:rFonts w:hint="eastAsia" w:ascii="仿宋_GB2312" w:hAnsi="宋体" w:eastAsia="仿宋_GB2312"/>
          <w:sz w:val="32"/>
        </w:rPr>
        <w:t>妻子</w:t>
      </w:r>
      <w:r>
        <w:rPr>
          <w:rFonts w:hint="eastAsia" w:ascii="仿宋_GB2312" w:hAnsi="宋体" w:eastAsia="仿宋_GB2312"/>
          <w:sz w:val="32"/>
          <w:lang w:eastAsia="zh-CN"/>
        </w:rPr>
        <w:t>刘丙</w:t>
      </w:r>
      <w:r>
        <w:rPr>
          <w:rFonts w:hint="eastAsia" w:ascii="仿宋_GB2312" w:hAnsi="宋体" w:eastAsia="仿宋_GB2312"/>
          <w:sz w:val="32"/>
        </w:rPr>
        <w:t>将上述商位出租给了</w:t>
      </w:r>
      <w:r>
        <w:rPr>
          <w:rFonts w:hint="eastAsia" w:ascii="仿宋_GB2312" w:hAnsi="宋体" w:eastAsia="仿宋_GB2312"/>
          <w:sz w:val="32"/>
          <w:lang w:eastAsia="zh-CN"/>
        </w:rPr>
        <w:t>甲公司</w:t>
      </w:r>
      <w:r>
        <w:rPr>
          <w:rFonts w:hint="eastAsia" w:ascii="仿宋_GB2312" w:hAnsi="宋体" w:eastAsia="仿宋_GB2312"/>
          <w:sz w:val="32"/>
        </w:rPr>
        <w:t>法定代表人</w:t>
      </w:r>
      <w:r>
        <w:rPr>
          <w:rFonts w:hint="eastAsia" w:ascii="仿宋_GB2312" w:hAnsi="宋体" w:eastAsia="仿宋_GB2312"/>
          <w:sz w:val="32"/>
          <w:lang w:eastAsia="zh-CN"/>
        </w:rPr>
        <w:t>夏某</w:t>
      </w:r>
      <w:r>
        <w:rPr>
          <w:rFonts w:hint="eastAsia" w:ascii="仿宋_GB2312" w:hAnsi="宋体" w:eastAsia="仿宋_GB2312"/>
          <w:sz w:val="32"/>
        </w:rPr>
        <w:t>实际经营，租赁合同中约定了租金75000元，租期为2021年6月3日至2022年6月3日，税和电费为承租方承担，空调费为出租方和承租方一人一半的内容。2022年6月1日，</w:t>
      </w:r>
      <w:r>
        <w:rPr>
          <w:rFonts w:hint="eastAsia" w:ascii="仿宋_GB2312" w:hAnsi="宋体" w:eastAsia="仿宋_GB2312"/>
          <w:sz w:val="32"/>
          <w:lang w:eastAsia="zh-CN"/>
        </w:rPr>
        <w:t>何某</w:t>
      </w:r>
      <w:r>
        <w:rPr>
          <w:rFonts w:hint="eastAsia" w:ascii="仿宋_GB2312" w:hAnsi="宋体" w:eastAsia="仿宋_GB2312"/>
          <w:sz w:val="32"/>
        </w:rPr>
        <w:t>与</w:t>
      </w:r>
      <w:r>
        <w:rPr>
          <w:rFonts w:hint="eastAsia" w:ascii="仿宋_GB2312" w:hAnsi="宋体" w:eastAsia="仿宋_GB2312"/>
          <w:sz w:val="32"/>
          <w:lang w:eastAsia="zh-CN"/>
        </w:rPr>
        <w:t>夏某</w:t>
      </w:r>
      <w:r>
        <w:rPr>
          <w:rFonts w:hint="eastAsia" w:ascii="仿宋_GB2312" w:hAnsi="宋体" w:eastAsia="仿宋_GB2312"/>
          <w:sz w:val="32"/>
        </w:rPr>
        <w:t>又就上述商位签订了协议书，约定了</w:t>
      </w:r>
      <w:r>
        <w:rPr>
          <w:rFonts w:hint="eastAsia" w:ascii="仿宋_GB2312" w:hAnsi="宋体" w:eastAsia="仿宋_GB2312"/>
          <w:sz w:val="32"/>
          <w:lang w:eastAsia="zh-CN"/>
        </w:rPr>
        <w:t>何某</w:t>
      </w:r>
      <w:r>
        <w:rPr>
          <w:rFonts w:hint="eastAsia" w:ascii="仿宋_GB2312" w:hAnsi="宋体" w:eastAsia="仿宋_GB2312"/>
          <w:sz w:val="32"/>
        </w:rPr>
        <w:t>同意将租金减免政策全部落实至承租人</w:t>
      </w:r>
      <w:r>
        <w:rPr>
          <w:rFonts w:hint="eastAsia" w:ascii="仿宋_GB2312" w:hAnsi="宋体" w:eastAsia="仿宋_GB2312"/>
          <w:sz w:val="32"/>
          <w:lang w:eastAsia="zh-CN"/>
        </w:rPr>
        <w:t>夏某</w:t>
      </w:r>
      <w:r>
        <w:rPr>
          <w:rFonts w:hint="eastAsia" w:ascii="仿宋_GB2312" w:hAnsi="宋体" w:eastAsia="仿宋_GB2312"/>
          <w:sz w:val="32"/>
        </w:rPr>
        <w:t>等内容。</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同时查明，原告</w:t>
      </w:r>
      <w:r>
        <w:rPr>
          <w:rFonts w:hint="eastAsia" w:ascii="仿宋_GB2312" w:hAnsi="宋体" w:eastAsia="仿宋_GB2312"/>
          <w:sz w:val="32"/>
          <w:lang w:eastAsia="zh-CN"/>
        </w:rPr>
        <w:t>吴某</w:t>
      </w:r>
      <w:r>
        <w:rPr>
          <w:rFonts w:hint="eastAsia" w:ascii="仿宋_GB2312" w:hAnsi="宋体" w:eastAsia="仿宋_GB2312"/>
          <w:sz w:val="32"/>
        </w:rPr>
        <w:t>自2019年7月4日起将其名下的专利产品包括案涉的转转风车猫玩具授权给</w:t>
      </w:r>
      <w:r>
        <w:rPr>
          <w:rFonts w:hint="eastAsia" w:ascii="仿宋_GB2312" w:hAnsi="宋体" w:eastAsia="仿宋_GB2312"/>
          <w:sz w:val="32"/>
          <w:lang w:eastAsia="zh-CN"/>
        </w:rPr>
        <w:t>山东某宠物用品有限公司</w:t>
      </w:r>
      <w:r>
        <w:rPr>
          <w:rFonts w:hint="eastAsia" w:ascii="仿宋_GB2312" w:hAnsi="宋体" w:eastAsia="仿宋_GB2312"/>
          <w:sz w:val="32"/>
        </w:rPr>
        <w:t>生产、销售及推广工作。另，原告</w:t>
      </w:r>
      <w:r>
        <w:rPr>
          <w:rFonts w:hint="eastAsia" w:ascii="仿宋_GB2312" w:hAnsi="宋体" w:eastAsia="仿宋_GB2312"/>
          <w:sz w:val="32"/>
          <w:lang w:eastAsia="zh-CN"/>
        </w:rPr>
        <w:t>吴某</w:t>
      </w:r>
      <w:r>
        <w:rPr>
          <w:rFonts w:hint="eastAsia" w:ascii="仿宋_GB2312" w:hAnsi="宋体" w:eastAsia="仿宋_GB2312"/>
          <w:sz w:val="32"/>
        </w:rPr>
        <w:t>确认，其同时针对在被告的住所地区域（义乌市内）不同的销售商，向本院提起19件包括本案专利在内的外观设计专利侵权诉讼。</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本院认为，</w:t>
      </w:r>
      <w:r>
        <w:rPr>
          <w:rFonts w:hint="eastAsia" w:ascii="仿宋_GB2312" w:hAnsi="宋体" w:eastAsia="仿宋_GB2312"/>
          <w:sz w:val="32"/>
          <w:lang w:eastAsia="zh-CN"/>
        </w:rPr>
        <w:t>吴某</w:t>
      </w:r>
      <w:r>
        <w:rPr>
          <w:rFonts w:hint="eastAsia" w:ascii="仿宋_GB2312" w:hAnsi="宋体" w:eastAsia="仿宋_GB2312"/>
          <w:sz w:val="32"/>
        </w:rPr>
        <w:t>是专利号</w:t>
      </w:r>
      <w:r>
        <w:rPr>
          <w:rFonts w:hint="eastAsia" w:ascii="仿宋_GB2312" w:hAnsi="宋体" w:eastAsia="仿宋_GB2312"/>
          <w:sz w:val="32"/>
          <w:lang w:eastAsia="zh-CN"/>
        </w:rPr>
        <w:t>ZL2019xxxx0359.4</w:t>
      </w:r>
      <w:r>
        <w:rPr>
          <w:rFonts w:hint="eastAsia" w:ascii="仿宋_GB2312" w:hAnsi="宋体" w:eastAsia="仿宋_GB2312"/>
          <w:sz w:val="32"/>
        </w:rPr>
        <w:t>，名称为“宠物猫玩具（转转风车）”的外观设计专利权人，其专利权应受法律保护。本案的争议焦点为：一、被诉侵权设计与涉案授权外观设计相同还是近似，被诉侵权设计是否落入涉案外观设计专利权的保护范围；二、若侵权成立，</w:t>
      </w:r>
      <w:r>
        <w:rPr>
          <w:rFonts w:hint="eastAsia" w:ascii="仿宋_GB2312" w:hAnsi="宋体" w:eastAsia="仿宋_GB2312"/>
          <w:sz w:val="32"/>
          <w:lang w:eastAsia="zh-CN"/>
        </w:rPr>
        <w:t>何某</w:t>
      </w:r>
      <w:r>
        <w:rPr>
          <w:rFonts w:hint="eastAsia" w:ascii="仿宋_GB2312" w:hAnsi="宋体" w:eastAsia="仿宋_GB2312"/>
          <w:sz w:val="32"/>
        </w:rPr>
        <w:t>、</w:t>
      </w:r>
      <w:r>
        <w:rPr>
          <w:rFonts w:hint="eastAsia" w:ascii="仿宋_GB2312" w:hAnsi="宋体" w:eastAsia="仿宋_GB2312"/>
          <w:sz w:val="32"/>
          <w:lang w:eastAsia="zh-CN"/>
        </w:rPr>
        <w:t>甲公司</w:t>
      </w:r>
      <w:r>
        <w:rPr>
          <w:rFonts w:hint="eastAsia" w:ascii="仿宋_GB2312" w:hAnsi="宋体" w:eastAsia="仿宋_GB2312"/>
          <w:sz w:val="32"/>
        </w:rPr>
        <w:t>应承担何种责任。三、若侵权成立，赔偿数额为多少。</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关于争议焦点一，《中华人民共和国专利法》第六十四条第二款规定，外观设计专利权的保护范围以表示在图片或者照片中的该产品的外观设计为准，简要说明可以用于解释图片或者照片所表示的该产品的外观设计。《最高人民法院关于审理侵犯专利权纠纷案件应用法律若干问题的解释》第十一条第三款规定：“被诉侵权设计与授权外观设计在整体视觉效果上无差异的，人民法院应当认定两者相同；在整体视觉效果上无实质性差异的，应当认定两者近似。”本案中，被诉侵权设计产品与涉案外观设计专利产品均为宠物猫玩具，属于相同种类的产品。被诉侵权设计与涉案专利均由顶部半圆形刺状盖子、三个相同圆形连接的长柄及底座构成，除了从涉案专利设计1立体图看，其中一侧有四颗星星图案，从专利设计1后视图看，另一侧有三颗星星图案，而被诉侵权产品设计前后各有三颗星星图案外，其余并无不同。被告认为被诉侵权产品的顶部与涉案专利存在不同的意见，并不能成立。上述区别对产品整体视觉效果上并无实质性差异，应当认定被诉侵权产品设计落入涉案专利权的保护范围。</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关于争议焦点二，被告</w:t>
      </w:r>
      <w:r>
        <w:rPr>
          <w:rFonts w:hint="eastAsia" w:ascii="仿宋_GB2312" w:hAnsi="宋体" w:eastAsia="仿宋_GB2312"/>
          <w:sz w:val="32"/>
          <w:lang w:eastAsia="zh-CN"/>
        </w:rPr>
        <w:t>何某</w:t>
      </w:r>
      <w:r>
        <w:rPr>
          <w:rFonts w:hint="eastAsia" w:ascii="仿宋_GB2312" w:hAnsi="宋体" w:eastAsia="仿宋_GB2312"/>
          <w:sz w:val="32"/>
        </w:rPr>
        <w:t>、</w:t>
      </w:r>
      <w:r>
        <w:rPr>
          <w:rFonts w:hint="eastAsia" w:ascii="仿宋_GB2312" w:hAnsi="宋体" w:eastAsia="仿宋_GB2312"/>
          <w:sz w:val="32"/>
          <w:lang w:eastAsia="zh-CN"/>
        </w:rPr>
        <w:t>甲公司</w:t>
      </w:r>
      <w:r>
        <w:rPr>
          <w:rFonts w:hint="eastAsia" w:ascii="仿宋_GB2312" w:hAnsi="宋体" w:eastAsia="仿宋_GB2312"/>
          <w:sz w:val="32"/>
        </w:rPr>
        <w:t>应承担何种责任。《中华人民共和国专利法》第十一条第二款规定，外观设计专利权被授予后，任何单位或者个人未经专利权人许可，都不得实施其专利，即不得为生产经营目的制造、许诺销售、销售、进口其外观设计专利产品。庭审中</w:t>
      </w:r>
      <w:r>
        <w:rPr>
          <w:rFonts w:hint="eastAsia" w:ascii="仿宋_GB2312" w:hAnsi="宋体" w:eastAsia="仿宋_GB2312"/>
          <w:sz w:val="32"/>
          <w:lang w:eastAsia="zh-CN"/>
        </w:rPr>
        <w:t>甲公司</w:t>
      </w:r>
      <w:r>
        <w:rPr>
          <w:rFonts w:hint="eastAsia" w:ascii="仿宋_GB2312" w:hAnsi="宋体" w:eastAsia="仿宋_GB2312"/>
          <w:sz w:val="32"/>
        </w:rPr>
        <w:t>对其实施了销售涉案侵权产品的行为也予以确认，其应承担相应的侵权责任。至于原告提出的销毁现存侵权产品、半成品,销毁产品模具的诉讼请求，因原告庭审中明确只主张销售行为，且未提出证据证明被告尚有库存产品、半成品，故对该诉讼请求，本院不予支持。对于被告</w:t>
      </w:r>
      <w:r>
        <w:rPr>
          <w:rFonts w:hint="eastAsia" w:ascii="仿宋_GB2312" w:hAnsi="宋体" w:eastAsia="仿宋_GB2312"/>
          <w:sz w:val="32"/>
          <w:lang w:eastAsia="zh-CN"/>
        </w:rPr>
        <w:t>何某</w:t>
      </w:r>
      <w:r>
        <w:rPr>
          <w:rFonts w:hint="eastAsia" w:ascii="仿宋_GB2312" w:hAnsi="宋体" w:eastAsia="仿宋_GB2312"/>
          <w:sz w:val="32"/>
        </w:rPr>
        <w:t>是否要承担侵权责任，因其与</w:t>
      </w:r>
      <w:r>
        <w:rPr>
          <w:rFonts w:hint="eastAsia" w:ascii="仿宋_GB2312" w:hAnsi="宋体" w:eastAsia="仿宋_GB2312"/>
          <w:sz w:val="32"/>
          <w:lang w:eastAsia="zh-CN"/>
        </w:rPr>
        <w:t>甲公司</w:t>
      </w:r>
      <w:r>
        <w:rPr>
          <w:rFonts w:hint="eastAsia" w:ascii="仿宋_GB2312" w:hAnsi="宋体" w:eastAsia="仿宋_GB2312"/>
          <w:sz w:val="32"/>
        </w:rPr>
        <w:t>的法定代表人</w:t>
      </w:r>
      <w:r>
        <w:rPr>
          <w:rFonts w:hint="eastAsia" w:ascii="仿宋_GB2312" w:hAnsi="宋体" w:eastAsia="仿宋_GB2312"/>
          <w:sz w:val="32"/>
          <w:lang w:eastAsia="zh-CN"/>
        </w:rPr>
        <w:t>夏某</w:t>
      </w:r>
      <w:r>
        <w:rPr>
          <w:rFonts w:hint="eastAsia" w:ascii="仿宋_GB2312" w:hAnsi="宋体" w:eastAsia="仿宋_GB2312"/>
          <w:sz w:val="32"/>
        </w:rPr>
        <w:t>之间系涉案商位租赁关系，庭审中也查明</w:t>
      </w:r>
      <w:r>
        <w:rPr>
          <w:rFonts w:hint="eastAsia" w:ascii="仿宋_GB2312" w:hAnsi="宋体" w:eastAsia="仿宋_GB2312"/>
          <w:sz w:val="32"/>
          <w:lang w:eastAsia="zh-CN"/>
        </w:rPr>
        <w:t>甲公司</w:t>
      </w:r>
      <w:r>
        <w:rPr>
          <w:rFonts w:hint="eastAsia" w:ascii="仿宋_GB2312" w:hAnsi="宋体" w:eastAsia="仿宋_GB2312"/>
          <w:sz w:val="32"/>
        </w:rPr>
        <w:t>同时销售其他产品，原告亦未提供证据证明</w:t>
      </w:r>
      <w:r>
        <w:rPr>
          <w:rFonts w:hint="eastAsia" w:ascii="仿宋_GB2312" w:hAnsi="宋体" w:eastAsia="仿宋_GB2312"/>
          <w:sz w:val="32"/>
          <w:lang w:eastAsia="zh-CN"/>
        </w:rPr>
        <w:t>何某</w:t>
      </w:r>
      <w:r>
        <w:rPr>
          <w:rFonts w:hint="eastAsia" w:ascii="仿宋_GB2312" w:hAnsi="宋体" w:eastAsia="仿宋_GB2312"/>
          <w:sz w:val="32"/>
        </w:rPr>
        <w:t>知道或应当知道</w:t>
      </w:r>
      <w:r>
        <w:rPr>
          <w:rFonts w:hint="eastAsia" w:ascii="仿宋_GB2312" w:hAnsi="宋体" w:eastAsia="仿宋_GB2312"/>
          <w:sz w:val="32"/>
          <w:lang w:eastAsia="zh-CN"/>
        </w:rPr>
        <w:t>甲公司</w:t>
      </w:r>
      <w:r>
        <w:rPr>
          <w:rFonts w:hint="eastAsia" w:ascii="仿宋_GB2312" w:hAnsi="宋体" w:eastAsia="仿宋_GB2312"/>
          <w:sz w:val="32"/>
        </w:rPr>
        <w:t>销售被诉侵权产品，从现有证据难以认定被告</w:t>
      </w:r>
      <w:r>
        <w:rPr>
          <w:rFonts w:hint="eastAsia" w:ascii="仿宋_GB2312" w:hAnsi="宋体" w:eastAsia="仿宋_GB2312"/>
          <w:sz w:val="32"/>
          <w:lang w:eastAsia="zh-CN"/>
        </w:rPr>
        <w:t>何某</w:t>
      </w:r>
      <w:r>
        <w:rPr>
          <w:rFonts w:hint="eastAsia" w:ascii="仿宋_GB2312" w:hAnsi="宋体" w:eastAsia="仿宋_GB2312"/>
          <w:sz w:val="32"/>
        </w:rPr>
        <w:t>与</w:t>
      </w:r>
      <w:r>
        <w:rPr>
          <w:rFonts w:hint="eastAsia" w:ascii="仿宋_GB2312" w:hAnsi="宋体" w:eastAsia="仿宋_GB2312"/>
          <w:sz w:val="32"/>
          <w:lang w:eastAsia="zh-CN"/>
        </w:rPr>
        <w:t>甲公司</w:t>
      </w:r>
      <w:r>
        <w:rPr>
          <w:rFonts w:hint="eastAsia" w:ascii="仿宋_GB2312" w:hAnsi="宋体" w:eastAsia="仿宋_GB2312"/>
          <w:sz w:val="32"/>
        </w:rPr>
        <w:t>存在共同侵权的故意，故对原告要求被告</w:t>
      </w:r>
      <w:r>
        <w:rPr>
          <w:rFonts w:hint="eastAsia" w:ascii="仿宋_GB2312" w:hAnsi="宋体" w:eastAsia="仿宋_GB2312"/>
          <w:sz w:val="32"/>
          <w:lang w:eastAsia="zh-CN"/>
        </w:rPr>
        <w:t>何某</w:t>
      </w:r>
      <w:r>
        <w:rPr>
          <w:rFonts w:hint="eastAsia" w:ascii="仿宋_GB2312" w:hAnsi="宋体" w:eastAsia="仿宋_GB2312"/>
          <w:sz w:val="32"/>
        </w:rPr>
        <w:t>承担侵权责任的诉请，本院不予支持。</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关于争议焦点三，对被告</w:t>
      </w:r>
      <w:r>
        <w:rPr>
          <w:rFonts w:hint="eastAsia" w:ascii="仿宋_GB2312" w:hAnsi="宋体" w:eastAsia="仿宋_GB2312"/>
          <w:sz w:val="32"/>
          <w:lang w:eastAsia="zh-CN"/>
        </w:rPr>
        <w:t>甲公司</w:t>
      </w:r>
      <w:r>
        <w:rPr>
          <w:rFonts w:hint="eastAsia" w:ascii="仿宋_GB2312" w:hAnsi="宋体" w:eastAsia="仿宋_GB2312"/>
          <w:sz w:val="32"/>
        </w:rPr>
        <w:t>应承担的侵权赔偿数额。根据《中华人民共和国专利法》七十一条的规定，</w:t>
      </w:r>
      <w:r>
        <w:rPr>
          <w:rFonts w:ascii="仿宋_GB2312" w:hAnsi="宋体" w:eastAsia="仿宋_GB2312"/>
          <w:sz w:val="32"/>
        </w:rPr>
        <w:t>侵犯专利权的赔偿数额计算方式应按先后顺序予以适用,而不能由权利人随意选择适用。本案中,</w:t>
      </w:r>
      <w:r>
        <w:rPr>
          <w:rFonts w:hint="eastAsia" w:ascii="仿宋_GB2312" w:hAnsi="宋体" w:eastAsia="仿宋_GB2312"/>
          <w:sz w:val="32"/>
        </w:rPr>
        <w:t>原告</w:t>
      </w:r>
      <w:r>
        <w:rPr>
          <w:rFonts w:ascii="仿宋_GB2312" w:hAnsi="宋体" w:eastAsia="仿宋_GB2312"/>
          <w:sz w:val="32"/>
        </w:rPr>
        <w:t>并未举证证明其因被侵权所受到的损失,而要求适用法定赔偿方式确定</w:t>
      </w:r>
      <w:r>
        <w:rPr>
          <w:rFonts w:hint="eastAsia" w:ascii="仿宋_GB2312" w:hAnsi="宋体" w:eastAsia="仿宋_GB2312"/>
          <w:sz w:val="32"/>
        </w:rPr>
        <w:t>被告</w:t>
      </w:r>
      <w:r>
        <w:rPr>
          <w:rFonts w:ascii="仿宋_GB2312" w:hAnsi="宋体" w:eastAsia="仿宋_GB2312"/>
          <w:sz w:val="32"/>
        </w:rPr>
        <w:t>应承担的赔偿数额</w:t>
      </w:r>
      <w:r>
        <w:rPr>
          <w:rFonts w:hint="eastAsia" w:ascii="仿宋_GB2312" w:hAnsi="宋体" w:eastAsia="仿宋_GB2312"/>
          <w:sz w:val="32"/>
        </w:rPr>
        <w:t>。但从本案查</w:t>
      </w:r>
      <w:bookmarkStart w:id="0" w:name="_GoBack"/>
      <w:bookmarkEnd w:id="0"/>
      <w:r>
        <w:rPr>
          <w:rFonts w:hint="eastAsia" w:ascii="仿宋_GB2312" w:hAnsi="宋体" w:eastAsia="仿宋_GB2312"/>
          <w:sz w:val="32"/>
        </w:rPr>
        <w:t>明的侵权事实看，原告从被告</w:t>
      </w:r>
      <w:r>
        <w:rPr>
          <w:rFonts w:hint="eastAsia" w:ascii="仿宋_GB2312" w:hAnsi="宋体" w:eastAsia="仿宋_GB2312"/>
          <w:sz w:val="32"/>
          <w:lang w:eastAsia="zh-CN"/>
        </w:rPr>
        <w:t>甲公司</w:t>
      </w:r>
      <w:r>
        <w:rPr>
          <w:rFonts w:hint="eastAsia" w:ascii="仿宋_GB2312" w:hAnsi="宋体" w:eastAsia="仿宋_GB2312"/>
          <w:sz w:val="32"/>
        </w:rPr>
        <w:t>商位线下订货购买了一箱侵权物品（共100只），其总的销售金额为650元，被告</w:t>
      </w:r>
      <w:r>
        <w:rPr>
          <w:rFonts w:hint="eastAsia" w:ascii="仿宋_GB2312" w:hAnsi="宋体" w:eastAsia="仿宋_GB2312"/>
          <w:sz w:val="32"/>
          <w:lang w:eastAsia="zh-CN"/>
        </w:rPr>
        <w:t>甲公司</w:t>
      </w:r>
      <w:r>
        <w:rPr>
          <w:rFonts w:hint="eastAsia" w:ascii="仿宋_GB2312" w:hAnsi="宋体" w:eastAsia="仿宋_GB2312"/>
          <w:sz w:val="32"/>
        </w:rPr>
        <w:t>陈述其获利是100元，同时，被告陈述其商位也同时销售其他宠物用品。故从现有证据看，被告</w:t>
      </w:r>
      <w:r>
        <w:rPr>
          <w:rFonts w:hint="eastAsia" w:ascii="仿宋_GB2312" w:hAnsi="宋体" w:eastAsia="仿宋_GB2312"/>
          <w:sz w:val="32"/>
          <w:lang w:eastAsia="zh-CN"/>
        </w:rPr>
        <w:t>甲公司</w:t>
      </w:r>
      <w:r>
        <w:rPr>
          <w:rFonts w:ascii="仿宋_GB2312" w:hAnsi="宋体" w:eastAsia="仿宋_GB2312"/>
          <w:sz w:val="32"/>
        </w:rPr>
        <w:t>因侵权所获得的利益明显低于法定赔偿</w:t>
      </w:r>
      <w:r>
        <w:rPr>
          <w:rFonts w:hint="eastAsia" w:ascii="仿宋_GB2312" w:hAnsi="宋体" w:eastAsia="仿宋_GB2312"/>
          <w:sz w:val="32"/>
        </w:rPr>
        <w:t>的</w:t>
      </w:r>
      <w:r>
        <w:rPr>
          <w:rFonts w:ascii="仿宋_GB2312" w:hAnsi="宋体" w:eastAsia="仿宋_GB2312"/>
          <w:sz w:val="32"/>
        </w:rPr>
        <w:t>下限</w:t>
      </w:r>
      <w:r>
        <w:rPr>
          <w:rFonts w:hint="eastAsia" w:ascii="仿宋_GB2312" w:hAnsi="宋体" w:eastAsia="仿宋_GB2312"/>
          <w:sz w:val="32"/>
        </w:rPr>
        <w:t>（30000元）</w:t>
      </w:r>
      <w:r>
        <w:rPr>
          <w:rFonts w:ascii="仿宋_GB2312" w:hAnsi="宋体" w:eastAsia="仿宋_GB2312"/>
          <w:sz w:val="32"/>
        </w:rPr>
        <w:t>,</w:t>
      </w:r>
      <w:r>
        <w:rPr>
          <w:rFonts w:hint="eastAsia" w:ascii="仿宋_GB2312" w:hAnsi="宋体" w:eastAsia="仿宋_GB2312"/>
          <w:sz w:val="32"/>
        </w:rPr>
        <w:t>据此，本院</w:t>
      </w:r>
      <w:r>
        <w:rPr>
          <w:rFonts w:ascii="仿宋_GB2312" w:hAnsi="宋体" w:eastAsia="仿宋_GB2312"/>
          <w:sz w:val="32"/>
        </w:rPr>
        <w:t>根据</w:t>
      </w:r>
      <w:r>
        <w:rPr>
          <w:rFonts w:hint="eastAsia" w:ascii="仿宋_GB2312" w:hAnsi="宋体" w:eastAsia="仿宋_GB2312"/>
          <w:sz w:val="32"/>
        </w:rPr>
        <w:t>被告</w:t>
      </w:r>
      <w:r>
        <w:rPr>
          <w:rFonts w:ascii="仿宋_GB2312" w:hAnsi="宋体" w:eastAsia="仿宋_GB2312"/>
          <w:sz w:val="32"/>
        </w:rPr>
        <w:t>的大致获利情况</w:t>
      </w:r>
      <w:r>
        <w:rPr>
          <w:rFonts w:hint="eastAsia" w:ascii="仿宋_GB2312" w:hAnsi="宋体" w:eastAsia="仿宋_GB2312"/>
          <w:sz w:val="32"/>
        </w:rPr>
        <w:t>，同时考虑本案侵权行为的性质、原告为本案维权所支付的</w:t>
      </w:r>
      <w:r>
        <w:rPr>
          <w:rFonts w:ascii="仿宋_GB2312" w:hAnsi="宋体" w:eastAsia="仿宋_GB2312"/>
          <w:sz w:val="32"/>
        </w:rPr>
        <w:t>公证费等合理费用,</w:t>
      </w:r>
      <w:r>
        <w:rPr>
          <w:rFonts w:hint="eastAsia" w:ascii="仿宋_GB2312" w:hAnsi="宋体" w:eastAsia="仿宋_GB2312"/>
          <w:sz w:val="32"/>
        </w:rPr>
        <w:t>及原告</w:t>
      </w:r>
      <w:r>
        <w:rPr>
          <w:rFonts w:hint="eastAsia" w:ascii="仿宋_GB2312" w:hAnsi="宋体" w:eastAsia="仿宋_GB2312"/>
          <w:sz w:val="32"/>
          <w:lang w:eastAsia="zh-CN"/>
        </w:rPr>
        <w:t>吴某</w:t>
      </w:r>
      <w:r>
        <w:rPr>
          <w:rFonts w:hint="eastAsia" w:ascii="仿宋_GB2312" w:hAnsi="宋体" w:eastAsia="仿宋_GB2312"/>
          <w:sz w:val="32"/>
        </w:rPr>
        <w:t>针对同一区域销售商同时提起的多起诉讼情况，裁量</w:t>
      </w:r>
      <w:r>
        <w:rPr>
          <w:rFonts w:ascii="仿宋_GB2312" w:hAnsi="宋体" w:eastAsia="仿宋_GB2312"/>
          <w:sz w:val="32"/>
        </w:rPr>
        <w:t>确定赔偿数额</w:t>
      </w:r>
      <w:r>
        <w:rPr>
          <w:rFonts w:hint="eastAsia" w:ascii="仿宋_GB2312" w:hAnsi="宋体" w:eastAsia="仿宋_GB2312"/>
          <w:sz w:val="32"/>
        </w:rPr>
        <w:t>为2万元。</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综上，依照《中华人民共和国专利法》第十一条第二款、第六十四条第二款、第七十一条，《最高人民法院关于审理侵犯专利权纠纷案件应用法律若干问题的解释》第八条、第十条、第十一条，《中华人民共和国民事诉讼法》第六十七条第一款，《最高人民法院关于适用〈中华人民共和国民事诉讼法〉的解释》第九十条之规定，判决如下：</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一、被告</w:t>
      </w:r>
      <w:r>
        <w:rPr>
          <w:rFonts w:hint="eastAsia" w:ascii="仿宋_GB2312" w:hAnsi="宋体" w:eastAsia="仿宋_GB2312"/>
          <w:sz w:val="32"/>
          <w:lang w:eastAsia="zh-CN"/>
        </w:rPr>
        <w:t>义乌市甲贸易有限公司</w:t>
      </w:r>
      <w:r>
        <w:rPr>
          <w:rFonts w:hint="eastAsia" w:ascii="仿宋_GB2312" w:hAnsi="宋体" w:eastAsia="仿宋_GB2312"/>
          <w:sz w:val="32"/>
        </w:rPr>
        <w:t>立即停止销售侵犯原告</w:t>
      </w:r>
      <w:r>
        <w:rPr>
          <w:rFonts w:hint="eastAsia" w:ascii="仿宋_GB2312" w:hAnsi="宋体" w:eastAsia="仿宋_GB2312"/>
          <w:sz w:val="32"/>
          <w:lang w:eastAsia="zh-CN"/>
        </w:rPr>
        <w:t>吴某</w:t>
      </w:r>
      <w:r>
        <w:rPr>
          <w:rFonts w:hint="eastAsia" w:ascii="仿宋_GB2312" w:hAnsi="宋体" w:eastAsia="仿宋_GB2312"/>
          <w:sz w:val="32"/>
        </w:rPr>
        <w:t>专利号</w:t>
      </w:r>
      <w:r>
        <w:rPr>
          <w:rFonts w:hint="eastAsia" w:ascii="仿宋_GB2312" w:hAnsi="宋体" w:eastAsia="仿宋_GB2312"/>
          <w:sz w:val="32"/>
          <w:lang w:eastAsia="zh-CN"/>
        </w:rPr>
        <w:t>ZL2019xxxx0359.4</w:t>
      </w:r>
      <w:r>
        <w:rPr>
          <w:rFonts w:hint="eastAsia" w:ascii="仿宋_GB2312" w:hAnsi="宋体" w:eastAsia="仿宋_GB2312"/>
          <w:sz w:val="32"/>
        </w:rPr>
        <w:t>、名称为“宠物猫玩具（转转风车）”的外观设计专利权产品的行为；</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二、被告</w:t>
      </w:r>
      <w:r>
        <w:rPr>
          <w:rFonts w:hint="eastAsia" w:ascii="仿宋_GB2312" w:hAnsi="宋体" w:eastAsia="仿宋_GB2312"/>
          <w:sz w:val="32"/>
          <w:lang w:eastAsia="zh-CN"/>
        </w:rPr>
        <w:t>义乌市甲贸易有限公司</w:t>
      </w:r>
      <w:r>
        <w:rPr>
          <w:rFonts w:hint="eastAsia" w:ascii="仿宋_GB2312" w:hAnsi="宋体" w:eastAsia="仿宋_GB2312"/>
          <w:sz w:val="32"/>
        </w:rPr>
        <w:t>于判决生效之日起十日内赔偿</w:t>
      </w:r>
      <w:r>
        <w:rPr>
          <w:rFonts w:hint="eastAsia" w:ascii="仿宋_GB2312" w:hAnsi="宋体" w:eastAsia="仿宋_GB2312"/>
          <w:sz w:val="32"/>
          <w:lang w:eastAsia="zh-CN"/>
        </w:rPr>
        <w:t>吴某</w:t>
      </w:r>
      <w:r>
        <w:rPr>
          <w:rFonts w:hint="eastAsia" w:ascii="仿宋_GB2312" w:hAnsi="宋体" w:eastAsia="仿宋_GB2312"/>
          <w:sz w:val="32"/>
        </w:rPr>
        <w:t>经济损失及为制止侵权支出的合理费用共计20000元；</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三、驳回原告</w:t>
      </w:r>
      <w:r>
        <w:rPr>
          <w:rFonts w:hint="eastAsia" w:ascii="仿宋_GB2312" w:hAnsi="宋体" w:eastAsia="仿宋_GB2312"/>
          <w:sz w:val="32"/>
          <w:lang w:eastAsia="zh-CN"/>
        </w:rPr>
        <w:t>吴某</w:t>
      </w:r>
      <w:r>
        <w:rPr>
          <w:rFonts w:hint="eastAsia" w:ascii="仿宋_GB2312" w:hAnsi="宋体" w:eastAsia="仿宋_GB2312"/>
          <w:sz w:val="32"/>
        </w:rPr>
        <w:t>的其他诉讼请求。</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如果未按照判决指定的期间履行给付金钱义务，应当按照《中华人民共和国民事诉讼法》第二百六十条之规定，加倍支付迟延履行期间的债务利息。</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案件受理费4300元，由原告</w:t>
      </w:r>
      <w:r>
        <w:rPr>
          <w:rFonts w:hint="eastAsia" w:ascii="仿宋_GB2312" w:hAnsi="宋体" w:eastAsia="仿宋_GB2312"/>
          <w:sz w:val="32"/>
          <w:lang w:eastAsia="zh-CN"/>
        </w:rPr>
        <w:t>吴某</w:t>
      </w:r>
      <w:r>
        <w:rPr>
          <w:rFonts w:hint="eastAsia" w:ascii="仿宋_GB2312" w:hAnsi="宋体" w:eastAsia="仿宋_GB2312"/>
          <w:sz w:val="32"/>
        </w:rPr>
        <w:t>负担1935元，被告</w:t>
      </w:r>
      <w:r>
        <w:rPr>
          <w:rFonts w:hint="eastAsia" w:ascii="仿宋_GB2312" w:hAnsi="宋体" w:eastAsia="仿宋_GB2312"/>
          <w:sz w:val="32"/>
          <w:lang w:eastAsia="zh-CN"/>
        </w:rPr>
        <w:t>义乌市甲贸易有限公司</w:t>
      </w:r>
      <w:r>
        <w:rPr>
          <w:rFonts w:hint="eastAsia" w:ascii="仿宋_GB2312" w:hAnsi="宋体" w:eastAsia="仿宋_GB2312"/>
          <w:sz w:val="32"/>
        </w:rPr>
        <w:t>负担2365元。</w:t>
      </w:r>
    </w:p>
    <w:p>
      <w:pPr>
        <w:widowControl w:val="0"/>
        <w:adjustRightInd/>
        <w:snapToGrid/>
        <w:spacing w:after="0" w:line="580" w:lineRule="exact"/>
        <w:ind w:firstLine="640" w:firstLineChars="200"/>
        <w:jc w:val="both"/>
        <w:rPr>
          <w:rFonts w:ascii="仿宋_GB2312" w:hAnsi="宋体" w:eastAsia="仿宋_GB2312"/>
          <w:sz w:val="32"/>
        </w:rPr>
      </w:pPr>
      <w:r>
        <w:rPr>
          <w:rFonts w:hint="eastAsia" w:ascii="仿宋_GB2312" w:hAnsi="宋体" w:eastAsia="仿宋_GB2312"/>
          <w:sz w:val="32"/>
        </w:rPr>
        <w:t>如不服本判决，可在判决书送达之日起十五日内向本院递交上诉状，并按对方当事人的人数提出副本，上诉于浙江省高级人民法院。</w:t>
      </w:r>
    </w:p>
    <w:p>
      <w:pPr>
        <w:widowControl w:val="0"/>
        <w:adjustRightInd/>
        <w:snapToGrid/>
        <w:spacing w:before="960" w:beforeLines="400" w:after="0" w:line="360" w:lineRule="auto"/>
        <w:ind w:right="660" w:rightChars="300"/>
        <w:jc w:val="right"/>
      </w:pPr>
      <w:r>
        <w:rPr>
          <w:rFonts w:hint="eastAsia" w:ascii="仿宋_GB2312" w:hAnsi="宋体" w:eastAsia="仿宋_GB2312"/>
          <w:sz w:val="32"/>
        </w:rPr>
        <w:t>审　　判　　长　　　陈立伟</w:t>
      </w:r>
      <w:r>
        <w:rPr>
          <w:rFonts w:ascii="仿宋_GB2312" w:hAnsi="宋体" w:eastAsia="仿宋_GB2312"/>
          <w:sz w:val="32"/>
        </w:rPr>
        <w:br w:type="textWrapping"/>
      </w:r>
      <w:r>
        <w:rPr>
          <w:rFonts w:ascii="仿宋_GB2312" w:hAnsi="宋体" w:eastAsia="仿宋_GB2312"/>
          <w:sz w:val="32"/>
        </w:rPr>
        <w:t>人</w:t>
      </w:r>
      <w:r>
        <w:rPr>
          <w:rFonts w:hint="eastAsia" w:ascii="仿宋_GB2312" w:hAnsi="宋体" w:eastAsia="仿宋_GB2312"/>
          <w:sz w:val="32"/>
        </w:rPr>
        <w:t xml:space="preserve"> </w:t>
      </w:r>
      <w:r>
        <w:rPr>
          <w:rFonts w:ascii="仿宋_GB2312" w:hAnsi="宋体" w:eastAsia="仿宋_GB2312"/>
          <w:sz w:val="32"/>
        </w:rPr>
        <w:t>民</w:t>
      </w:r>
      <w:r>
        <w:rPr>
          <w:rFonts w:hint="eastAsia" w:ascii="仿宋_GB2312" w:hAnsi="宋体" w:eastAsia="仿宋_GB2312"/>
          <w:sz w:val="32"/>
        </w:rPr>
        <w:t xml:space="preserve"> </w:t>
      </w:r>
      <w:r>
        <w:rPr>
          <w:rFonts w:ascii="仿宋_GB2312" w:hAnsi="宋体" w:eastAsia="仿宋_GB2312"/>
          <w:sz w:val="32"/>
        </w:rPr>
        <w:t>陪</w:t>
      </w:r>
      <w:r>
        <w:rPr>
          <w:rFonts w:hint="eastAsia" w:ascii="仿宋_GB2312" w:hAnsi="宋体" w:eastAsia="仿宋_GB2312"/>
          <w:sz w:val="32"/>
        </w:rPr>
        <w:t xml:space="preserve"> </w:t>
      </w:r>
      <w:r>
        <w:rPr>
          <w:rFonts w:ascii="仿宋_GB2312" w:hAnsi="宋体" w:eastAsia="仿宋_GB2312"/>
          <w:sz w:val="32"/>
        </w:rPr>
        <w:t>审</w:t>
      </w:r>
      <w:r>
        <w:rPr>
          <w:rFonts w:hint="eastAsia" w:ascii="仿宋_GB2312" w:hAnsi="宋体" w:eastAsia="仿宋_GB2312"/>
          <w:sz w:val="32"/>
        </w:rPr>
        <w:t xml:space="preserve"> </w:t>
      </w:r>
      <w:r>
        <w:rPr>
          <w:rFonts w:ascii="仿宋_GB2312" w:hAnsi="宋体" w:eastAsia="仿宋_GB2312"/>
          <w:sz w:val="32"/>
        </w:rPr>
        <w:t>员　　　饶建华</w:t>
      </w:r>
      <w:r>
        <w:rPr>
          <w:rFonts w:ascii="仿宋_GB2312" w:hAnsi="宋体" w:eastAsia="仿宋_GB2312"/>
          <w:sz w:val="32"/>
        </w:rPr>
        <w:br w:type="textWrapping"/>
      </w:r>
      <w:r>
        <w:rPr>
          <w:rFonts w:ascii="仿宋_GB2312" w:hAnsi="宋体" w:eastAsia="仿宋_GB2312"/>
          <w:sz w:val="32"/>
        </w:rPr>
        <w:t>人</w:t>
      </w:r>
      <w:r>
        <w:rPr>
          <w:rFonts w:hint="eastAsia" w:ascii="仿宋_GB2312" w:hAnsi="宋体" w:eastAsia="仿宋_GB2312"/>
          <w:sz w:val="32"/>
        </w:rPr>
        <w:t xml:space="preserve"> </w:t>
      </w:r>
      <w:r>
        <w:rPr>
          <w:rFonts w:ascii="仿宋_GB2312" w:hAnsi="宋体" w:eastAsia="仿宋_GB2312"/>
          <w:sz w:val="32"/>
        </w:rPr>
        <w:t>民</w:t>
      </w:r>
      <w:r>
        <w:rPr>
          <w:rFonts w:hint="eastAsia" w:ascii="仿宋_GB2312" w:hAnsi="宋体" w:eastAsia="仿宋_GB2312"/>
          <w:sz w:val="32"/>
        </w:rPr>
        <w:t xml:space="preserve"> </w:t>
      </w:r>
      <w:r>
        <w:rPr>
          <w:rFonts w:ascii="仿宋_GB2312" w:hAnsi="宋体" w:eastAsia="仿宋_GB2312"/>
          <w:sz w:val="32"/>
        </w:rPr>
        <w:t>陪</w:t>
      </w:r>
      <w:r>
        <w:rPr>
          <w:rFonts w:hint="eastAsia" w:ascii="仿宋_GB2312" w:hAnsi="宋体" w:eastAsia="仿宋_GB2312"/>
          <w:sz w:val="32"/>
        </w:rPr>
        <w:t xml:space="preserve"> </w:t>
      </w:r>
      <w:r>
        <w:rPr>
          <w:rFonts w:ascii="仿宋_GB2312" w:hAnsi="宋体" w:eastAsia="仿宋_GB2312"/>
          <w:sz w:val="32"/>
        </w:rPr>
        <w:t>审</w:t>
      </w:r>
      <w:r>
        <w:rPr>
          <w:rFonts w:hint="eastAsia" w:ascii="仿宋_GB2312" w:hAnsi="宋体" w:eastAsia="仿宋_GB2312"/>
          <w:sz w:val="32"/>
        </w:rPr>
        <w:t xml:space="preserve"> </w:t>
      </w:r>
      <w:r>
        <w:rPr>
          <w:rFonts w:ascii="仿宋_GB2312" w:hAnsi="宋体" w:eastAsia="仿宋_GB2312"/>
          <w:sz w:val="32"/>
        </w:rPr>
        <w:t>员　　　朱晓春</w:t>
      </w:r>
    </w:p>
    <w:p>
      <w:pPr>
        <w:widowControl w:val="0"/>
        <w:adjustRightInd/>
        <w:snapToGrid/>
        <w:spacing w:before="1920" w:beforeLines="800" w:after="480" w:afterLines="200"/>
        <w:ind w:right="660" w:rightChars="300" w:firstLine="919"/>
        <w:jc w:val="right"/>
        <w:rPr>
          <w:rFonts w:ascii="仿宋_GB2312" w:hAnsi="宋体" w:eastAsia="仿宋_GB2312"/>
          <w:sz w:val="32"/>
        </w:rPr>
      </w:pPr>
      <w:r>
        <w:rPr>
          <w:rFonts w:hint="eastAsia" w:ascii="仿宋_GB2312" w:hAnsi="宋体" w:eastAsia="仿宋_GB2312"/>
          <w:sz w:val="32"/>
        </w:rPr>
        <w:t>二</w:t>
      </w:r>
      <w:r>
        <w:rPr>
          <w:rFonts w:hint="eastAsia" w:ascii="宋体" w:hAnsi="宋体" w:eastAsia="宋体" w:cs="宋体"/>
          <w:sz w:val="32"/>
        </w:rPr>
        <w:t>〇</w:t>
      </w:r>
      <w:r>
        <w:rPr>
          <w:rFonts w:hint="eastAsia" w:ascii="仿宋_GB2312" w:hAnsi="仿宋_GB2312" w:eastAsia="仿宋_GB2312" w:cs="仿宋_GB2312"/>
          <w:sz w:val="32"/>
        </w:rPr>
        <w:t>二三年一月六日</w:t>
      </w:r>
    </w:p>
    <w:p>
      <w:pPr>
        <w:widowControl w:val="0"/>
        <w:adjustRightInd/>
        <w:snapToGrid/>
        <w:spacing w:after="0" w:line="600" w:lineRule="exact"/>
        <w:ind w:right="660" w:rightChars="300" w:firstLine="919"/>
        <w:jc w:val="right"/>
      </w:pPr>
      <w:r>
        <w:rPr>
          <w:rFonts w:hint="eastAsia" w:ascii="仿宋_GB2312" w:hAnsi="宋体" w:eastAsia="仿宋_GB2312"/>
          <w:sz w:val="32"/>
        </w:rPr>
        <w:t>法　官　助　理　　　丰霞蔚</w:t>
      </w:r>
      <w:r>
        <w:rPr>
          <w:rFonts w:ascii="仿宋_GB2312" w:hAnsi="宋体" w:eastAsia="仿宋_GB2312"/>
          <w:sz w:val="32"/>
        </w:rPr>
        <w:br w:type="textWrapping"/>
      </w:r>
      <w:r>
        <w:rPr>
          <w:rFonts w:ascii="仿宋_GB2312" w:hAnsi="宋体" w:eastAsia="仿宋_GB2312"/>
          <w:sz w:val="32"/>
        </w:rPr>
        <w:t>代　书　记　员　　　王妍萍</w:t>
      </w:r>
    </w:p>
    <w:sectPr>
      <w:headerReference r:id="rId6" w:type="first"/>
      <w:footerReference r:id="rId9" w:type="first"/>
      <w:headerReference r:id="rId4" w:type="default"/>
      <w:footerReference r:id="rId7" w:type="default"/>
      <w:headerReference r:id="rId5" w:type="even"/>
      <w:footerReference r:id="rId8" w:type="even"/>
      <w:pgSz w:w="11907" w:h="16839"/>
      <w:pgMar w:top="2041" w:right="1134" w:bottom="2041" w:left="1701" w:header="1361" w:footer="1361" w:gutter="0"/>
      <w:cols w:space="425" w:num="1"/>
      <w:docGrid w:linePitch="531" w:charSpace="2640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00000001" w:usb1="080E0000" w:usb2="00000000" w:usb3="00000000" w:csb0="00040000"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Tahoma">
    <w:altName w:val="DejaVu Sans"/>
    <w:panose1 w:val="020B0604030504040204"/>
    <w:charset w:val="00"/>
    <w:family w:val="swiss"/>
    <w:pitch w:val="default"/>
    <w:sig w:usb0="00000000" w:usb1="00000000" w:usb2="00000029" w:usb3="00000000" w:csb0="000101FF" w:csb1="00000000"/>
  </w:font>
  <w:font w:name="微软雅黑">
    <w:altName w:val="黑体"/>
    <w:panose1 w:val="020B0503020204020204"/>
    <w:charset w:val="86"/>
    <w:family w:val="swiss"/>
    <w:pitch w:val="default"/>
    <w:sig w:usb0="00000000" w:usb1="00000000" w:usb2="00000016" w:usb3="00000000" w:csb0="0004001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idowControl w:val="0"/>
      <w:adjustRightInd/>
      <w:spacing w:after="0"/>
      <w:ind w:right="440" w:rightChars="200"/>
      <w:jc w:val="right"/>
      <w:rPr>
        <w:rFonts w:ascii="宋体" w:hAnsi="宋体" w:eastAsia="宋体"/>
        <w:kern w:val="2"/>
        <w:sz w:val="28"/>
        <w:szCs w:val="28"/>
      </w:rPr>
    </w:pPr>
    <w:r>
      <w:rPr>
        <w:rStyle w:val="9"/>
        <w:rFonts w:ascii="宋体" w:hAnsi="宋体" w:eastAsia="宋体"/>
        <w:kern w:val="2"/>
        <w:sz w:val="28"/>
        <w:szCs w:val="28"/>
      </w:rPr>
      <w:fldChar w:fldCharType="begin"/>
    </w:r>
    <w:r>
      <w:rPr>
        <w:rStyle w:val="9"/>
        <w:rFonts w:ascii="宋体" w:hAnsi="宋体" w:eastAsia="宋体"/>
        <w:kern w:val="2"/>
        <w:sz w:val="28"/>
        <w:szCs w:val="28"/>
      </w:rPr>
      <w:instrText xml:space="preserve"> PAGE  \* ArabicDash </w:instrText>
    </w:r>
    <w:r>
      <w:rPr>
        <w:rStyle w:val="9"/>
        <w:rFonts w:ascii="宋体" w:hAnsi="宋体" w:eastAsia="宋体"/>
        <w:kern w:val="2"/>
        <w:sz w:val="28"/>
        <w:szCs w:val="28"/>
      </w:rPr>
      <w:fldChar w:fldCharType="separate"/>
    </w:r>
    <w:r>
      <w:rPr>
        <w:rStyle w:val="9"/>
        <w:rFonts w:ascii="宋体" w:hAnsi="宋体" w:eastAsia="宋体"/>
        <w:kern w:val="2"/>
        <w:sz w:val="28"/>
        <w:szCs w:val="28"/>
      </w:rPr>
      <w:t>- 11 -</w:t>
    </w:r>
    <w:r>
      <w:rPr>
        <w:rStyle w:val="9"/>
        <w:rFonts w:ascii="宋体" w:hAnsi="宋体" w:eastAsia="宋体"/>
        <w:kern w:val="2"/>
        <w:sz w:val="28"/>
        <w:szCs w:val="2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widowControl w:val="0"/>
      <w:adjustRightInd/>
      <w:spacing w:after="0"/>
      <w:ind w:left="440" w:leftChars="200"/>
      <w:rPr>
        <w:rFonts w:ascii="宋体" w:hAnsi="宋体" w:eastAsia="宋体"/>
        <w:kern w:val="2"/>
        <w:sz w:val="28"/>
        <w:szCs w:val="28"/>
      </w:rPr>
    </w:pPr>
    <w:r>
      <w:rPr>
        <w:rStyle w:val="9"/>
        <w:rFonts w:ascii="宋体" w:hAnsi="宋体" w:eastAsia="宋体"/>
        <w:kern w:val="2"/>
        <w:sz w:val="28"/>
        <w:szCs w:val="28"/>
      </w:rPr>
      <w:fldChar w:fldCharType="begin"/>
    </w:r>
    <w:r>
      <w:rPr>
        <w:rStyle w:val="9"/>
        <w:rFonts w:ascii="宋体" w:hAnsi="宋体" w:eastAsia="宋体"/>
        <w:kern w:val="2"/>
        <w:sz w:val="28"/>
        <w:szCs w:val="28"/>
      </w:rPr>
      <w:instrText xml:space="preserve"> PAGE  \* ArabicDash </w:instrText>
    </w:r>
    <w:r>
      <w:rPr>
        <w:rStyle w:val="9"/>
        <w:rFonts w:ascii="宋体" w:hAnsi="宋体" w:eastAsia="宋体"/>
        <w:kern w:val="2"/>
        <w:sz w:val="28"/>
        <w:szCs w:val="28"/>
      </w:rPr>
      <w:fldChar w:fldCharType="separate"/>
    </w:r>
    <w:r>
      <w:rPr>
        <w:rStyle w:val="9"/>
        <w:rFonts w:ascii="宋体" w:hAnsi="宋体" w:eastAsia="宋体"/>
        <w:kern w:val="2"/>
        <w:sz w:val="28"/>
        <w:szCs w:val="28"/>
      </w:rPr>
      <w:t>- 10 -</w:t>
    </w:r>
    <w:r>
      <w:rPr>
        <w:rStyle w:val="9"/>
        <w:rFonts w:ascii="宋体" w:hAnsi="宋体" w:eastAsia="宋体"/>
        <w:kern w:val="2"/>
        <w:sz w:val="28"/>
        <w:szCs w:val="2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widowControl w:val="0"/>
      <w:pBdr>
        <w:bottom w:val="none" w:color="auto" w:sz="0" w:space="0"/>
      </w:pBdr>
      <w:adjustRightInd/>
      <w:spacing w:after="0"/>
      <w:rPr>
        <w:rFonts w:ascii="Calibri" w:hAnsi="Calibri" w:eastAsia="宋体" w:cs="Calibri"/>
        <w:kern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1"/>
  <w:bordersDoNotSurroundFooter w:val="1"/>
  <w:documentProtection w:enforcement="0"/>
  <w:defaultTabStop w:val="420"/>
  <w:evenAndOddHeaders w:val="1"/>
  <w:drawingGridHorizontalSpacing w:val="349"/>
  <w:drawingGridVerticalSpacing w:val="531"/>
  <w:noPunctuationKerning w:val="1"/>
  <w:characterSpacingControl w:val="compressPunctuation"/>
  <w:footnotePr>
    <w:footnote w:id="0"/>
    <w:footnote w:id="1"/>
  </w:foot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3613"/>
    <w:rsid w:val="00027E8F"/>
    <w:rsid w:val="00095829"/>
    <w:rsid w:val="000C0C3C"/>
    <w:rsid w:val="000C2A11"/>
    <w:rsid w:val="000D4D1A"/>
    <w:rsid w:val="000F5EBD"/>
    <w:rsid w:val="001032B4"/>
    <w:rsid w:val="00126BFB"/>
    <w:rsid w:val="00142E7F"/>
    <w:rsid w:val="00171B0B"/>
    <w:rsid w:val="00196E57"/>
    <w:rsid w:val="001A1E85"/>
    <w:rsid w:val="001A71A4"/>
    <w:rsid w:val="001C52CB"/>
    <w:rsid w:val="001D316C"/>
    <w:rsid w:val="002114B1"/>
    <w:rsid w:val="002161FF"/>
    <w:rsid w:val="00287ED5"/>
    <w:rsid w:val="002D7BB8"/>
    <w:rsid w:val="002F5BA2"/>
    <w:rsid w:val="00306D47"/>
    <w:rsid w:val="0035570D"/>
    <w:rsid w:val="00394363"/>
    <w:rsid w:val="003B24C9"/>
    <w:rsid w:val="003B3AC8"/>
    <w:rsid w:val="003B54B1"/>
    <w:rsid w:val="003D3BB0"/>
    <w:rsid w:val="003F660F"/>
    <w:rsid w:val="003F6A24"/>
    <w:rsid w:val="00400E81"/>
    <w:rsid w:val="00414745"/>
    <w:rsid w:val="004173D5"/>
    <w:rsid w:val="0042102B"/>
    <w:rsid w:val="004615FF"/>
    <w:rsid w:val="004661CE"/>
    <w:rsid w:val="004A4F7A"/>
    <w:rsid w:val="004C4124"/>
    <w:rsid w:val="004D44AC"/>
    <w:rsid w:val="004D68F4"/>
    <w:rsid w:val="004F38D3"/>
    <w:rsid w:val="0052329E"/>
    <w:rsid w:val="00554210"/>
    <w:rsid w:val="005608E0"/>
    <w:rsid w:val="0056239A"/>
    <w:rsid w:val="00567815"/>
    <w:rsid w:val="00583B12"/>
    <w:rsid w:val="00591EB6"/>
    <w:rsid w:val="00592EFE"/>
    <w:rsid w:val="0059389A"/>
    <w:rsid w:val="005A6901"/>
    <w:rsid w:val="005B025E"/>
    <w:rsid w:val="005E1580"/>
    <w:rsid w:val="00603EC3"/>
    <w:rsid w:val="00604086"/>
    <w:rsid w:val="00613ADA"/>
    <w:rsid w:val="00636CDA"/>
    <w:rsid w:val="00674353"/>
    <w:rsid w:val="00690E94"/>
    <w:rsid w:val="006B4B67"/>
    <w:rsid w:val="006D393A"/>
    <w:rsid w:val="006E1F41"/>
    <w:rsid w:val="007034A7"/>
    <w:rsid w:val="00706535"/>
    <w:rsid w:val="00713224"/>
    <w:rsid w:val="00750601"/>
    <w:rsid w:val="007760EC"/>
    <w:rsid w:val="0079284B"/>
    <w:rsid w:val="007A3554"/>
    <w:rsid w:val="007D2686"/>
    <w:rsid w:val="007D3E6D"/>
    <w:rsid w:val="007D5A61"/>
    <w:rsid w:val="007E470A"/>
    <w:rsid w:val="007F646A"/>
    <w:rsid w:val="00822DC8"/>
    <w:rsid w:val="00824A70"/>
    <w:rsid w:val="00826726"/>
    <w:rsid w:val="00862D26"/>
    <w:rsid w:val="00895AFC"/>
    <w:rsid w:val="008B32C9"/>
    <w:rsid w:val="008E1474"/>
    <w:rsid w:val="008E4169"/>
    <w:rsid w:val="00906206"/>
    <w:rsid w:val="00933B72"/>
    <w:rsid w:val="00940151"/>
    <w:rsid w:val="00944099"/>
    <w:rsid w:val="00956B97"/>
    <w:rsid w:val="009A3E93"/>
    <w:rsid w:val="009B1EF0"/>
    <w:rsid w:val="009F0DDF"/>
    <w:rsid w:val="00A23613"/>
    <w:rsid w:val="00A42203"/>
    <w:rsid w:val="00A62560"/>
    <w:rsid w:val="00A670C7"/>
    <w:rsid w:val="00AD23E3"/>
    <w:rsid w:val="00AD6231"/>
    <w:rsid w:val="00B12251"/>
    <w:rsid w:val="00B16E85"/>
    <w:rsid w:val="00B22176"/>
    <w:rsid w:val="00B22228"/>
    <w:rsid w:val="00B460E7"/>
    <w:rsid w:val="00B67C02"/>
    <w:rsid w:val="00B71842"/>
    <w:rsid w:val="00B86595"/>
    <w:rsid w:val="00B94698"/>
    <w:rsid w:val="00BC6A00"/>
    <w:rsid w:val="00BC759F"/>
    <w:rsid w:val="00C11C33"/>
    <w:rsid w:val="00C12076"/>
    <w:rsid w:val="00C1294A"/>
    <w:rsid w:val="00C87807"/>
    <w:rsid w:val="00CB0534"/>
    <w:rsid w:val="00CC5B4C"/>
    <w:rsid w:val="00D12B57"/>
    <w:rsid w:val="00D23CB4"/>
    <w:rsid w:val="00D24583"/>
    <w:rsid w:val="00D42302"/>
    <w:rsid w:val="00D83C89"/>
    <w:rsid w:val="00D83D72"/>
    <w:rsid w:val="00D92BB9"/>
    <w:rsid w:val="00DB7C05"/>
    <w:rsid w:val="00DD0B63"/>
    <w:rsid w:val="00E019E0"/>
    <w:rsid w:val="00E51530"/>
    <w:rsid w:val="00EA549F"/>
    <w:rsid w:val="00EF27AC"/>
    <w:rsid w:val="00F04F6F"/>
    <w:rsid w:val="00F239DF"/>
    <w:rsid w:val="00F34E96"/>
    <w:rsid w:val="00F403D9"/>
    <w:rsid w:val="00F4158C"/>
    <w:rsid w:val="00F423B8"/>
    <w:rsid w:val="00F43B85"/>
    <w:rsid w:val="00F50236"/>
    <w:rsid w:val="00F62208"/>
    <w:rsid w:val="00F73D22"/>
    <w:rsid w:val="00F8094E"/>
    <w:rsid w:val="00F91902"/>
    <w:rsid w:val="00FD531C"/>
    <w:rsid w:val="00FE55DE"/>
    <w:rsid w:val="1DDD9404"/>
    <w:rsid w:val="31DF44F1"/>
    <w:rsid w:val="3BFF5469"/>
    <w:rsid w:val="3FE7F830"/>
    <w:rsid w:val="5BED7FE0"/>
    <w:rsid w:val="5DDB4B3F"/>
    <w:rsid w:val="7F94E2C5"/>
    <w:rsid w:val="7FE8B481"/>
    <w:rsid w:val="7FF52A3F"/>
    <w:rsid w:val="A6FF2E0A"/>
    <w:rsid w:val="ABEF9EA5"/>
    <w:rsid w:val="BBFFECFD"/>
    <w:rsid w:val="EA3E622E"/>
    <w:rsid w:val="FBEF4E95"/>
    <w:rsid w:val="FED52409"/>
    <w:rsid w:val="FF6FF3C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imes New Roman"/>
      <w:sz w:val="22"/>
      <w:szCs w:val="22"/>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3"/>
    <w:semiHidden/>
    <w:unhideWhenUsed/>
    <w:qFormat/>
    <w:uiPriority w:val="99"/>
    <w:pPr>
      <w:ind w:left="100" w:leftChars="2500"/>
    </w:pPr>
  </w:style>
  <w:style w:type="paragraph" w:styleId="3">
    <w:name w:val="Balloon Text"/>
    <w:basedOn w:val="1"/>
    <w:link w:val="12"/>
    <w:semiHidden/>
    <w:unhideWhenUsed/>
    <w:qFormat/>
    <w:uiPriority w:val="99"/>
    <w:pPr>
      <w:spacing w:after="0"/>
    </w:pPr>
    <w:rPr>
      <w:sz w:val="18"/>
      <w:szCs w:val="18"/>
    </w:rPr>
  </w:style>
  <w:style w:type="paragraph" w:styleId="4">
    <w:name w:val="footer"/>
    <w:basedOn w:val="1"/>
    <w:link w:val="11"/>
    <w:unhideWhenUsed/>
    <w:qFormat/>
    <w:uiPriority w:val="99"/>
    <w:pPr>
      <w:tabs>
        <w:tab w:val="center" w:pos="4153"/>
        <w:tab w:val="right" w:pos="8306"/>
      </w:tabs>
    </w:pPr>
    <w:rPr>
      <w:sz w:val="18"/>
      <w:szCs w:val="18"/>
    </w:rPr>
  </w:style>
  <w:style w:type="paragraph" w:styleId="5">
    <w:name w:val="header"/>
    <w:basedOn w:val="1"/>
    <w:link w:val="10"/>
    <w:semiHidden/>
    <w:unhideWhenUsed/>
    <w:qFormat/>
    <w:uiPriority w:val="99"/>
    <w:pPr>
      <w:pBdr>
        <w:bottom w:val="single" w:color="auto" w:sz="6" w:space="1"/>
      </w:pBdr>
      <w:tabs>
        <w:tab w:val="center" w:pos="4153"/>
        <w:tab w:val="right" w:pos="8306"/>
      </w:tabs>
      <w:jc w:val="center"/>
    </w:pPr>
    <w:rPr>
      <w:sz w:val="18"/>
      <w:szCs w:val="18"/>
    </w:rPr>
  </w:style>
  <w:style w:type="table" w:styleId="7">
    <w:name w:val="Table Grid"/>
    <w:basedOn w:val="6"/>
    <w:qFormat/>
    <w:uiPriority w:val="59"/>
    <w:rPr>
      <w:rFonts w:ascii="Calibri" w:hAnsi="Calibri" w:eastAsia="微软雅黑"/>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9">
    <w:name w:val="page number"/>
    <w:basedOn w:val="8"/>
    <w:semiHidden/>
    <w:unhideWhenUsed/>
    <w:qFormat/>
    <w:uiPriority w:val="99"/>
  </w:style>
  <w:style w:type="character" w:customStyle="1" w:styleId="10">
    <w:name w:val="页眉 Char"/>
    <w:basedOn w:val="8"/>
    <w:link w:val="5"/>
    <w:semiHidden/>
    <w:qFormat/>
    <w:uiPriority w:val="99"/>
    <w:rPr>
      <w:sz w:val="18"/>
      <w:szCs w:val="18"/>
    </w:rPr>
  </w:style>
  <w:style w:type="character" w:customStyle="1" w:styleId="11">
    <w:name w:val="页脚 Char"/>
    <w:basedOn w:val="8"/>
    <w:link w:val="4"/>
    <w:qFormat/>
    <w:uiPriority w:val="99"/>
    <w:rPr>
      <w:sz w:val="18"/>
      <w:szCs w:val="18"/>
    </w:rPr>
  </w:style>
  <w:style w:type="character" w:customStyle="1" w:styleId="12">
    <w:name w:val="批注框文本 Char"/>
    <w:basedOn w:val="8"/>
    <w:link w:val="3"/>
    <w:semiHidden/>
    <w:qFormat/>
    <w:uiPriority w:val="99"/>
    <w:rPr>
      <w:rFonts w:ascii="Tahoma" w:hAnsi="Tahoma" w:eastAsia="微软雅黑" w:cs="Times New Roman"/>
      <w:kern w:val="0"/>
      <w:sz w:val="18"/>
      <w:szCs w:val="18"/>
    </w:rPr>
  </w:style>
  <w:style w:type="character" w:customStyle="1" w:styleId="13">
    <w:name w:val="日期 Char"/>
    <w:basedOn w:val="8"/>
    <w:link w:val="2"/>
    <w:semiHidden/>
    <w:qFormat/>
    <w:uiPriority w:val="99"/>
    <w:rPr>
      <w:rFonts w:ascii="Tahoma" w:hAnsi="Tahoma" w:eastAsia="微软雅黑"/>
      <w:sz w:val="22"/>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3.xml"/><Relationship Id="rId5" Type="http://schemas.openxmlformats.org/officeDocument/2006/relationships/header" Target="header2.xml"/><Relationship Id="rId4" Type="http://schemas.openxmlformats.org/officeDocument/2006/relationships/header" Target="header1.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4B531F05-1E24-45E9-9E84-43CB41F64C0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Pages>
  <Words>822</Words>
  <Characters>4689</Characters>
  <Lines>39</Lines>
  <Paragraphs>10</Paragraphs>
  <TotalTime>1</TotalTime>
  <ScaleCrop>false</ScaleCrop>
  <LinksUpToDate>false</LinksUpToDate>
  <CharactersWithSpaces>5501</CharactersWithSpaces>
  <Application>WPS Office_11.8.2.12356_F1E327BC-269C-435d-A152-05C5408002CA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2022-12-20T00:37:00Z</dcterms:created>
  <dc:creator>NTKO</dc:creator>
  <cp:lastModifiedBy>jhzy</cp:lastModifiedBy>
  <cp:lastPrinted>2022-12-23T20:40:00Z</cp:lastPrinted>
  <dcterms:modified xsi:type="dcterms:W3CDTF">2026-06-15T09:50:26Z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2052-11.8.2.12356</vt:lpwstr>
  </property>
  <property fmtid="{D5CDD505-2E9C-101B-9397-08002B2CF9AE}" pid="3" name="ICV">
    <vt:lpwstr>D141EA04CCC6D0350237196A40E0A54C</vt:lpwstr>
  </property>
</Properties>
</file>