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31ECC">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spacing w:val="20"/>
          <w:kern w:val="2"/>
          <w:sz w:val="52"/>
          <w:szCs w:val="52"/>
        </w:rPr>
      </w:pPr>
      <w:bookmarkStart w:id="4" w:name="_GoBack"/>
      <w:bookmarkEnd w:id="4"/>
      <w:r>
        <w:rPr>
          <w:rFonts w:hint="eastAsia" w:ascii="华文中宋" w:hAnsi="华文中宋" w:eastAsia="华文中宋" w:cs="华文中宋"/>
          <w:spacing w:val="20"/>
          <w:kern w:val="2"/>
          <w:sz w:val="44"/>
          <w:szCs w:val="44"/>
          <w:lang w:val="en-US" w:eastAsia="zh-CN" w:bidi="ar"/>
        </w:rPr>
        <w:t>浙</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14A64C98">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748DD28C">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Calibri" w:hAnsi="Calibri" w:eastAsia="宋体" w:cs="Times New Roman"/>
          <w:kern w:val="2"/>
          <w:sz w:val="32"/>
          <w:szCs w:val="32"/>
          <w:lang w:val="en-US" w:eastAsia="zh-CN" w:bidi="ar"/>
        </w:rPr>
        <w:t xml:space="preserve"> </w:t>
      </w:r>
    </w:p>
    <w:p w14:paraId="11A3A172">
      <w:pPr>
        <w:keepNext w:val="0"/>
        <w:keepLines w:val="0"/>
        <w:widowControl w:val="0"/>
        <w:suppressLineNumbers w:val="0"/>
        <w:wordWrap w:val="0"/>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129</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055C59DF">
      <w:pPr>
        <w:keepNext w:val="0"/>
        <w:keepLines w:val="0"/>
        <w:widowControl w:val="0"/>
        <w:suppressLineNumbers w:val="0"/>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6C2670CA">
      <w:pPr>
        <w:pStyle w:val="5"/>
        <w:keepNext w:val="0"/>
        <w:keepLines w:val="0"/>
        <w:widowControl w:val="0"/>
        <w:suppressLineNumbers w:val="0"/>
        <w:overflowPunct w:val="0"/>
        <w:autoSpaceDE w:val="0"/>
        <w:autoSpaceDN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上诉人（原审被告）：义乌市金某箱包商行，经营场所浙江省义乌市中国小商品城国际商贸城。</w:t>
      </w:r>
    </w:p>
    <w:p w14:paraId="0E6F8C52">
      <w:pPr>
        <w:pStyle w:val="5"/>
        <w:keepNext w:val="0"/>
        <w:keepLines w:val="0"/>
        <w:widowControl w:val="0"/>
        <w:suppressLineNumbers w:val="0"/>
        <w:overflowPunct w:val="0"/>
        <w:autoSpaceDE w:val="0"/>
        <w:autoSpaceDN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被上诉人（原审原告）：刘某强，男，</w:t>
      </w:r>
      <w:r>
        <w:rPr>
          <w:rFonts w:hint="default" w:ascii="Times New Roman" w:hAnsi="Times New Roman" w:eastAsia="仿宋_GB2312" w:cs="Times New Roman"/>
          <w:kern w:val="0"/>
          <w:sz w:val="32"/>
          <w:szCs w:val="32"/>
          <w:lang w:val="en-US" w:eastAsia="zh-CN" w:bidi="ar"/>
        </w:rPr>
        <w:t>1974</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11</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日出生，汉族，住福建省闽清县。</w:t>
      </w:r>
    </w:p>
    <w:p w14:paraId="39A21823">
      <w:pPr>
        <w:pStyle w:val="5"/>
        <w:keepNext w:val="0"/>
        <w:keepLines w:val="0"/>
        <w:widowControl w:val="0"/>
        <w:suppressLineNumbers w:val="0"/>
        <w:overflowPunct w:val="0"/>
        <w:autoSpaceDE w:val="0"/>
        <w:autoSpaceDN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上诉人义乌市金某箱包商行（以下简称金某商行）因与被上诉人刘某强侵害外观设计专利权纠纷一案，不服浙江省金华市中级人民法院（</w:t>
      </w:r>
      <w:r>
        <w:rPr>
          <w:rFonts w:hint="default" w:ascii="Times New Roman" w:hAnsi="Times New Roman" w:eastAsia="仿宋_GB2312" w:cs="Times New Roman"/>
          <w:kern w:val="0"/>
          <w:sz w:val="32"/>
          <w:szCs w:val="32"/>
          <w:lang w:val="en-US" w:eastAsia="zh-CN" w:bidi="ar"/>
        </w:rPr>
        <w:t>2024</w:t>
      </w:r>
      <w:r>
        <w:rPr>
          <w:rFonts w:hint="eastAsia" w:ascii="仿宋_GB2312" w:hAnsi="Times New Roman" w:eastAsia="仿宋_GB2312" w:cs="仿宋_GB2312"/>
          <w:kern w:val="0"/>
          <w:sz w:val="32"/>
          <w:szCs w:val="32"/>
          <w:lang w:val="en-US" w:eastAsia="zh-CN" w:bidi="ar"/>
        </w:rPr>
        <w:t>）浙</w:t>
      </w:r>
      <w:r>
        <w:rPr>
          <w:rFonts w:hint="default" w:ascii="Times New Roman" w:hAnsi="Times New Roman" w:eastAsia="仿宋_GB2312" w:cs="Times New Roman"/>
          <w:kern w:val="0"/>
          <w:sz w:val="32"/>
          <w:szCs w:val="32"/>
          <w:lang w:val="en-US" w:eastAsia="zh-CN" w:bidi="ar"/>
        </w:rPr>
        <w:t>07</w:t>
      </w:r>
      <w:r>
        <w:rPr>
          <w:rFonts w:hint="eastAsia" w:ascii="仿宋_GB2312" w:hAnsi="Times New Roman" w:eastAsia="仿宋_GB2312" w:cs="仿宋_GB2312"/>
          <w:kern w:val="0"/>
          <w:sz w:val="32"/>
          <w:szCs w:val="32"/>
          <w:lang w:val="en-US" w:eastAsia="zh-CN" w:bidi="ar"/>
        </w:rPr>
        <w:t>民初</w:t>
      </w:r>
      <w:r>
        <w:rPr>
          <w:rFonts w:hint="default" w:ascii="Times New Roman" w:hAnsi="Times New Roman" w:eastAsia="仿宋_GB2312" w:cs="Times New Roman"/>
          <w:kern w:val="0"/>
          <w:sz w:val="32"/>
          <w:szCs w:val="32"/>
          <w:lang w:val="en-US" w:eastAsia="zh-CN" w:bidi="ar"/>
        </w:rPr>
        <w:t>698</w:t>
      </w:r>
      <w:r>
        <w:rPr>
          <w:rFonts w:hint="eastAsia" w:ascii="仿宋_GB2312" w:hAnsi="Times New Roman" w:eastAsia="仿宋_GB2312" w:cs="仿宋_GB2312"/>
          <w:kern w:val="0"/>
          <w:sz w:val="32"/>
          <w:szCs w:val="32"/>
          <w:lang w:val="en-US" w:eastAsia="zh-CN" w:bidi="ar"/>
        </w:rPr>
        <w:t>号民事判决，向本院提起上诉。本院于</w:t>
      </w:r>
      <w:r>
        <w:rPr>
          <w:rFonts w:hint="default" w:ascii="Times New Roman" w:hAnsi="Times New Roman" w:eastAsia="仿宋_GB2312" w:cs="Times New Roman"/>
          <w:kern w:val="0"/>
          <w:sz w:val="32"/>
          <w:szCs w:val="32"/>
          <w:lang w:val="en-US" w:eastAsia="zh-CN" w:bidi="ar"/>
        </w:rPr>
        <w:t>2025</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6</w:t>
      </w:r>
      <w:r>
        <w:rPr>
          <w:rFonts w:hint="eastAsia" w:ascii="仿宋_GB2312" w:hAnsi="Times New Roman" w:eastAsia="仿宋_GB2312" w:cs="仿宋_GB2312"/>
          <w:kern w:val="0"/>
          <w:sz w:val="32"/>
          <w:szCs w:val="32"/>
          <w:lang w:val="en-US" w:eastAsia="zh-CN" w:bidi="ar"/>
        </w:rPr>
        <w:t>日立案受理后，依法组成合议庭进行了审理。本案现已审理终结。</w:t>
      </w:r>
    </w:p>
    <w:p w14:paraId="19FF632F">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金某商行上诉请求：依法撤销一审判决，改判驳回刘某强的一审诉讼请求；刘某强承担本案一、二审全部诉讼费用。事实与理由：</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金某商行无侵权实物，也无任何实际销售行为，仅转发一张自己朋友圈图片。一审判赔金额过高，与侵权行为不匹配。</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金某商行主观上认为可以采购到被诉侵权产品，不知道刘某强为专利权人，无侵权故意。先发图片寻找潜在客户，再寻找厂家进货符合义乌小商品城商户的正常交易模式。</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刘某强在某甲平台、</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平台销售专利产品，金某商行可以通过上述网店向刘某强合法购买涉案箱包并进行转卖，依照《中华人民共和国专利法》第七十五条第一款规定，其不构成侵权。</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刘某强钓鱼式购买取证，并未实际下单，所取证据不合法，不能作为认定事实的依据。</w:t>
      </w:r>
    </w:p>
    <w:p w14:paraId="06A873EA">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刘某强辩称，一审判决认定事实清楚，适用法律正确，请求驳回上诉，维持原判。</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金某商行未经许可实施低价许诺销售行为，亦会对权利人造成价格侵蚀、交易机会减少等损害。</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金某商行所发图片系转载</w:t>
      </w:r>
      <w:bookmarkStart w:id="0" w:name="WKJC_2c99a28b954cb7fa019564902e372b31"/>
      <w:r>
        <w:rPr>
          <w:rFonts w:hint="eastAsia" w:ascii="仿宋_GB2312" w:hAnsi="Times New Roman" w:eastAsia="仿宋_GB2312" w:cs="仿宋_GB2312"/>
          <w:kern w:val="2"/>
          <w:sz w:val="32"/>
          <w:szCs w:val="32"/>
          <w:lang w:val="en-US" w:eastAsia="zh-CN" w:bidi="ar"/>
        </w:rPr>
        <w:t>自</w:t>
      </w:r>
      <w:bookmarkEnd w:id="0"/>
      <w:r>
        <w:rPr>
          <w:rFonts w:hint="eastAsia" w:ascii="仿宋_GB2312" w:hAnsi="Times New Roman" w:eastAsia="仿宋_GB2312" w:cs="仿宋_GB2312"/>
          <w:kern w:val="2"/>
          <w:sz w:val="32"/>
          <w:szCs w:val="32"/>
          <w:lang w:val="en-US" w:eastAsia="zh-CN" w:bidi="ar"/>
        </w:rPr>
        <w:t>刘某强的网络店铺，还曾联系刘某强要求购买，被拒绝后仍然实施许诺销售行为。且金某商行作为专业箱包销售厂家对所销售的产品是否侵害他人专利权应尽注意义务，现其未提交证据证明已尽合理注意义务，主观上存在过错。其所主张的不管信息来源，先用别人的产品图片许诺销售，再去寻找生产厂家的经营模式本身即有损他人知识产权，不能以此主张不构成侵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金某公司主张可以通过权利人经营的店铺购买到被诉侵权产品，即依法不构成侵权，系对法律的错误理解。只有在其已经实际从权利人处购买到专利产品的情况下，才可以援引该条法律规定。</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刘某强取证方式合法，金某商行主张刘某强取证方式不合法，应提交相应证据。综上，金某商行存在侵权故意，对侵权行为及后果认知不足，且刘某强支付了公证费等合理维权开支，一审法院适用法定赔偿方式判决金某商行赔偿各项损失</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万元合法合理。</w:t>
      </w:r>
    </w:p>
    <w:p w14:paraId="1EEBB73A">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刘某强向一审法院起诉，请求判令金某商行：</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立即停止销售、许诺销售侵犯专利号为</w:t>
      </w:r>
      <w:r>
        <w:rPr>
          <w:rFonts w:hint="default" w:ascii="Times New Roman" w:hAnsi="Times New Roman" w:eastAsia="仿宋_GB2312" w:cs="Times New Roman"/>
          <w:kern w:val="2"/>
          <w:sz w:val="32"/>
          <w:szCs w:val="32"/>
          <w:lang w:val="en-US" w:eastAsia="zh-CN" w:bidi="ar"/>
        </w:rPr>
        <w:t>ZL2020****9947.0</w:t>
      </w:r>
      <w:r>
        <w:rPr>
          <w:rFonts w:hint="eastAsia" w:ascii="仿宋_GB2312" w:hAnsi="Times New Roman" w:eastAsia="仿宋_GB2312" w:cs="仿宋_GB2312"/>
          <w:kern w:val="2"/>
          <w:sz w:val="32"/>
          <w:szCs w:val="32"/>
          <w:lang w:val="en-US" w:eastAsia="zh-CN" w:bidi="ar"/>
        </w:rPr>
        <w:t>的专利权产品的行为，并销毁侵权产品；</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赔偿刘某强</w:t>
      </w:r>
      <w:r>
        <w:rPr>
          <w:rFonts w:hint="default" w:ascii="Times New Roman" w:hAnsi="Times New Roman" w:eastAsia="仿宋_GB2312" w:cs="Times New Roman"/>
          <w:kern w:val="2"/>
          <w:sz w:val="32"/>
          <w:szCs w:val="32"/>
          <w:lang w:val="en-US" w:eastAsia="zh-CN" w:bidi="ar"/>
        </w:rPr>
        <w:t>50000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承担本案的诉讼费。</w:t>
      </w:r>
    </w:p>
    <w:p w14:paraId="59A1989C">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日，刘某强向国家某局申请了名为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行李箱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的外观设计专利，专利号为</w:t>
      </w:r>
      <w:r>
        <w:rPr>
          <w:rFonts w:hint="default" w:ascii="Times New Roman" w:hAnsi="Times New Roman" w:eastAsia="仿宋_GB2312" w:cs="Times New Roman"/>
          <w:kern w:val="2"/>
          <w:sz w:val="32"/>
          <w:szCs w:val="32"/>
          <w:lang w:val="en-US" w:eastAsia="zh-CN" w:bidi="ar"/>
        </w:rPr>
        <w:t>ZL2020****9947.0</w:t>
      </w:r>
      <w:r>
        <w:rPr>
          <w:rFonts w:hint="eastAsia" w:ascii="仿宋_GB2312" w:hAnsi="Times New Roman" w:eastAsia="仿宋_GB2312" w:cs="仿宋_GB2312"/>
          <w:kern w:val="2"/>
          <w:sz w:val="32"/>
          <w:szCs w:val="32"/>
          <w:lang w:val="en-US" w:eastAsia="zh-CN" w:bidi="ar"/>
        </w:rPr>
        <w:t>，授权公告日为同年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日。目前该专利仍在有效期限内。国家某局出具外观设计专利权评价报告，初步结论为全部外观设计未发现存在不符合授予专利权条件的缺陷。该专利的设计要点为产品的形状。</w:t>
      </w:r>
    </w:p>
    <w:p w14:paraId="294CCAB2">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金某商行在义乌购</w:t>
      </w:r>
      <w:r>
        <w:rPr>
          <w:rFonts w:hint="default" w:ascii="Times New Roman" w:hAnsi="Times New Roman" w:eastAsia="仿宋_GB2312" w:cs="Times New Roman"/>
          <w:kern w:val="2"/>
          <w:sz w:val="32"/>
          <w:szCs w:val="32"/>
          <w:lang w:val="en-US" w:eastAsia="zh-CN" w:bidi="ar"/>
        </w:rPr>
        <w:t>APP</w:t>
      </w:r>
      <w:r>
        <w:rPr>
          <w:rFonts w:hint="eastAsia" w:ascii="仿宋_GB2312" w:hAnsi="Times New Roman" w:eastAsia="仿宋_GB2312" w:cs="仿宋_GB2312"/>
          <w:kern w:val="2"/>
          <w:sz w:val="32"/>
          <w:szCs w:val="32"/>
          <w:lang w:val="en-US" w:eastAsia="zh-CN" w:bidi="ar"/>
        </w:rPr>
        <w:t>发布了号码为</w:t>
      </w:r>
      <w:r>
        <w:rPr>
          <w:rFonts w:hint="default" w:ascii="Times New Roman" w:hAnsi="Times New Roman" w:eastAsia="仿宋_GB2312" w:cs="Times New Roman"/>
          <w:kern w:val="2"/>
          <w:sz w:val="32"/>
          <w:szCs w:val="32"/>
          <w:lang w:val="en-US" w:eastAsia="zh-CN" w:bidi="ar"/>
        </w:rPr>
        <w:t>135****0882</w:t>
      </w:r>
      <w:r>
        <w:rPr>
          <w:rFonts w:hint="eastAsia" w:ascii="仿宋_GB2312" w:hAnsi="Times New Roman" w:eastAsia="仿宋_GB2312" w:cs="仿宋_GB2312"/>
          <w:kern w:val="2"/>
          <w:sz w:val="32"/>
          <w:szCs w:val="32"/>
          <w:lang w:val="en-US" w:eastAsia="zh-CN" w:bidi="ar"/>
        </w:rPr>
        <w:t>的手机号，根据该手机号，刘某强向浙江省温州市瓯江公证处申请证据保全，该公证处于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日出具的（</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）浙温瓯江证内字第</w:t>
      </w:r>
      <w:r>
        <w:rPr>
          <w:rFonts w:hint="default" w:ascii="Times New Roman" w:hAnsi="Times New Roman" w:eastAsia="仿宋_GB2312" w:cs="Times New Roman"/>
          <w:kern w:val="2"/>
          <w:sz w:val="32"/>
          <w:szCs w:val="32"/>
          <w:lang w:val="en-US" w:eastAsia="zh-CN" w:bidi="ar"/>
        </w:rPr>
        <w:t>17648</w:t>
      </w:r>
      <w:r>
        <w:rPr>
          <w:rFonts w:hint="eastAsia" w:ascii="仿宋_GB2312" w:hAnsi="Times New Roman" w:eastAsia="仿宋_GB2312" w:cs="仿宋_GB2312"/>
          <w:kern w:val="2"/>
          <w:sz w:val="32"/>
          <w:szCs w:val="32"/>
          <w:lang w:val="en-US" w:eastAsia="zh-CN" w:bidi="ar"/>
        </w:rPr>
        <w:t>号公证书载明：刘某强取证人员以</w:t>
      </w:r>
      <w:r>
        <w:rPr>
          <w:rFonts w:hint="default" w:ascii="Times New Roman" w:hAnsi="Times New Roman" w:eastAsia="仿宋_GB2312" w:cs="Times New Roman"/>
          <w:kern w:val="2"/>
          <w:sz w:val="32"/>
          <w:szCs w:val="32"/>
          <w:lang w:val="en-US" w:eastAsia="zh-CN" w:bidi="ar"/>
        </w:rPr>
        <w:t>135****0882</w:t>
      </w:r>
      <w:r>
        <w:rPr>
          <w:rFonts w:hint="eastAsia" w:ascii="仿宋_GB2312" w:hAnsi="Times New Roman" w:eastAsia="仿宋_GB2312" w:cs="仿宋_GB2312"/>
          <w:kern w:val="2"/>
          <w:sz w:val="32"/>
          <w:szCs w:val="32"/>
          <w:lang w:val="en-US" w:eastAsia="zh-CN" w:bidi="ar"/>
        </w:rPr>
        <w:t>的手机号码搜索某乙平台，发现某乙平台名为</w:t>
      </w:r>
      <w:r>
        <w:rPr>
          <w:rFonts w:hint="default" w:ascii="Times New Roman" w:hAnsi="Times New Roman" w:eastAsia="仿宋_GB2312" w:cs="Times New Roman"/>
          <w:kern w:val="2"/>
          <w:sz w:val="32"/>
          <w:szCs w:val="32"/>
          <w:lang w:val="en-US" w:eastAsia="zh-CN" w:bidi="ar"/>
        </w:rPr>
        <w:t>“KMX</w:t>
      </w:r>
      <w:r>
        <w:rPr>
          <w:rFonts w:hint="eastAsia" w:ascii="仿宋_GB2312" w:hAnsi="Times New Roman" w:eastAsia="仿宋_GB2312" w:cs="仿宋_GB2312"/>
          <w:kern w:val="2"/>
          <w:sz w:val="32"/>
          <w:szCs w:val="32"/>
          <w:lang w:val="en-US" w:eastAsia="zh-CN" w:bidi="ar"/>
        </w:rPr>
        <w:t>金某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在某乙平台朋友圈展示被诉侵权产品。公证处对取证过程进行了公证。</w:t>
      </w:r>
    </w:p>
    <w:p w14:paraId="20DC2FFE">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浙江省温州市瓯江公证处于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日出具的（</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）浙温瓯江证内字第</w:t>
      </w:r>
      <w:r>
        <w:rPr>
          <w:rFonts w:hint="default" w:ascii="Times New Roman" w:hAnsi="Times New Roman" w:eastAsia="仿宋_GB2312" w:cs="Times New Roman"/>
          <w:kern w:val="2"/>
          <w:sz w:val="32"/>
          <w:szCs w:val="32"/>
          <w:lang w:val="en-US" w:eastAsia="zh-CN" w:bidi="ar"/>
        </w:rPr>
        <w:t>17649</w:t>
      </w:r>
      <w:r>
        <w:rPr>
          <w:rFonts w:hint="eastAsia" w:ascii="仿宋_GB2312" w:hAnsi="Times New Roman" w:eastAsia="仿宋_GB2312" w:cs="仿宋_GB2312"/>
          <w:kern w:val="2"/>
          <w:sz w:val="32"/>
          <w:szCs w:val="32"/>
          <w:lang w:val="en-US" w:eastAsia="zh-CN" w:bidi="ar"/>
        </w:rPr>
        <w:t>号公证书载明：刘某强方取证人员于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日与某乙平台名为</w:t>
      </w:r>
      <w:r>
        <w:rPr>
          <w:rFonts w:hint="default" w:ascii="Times New Roman" w:hAnsi="Times New Roman" w:eastAsia="仿宋_GB2312" w:cs="Times New Roman"/>
          <w:kern w:val="2"/>
          <w:sz w:val="32"/>
          <w:szCs w:val="32"/>
          <w:lang w:val="en-US" w:eastAsia="zh-CN" w:bidi="ar"/>
        </w:rPr>
        <w:t>“KMX</w:t>
      </w:r>
      <w:r>
        <w:rPr>
          <w:rFonts w:hint="eastAsia" w:ascii="仿宋_GB2312" w:hAnsi="Times New Roman" w:eastAsia="仿宋_GB2312" w:cs="仿宋_GB2312"/>
          <w:kern w:val="2"/>
          <w:sz w:val="32"/>
          <w:szCs w:val="32"/>
          <w:lang w:val="en-US" w:eastAsia="zh-CN" w:bidi="ar"/>
        </w:rPr>
        <w:t>金某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的人联系，交流被诉侵权产品的采购事宜。某乙平台名为</w:t>
      </w:r>
      <w:r>
        <w:rPr>
          <w:rFonts w:hint="default" w:ascii="Times New Roman" w:hAnsi="Times New Roman" w:eastAsia="仿宋_GB2312" w:cs="Times New Roman"/>
          <w:kern w:val="2"/>
          <w:sz w:val="32"/>
          <w:szCs w:val="32"/>
          <w:lang w:val="en-US" w:eastAsia="zh-CN" w:bidi="ar"/>
        </w:rPr>
        <w:t>“KMX</w:t>
      </w:r>
      <w:r>
        <w:rPr>
          <w:rFonts w:hint="eastAsia" w:ascii="仿宋_GB2312" w:hAnsi="Times New Roman" w:eastAsia="仿宋_GB2312" w:cs="仿宋_GB2312"/>
          <w:kern w:val="2"/>
          <w:sz w:val="32"/>
          <w:szCs w:val="32"/>
          <w:lang w:val="en-US" w:eastAsia="zh-CN" w:bidi="ar"/>
        </w:rPr>
        <w:t>金某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的人员称，被诉侵权产品</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套起订，公证处对取证过程进行了公证。</w:t>
      </w:r>
    </w:p>
    <w:p w14:paraId="0BAF014E">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刘某强未购买公证实物。一审庭审中刘某强将第</w:t>
      </w:r>
      <w:r>
        <w:rPr>
          <w:rFonts w:hint="default" w:ascii="Times New Roman" w:hAnsi="Times New Roman" w:eastAsia="仿宋_GB2312" w:cs="Times New Roman"/>
          <w:kern w:val="2"/>
          <w:sz w:val="32"/>
          <w:szCs w:val="32"/>
          <w:lang w:val="en-US" w:eastAsia="zh-CN" w:bidi="ar"/>
        </w:rPr>
        <w:t>17648</w:t>
      </w:r>
      <w:r>
        <w:rPr>
          <w:rFonts w:hint="eastAsia" w:ascii="仿宋_GB2312" w:hAnsi="Times New Roman" w:eastAsia="仿宋_GB2312" w:cs="仿宋_GB2312"/>
          <w:kern w:val="2"/>
          <w:sz w:val="32"/>
          <w:szCs w:val="32"/>
          <w:lang w:val="en-US" w:eastAsia="zh-CN" w:bidi="ar"/>
        </w:rPr>
        <w:t>号公证书第</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页的产品图片、第</w:t>
      </w:r>
      <w:r>
        <w:rPr>
          <w:rFonts w:hint="default" w:ascii="Times New Roman" w:hAnsi="Times New Roman" w:eastAsia="仿宋_GB2312" w:cs="Times New Roman"/>
          <w:kern w:val="2"/>
          <w:sz w:val="32"/>
          <w:szCs w:val="32"/>
          <w:lang w:val="en-US" w:eastAsia="zh-CN" w:bidi="ar"/>
        </w:rPr>
        <w:t>17649</w:t>
      </w:r>
      <w:r>
        <w:rPr>
          <w:rFonts w:hint="eastAsia" w:ascii="仿宋_GB2312" w:hAnsi="Times New Roman" w:eastAsia="仿宋_GB2312" w:cs="仿宋_GB2312"/>
          <w:kern w:val="2"/>
          <w:sz w:val="32"/>
          <w:szCs w:val="32"/>
          <w:lang w:val="en-US" w:eastAsia="zh-CN" w:bidi="ar"/>
        </w:rPr>
        <w:t>号公证书第</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页中的产品图片与涉案专利进行比对，刘某强认为涉案专利呈四方体，有四个轮和拉杆，正面和侧面有波浪纹设计，从主视图看，前面为长方形的前</w:t>
      </w:r>
      <w:bookmarkStart w:id="1" w:name="WKJC_2c99a28b954cb7fa019564902e372b37"/>
      <w:r>
        <w:rPr>
          <w:rFonts w:hint="eastAsia" w:ascii="仿宋_GB2312" w:hAnsi="Times New Roman" w:eastAsia="仿宋_GB2312" w:cs="仿宋_GB2312"/>
          <w:kern w:val="2"/>
          <w:sz w:val="32"/>
          <w:szCs w:val="32"/>
          <w:lang w:val="en-US" w:eastAsia="zh-CN" w:bidi="ar"/>
        </w:rPr>
        <w:t>箱壳</w:t>
      </w:r>
      <w:bookmarkEnd w:id="1"/>
      <w:r>
        <w:rPr>
          <w:rFonts w:hint="eastAsia" w:ascii="仿宋_GB2312" w:hAnsi="Times New Roman" w:eastAsia="仿宋_GB2312" w:cs="仿宋_GB2312"/>
          <w:kern w:val="2"/>
          <w:sz w:val="32"/>
          <w:szCs w:val="32"/>
          <w:lang w:val="en-US" w:eastAsia="zh-CN" w:bidi="ar"/>
        </w:rPr>
        <w:t>，占整个箱子的</w:t>
      </w:r>
      <w:r>
        <w:rPr>
          <w:rFonts w:hint="default" w:ascii="Times New Roman" w:hAnsi="Times New Roman" w:eastAsia="仿宋_GB2312" w:cs="Times New Roman"/>
          <w:kern w:val="2"/>
          <w:sz w:val="32"/>
          <w:szCs w:val="32"/>
          <w:lang w:val="en-US" w:eastAsia="zh-CN" w:bidi="ar"/>
        </w:rPr>
        <w:t>85%</w:t>
      </w:r>
      <w:r>
        <w:rPr>
          <w:rFonts w:hint="eastAsia" w:ascii="仿宋_GB2312" w:hAnsi="Times New Roman" w:eastAsia="仿宋_GB2312" w:cs="仿宋_GB2312"/>
          <w:kern w:val="2"/>
          <w:sz w:val="32"/>
          <w:szCs w:val="32"/>
          <w:lang w:val="en-US" w:eastAsia="zh-CN" w:bidi="ar"/>
        </w:rPr>
        <w:t>左右，通过拉链与中箱壳连接。经比对，被诉侵权产品图片与涉案专利相同。</w:t>
      </w:r>
    </w:p>
    <w:p w14:paraId="77C2589D">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金某商行认为被诉侵权产品图片与涉案专利相同，金某商行发布的图片来源于刘某强。</w:t>
      </w:r>
    </w:p>
    <w:p w14:paraId="0EB05D78">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一审另查明，金某商行系个体工商户，成立于</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日，经营者为胡某。经营范围：批发、零售：箱包。</w:t>
      </w:r>
    </w:p>
    <w:p w14:paraId="33A912CA">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一审再查明，刘某强为本案维权，进行了证据保全公证，并聘请代理人参加诉讼。</w:t>
      </w:r>
    </w:p>
    <w:p w14:paraId="771A84DF">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涉案外观设计专利在有效期内，法律状态稳定，权利人已履行了缴纳专利年费的义务，该专利合法有效，应受国家法律保护。涉案专利产品与被诉侵权产品均为行李箱，两者属于同一类产品。经比对，金某商行在某乙平台朋友圈发布的箱包图片与涉案专利相同，被诉侵权设计落入了涉案专利权的保护范围。金某商行在某乙平台朋友圈展示被诉侵权产品，并在与刘某强方交流过程中许诺可以交货，其行为许诺销售行为，刘某强据此要求金某商行停止许诺销售诉侵权产品的诉讼请求，于法有据，该院予以支持。因刘某强没有证据证明金某商行有销售被诉侵权产品的行为，也没有证据证明金某商行有库存被诉侵权产品，故对刘某强要求金某商行停止销售被诉侵权产品并销毁库存被诉侵权产品的主张，该院不予支持。</w:t>
      </w:r>
    </w:p>
    <w:p w14:paraId="56118866">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金额，刘某强主张法定赔偿，根据《中华人民共和国专利法》第七十一条的规定，侵犯专利权的赔偿数额按照权利人因被侵权所受到的实际损失或者侵权人因侵权所获得的利益确定；权利人的损失或者侵权人获得的利益难以确定的，参照该专利许可使用费的倍数合理确定。权利人的损失、侵权人获得的利益和专利许可使用费均难以确定的，人民法院可以根据专利权的类型、侵权行为的性质和情节等因素，确定给予三万元以上五百万元以下的赔偿。赔偿数额还应包括权利人为制止侵权行为所支付的合理开支。本案权利人未举证证明其因被侵权所受到实际损失，其也未举证证明侵权人因侵权所获得的利益。该院酌情确定本案金某商行的赔偿金额为</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万元（含合理开支）。综合考虑以下因素：</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侵权行为的性质。在专利侵权案件中应区别侵权行为的性质，合理确定侵权人应当承担的法律责任，重点加强对侵权源头环节制造行为的制裁力度。本案根据公证书的记载，金某商行实施了许诺销售的侵权行为。本案金某商行许诺销售的被诉侵权产品起订</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套起，被诉侵权产品价格较高。</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刘某强为取证支付了公证费等费用。</w:t>
      </w:r>
    </w:p>
    <w:p w14:paraId="2F41B8F7">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一审法院依照《中华人民共和国民法典》第一百二十三条、第一百七十九条，《中华人民共和国专利法》第十一条第二款、第六十四条第二款、第七十一条，《最高人民法院关于审理侵犯专利权纠纷案件应用法律若干问题的解释》第八条、第十条、第十一条，《中华人民共和国民事诉讼法》第六十七条之规定，于</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日判决：一、金某商行于判决生效之日起立即停止许诺销售落入专利号为</w:t>
      </w:r>
      <w:r>
        <w:rPr>
          <w:rFonts w:hint="default" w:ascii="Times New Roman" w:hAnsi="Times New Roman" w:eastAsia="仿宋_GB2312" w:cs="Times New Roman"/>
          <w:kern w:val="2"/>
          <w:sz w:val="32"/>
          <w:szCs w:val="32"/>
          <w:lang w:val="en-US" w:eastAsia="zh-CN" w:bidi="ar"/>
        </w:rPr>
        <w:t>ZL2020****9947.0</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行李箱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的外观设计专利权保护范围的产品；二、金某商行于判决生效之日起十日内赔偿刘某强经济损失及为制止侵权行为所支付的合理开支共计</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元；三、驳回刘某强的其他诉讼请求。如果未按判决指定的期间履行给付金钱义务，应当依照《中华人民共和国民事诉讼法》第二百六十四条之规定，加倍支付迟延履行期间的债务利息。一审案件受理费</w:t>
      </w:r>
      <w:r>
        <w:rPr>
          <w:rFonts w:hint="default" w:ascii="Times New Roman" w:hAnsi="Times New Roman" w:eastAsia="仿宋_GB2312" w:cs="Times New Roman"/>
          <w:kern w:val="2"/>
          <w:sz w:val="32"/>
          <w:szCs w:val="32"/>
          <w:lang w:val="en-US" w:eastAsia="zh-CN" w:bidi="ar"/>
        </w:rPr>
        <w:t>1050</w:t>
      </w:r>
      <w:r>
        <w:rPr>
          <w:rFonts w:hint="eastAsia" w:ascii="仿宋_GB2312" w:hAnsi="Times New Roman" w:eastAsia="仿宋_GB2312" w:cs="仿宋_GB2312"/>
          <w:kern w:val="2"/>
          <w:sz w:val="32"/>
          <w:szCs w:val="32"/>
          <w:lang w:val="en-US" w:eastAsia="zh-CN" w:bidi="ar"/>
        </w:rPr>
        <w:t>元，由刘某强负担</w:t>
      </w:r>
      <w:r>
        <w:rPr>
          <w:rFonts w:hint="default" w:ascii="Times New Roman" w:hAnsi="Times New Roman" w:eastAsia="仿宋_GB2312" w:cs="Times New Roman"/>
          <w:kern w:val="2"/>
          <w:sz w:val="32"/>
          <w:szCs w:val="32"/>
          <w:lang w:val="en-US" w:eastAsia="zh-CN" w:bidi="ar"/>
        </w:rPr>
        <w:t>210</w:t>
      </w:r>
      <w:r>
        <w:rPr>
          <w:rFonts w:hint="eastAsia" w:ascii="仿宋_GB2312" w:hAnsi="Times New Roman" w:eastAsia="仿宋_GB2312" w:cs="仿宋_GB2312"/>
          <w:kern w:val="2"/>
          <w:sz w:val="32"/>
          <w:szCs w:val="32"/>
          <w:lang w:val="en-US" w:eastAsia="zh-CN" w:bidi="ar"/>
        </w:rPr>
        <w:t>元，金某商行负担</w:t>
      </w:r>
      <w:r>
        <w:rPr>
          <w:rFonts w:hint="default" w:ascii="Times New Roman" w:hAnsi="Times New Roman" w:eastAsia="仿宋_GB2312" w:cs="Times New Roman"/>
          <w:kern w:val="2"/>
          <w:sz w:val="32"/>
          <w:szCs w:val="32"/>
          <w:lang w:val="en-US" w:eastAsia="zh-CN" w:bidi="ar"/>
        </w:rPr>
        <w:t>840</w:t>
      </w:r>
      <w:r>
        <w:rPr>
          <w:rFonts w:hint="eastAsia" w:ascii="仿宋_GB2312" w:hAnsi="Times New Roman" w:eastAsia="仿宋_GB2312" w:cs="仿宋_GB2312"/>
          <w:kern w:val="2"/>
          <w:sz w:val="32"/>
          <w:szCs w:val="32"/>
          <w:lang w:val="en-US" w:eastAsia="zh-CN" w:bidi="ar"/>
        </w:rPr>
        <w:t>元。</w:t>
      </w:r>
    </w:p>
    <w:p w14:paraId="659FEEDB">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二审期间，金某商行未向本院提交新的证据。刘某强向本院提交了一份金华威而乐箱包厂经营的某丙平台旗舰店内销售涉案专利产品的宝贝详情页面截图，拟证明销售页面展示了涉案专利证书，金某商行自认可以向权利人某甲平台店铺购买，说明其看过宝贝详情页面，对涉案产品系刘某强享有专利权的产品系明知，主观存在侵权故意。金某商行质证认为，对该证据的真实性无异议，证明目的不认可，金某商行未看过该页面，不知晓页面展示专利证书情况，且金某商行与刘某强沟通购买事宜是在被诉侵权行为发生之后，刘某强不同意销售给金某商行，后来金某商行就没有再卖被诉侵权产品。本院经审查认为，金某商行对该证据真实性无异议，本院对证据真实性予以认定，但在案并无证据证明金某商行在实施被诉许诺销售行为前浏览过该页面，故不能实现证明目的。</w:t>
      </w:r>
    </w:p>
    <w:p w14:paraId="35ABF137">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本院二审查明的事实与一审法院认定的一致。</w:t>
      </w:r>
    </w:p>
    <w:p w14:paraId="21B1FCE9">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本院认为，根据金某商行的上诉请求和理由及刘某强的答辩意见，本案二审的争议焦点为：一审判决确定的赔偿金额是否合理。</w:t>
      </w:r>
    </w:p>
    <w:p w14:paraId="35BCBEB6">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金某商行未经专利权人许可，为生产经营目的许诺销售被诉侵权产品，侵害了刘某强的涉案专利权，应当承担相应的民事责任。金某商行提出不侵权抗辩。本院经审查认为，双方当事人于二审中均确认专利产品三件套售价约</w:t>
      </w:r>
      <w:r>
        <w:rPr>
          <w:rFonts w:hint="default" w:ascii="Times New Roman" w:hAnsi="Times New Roman" w:eastAsia="仿宋_GB2312" w:cs="Times New Roman"/>
          <w:kern w:val="2"/>
          <w:sz w:val="32"/>
          <w:szCs w:val="32"/>
          <w:lang w:val="en-US" w:eastAsia="zh-CN" w:bidi="ar"/>
        </w:rPr>
        <w:t>800</w:t>
      </w:r>
      <w:r>
        <w:rPr>
          <w:rFonts w:hint="eastAsia" w:ascii="仿宋_GB2312" w:hAnsi="Times New Roman" w:eastAsia="仿宋_GB2312" w:cs="仿宋_GB2312"/>
          <w:kern w:val="2"/>
          <w:sz w:val="32"/>
          <w:szCs w:val="32"/>
          <w:lang w:val="en-US" w:eastAsia="zh-CN" w:bidi="ar"/>
        </w:rPr>
        <w:t>余元，特别是根据金某商行二审陈述及提交的材料显示，其在某甲平台网上某店铺就涉案同款产品询价后，卖家报价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那就按批发给你一套</w:t>
      </w:r>
      <w:r>
        <w:rPr>
          <w:rFonts w:hint="default" w:ascii="Times New Roman" w:hAnsi="Times New Roman" w:eastAsia="仿宋_GB2312" w:cs="Times New Roman"/>
          <w:kern w:val="2"/>
          <w:sz w:val="32"/>
          <w:szCs w:val="32"/>
          <w:lang w:val="en-US" w:eastAsia="zh-CN" w:bidi="ar"/>
        </w:rPr>
        <w:t>830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，而金某商行对外报价一套</w:t>
      </w:r>
      <w:r>
        <w:rPr>
          <w:rFonts w:hint="default" w:ascii="Times New Roman" w:hAnsi="Times New Roman" w:eastAsia="仿宋_GB2312" w:cs="Times New Roman"/>
          <w:kern w:val="2"/>
          <w:sz w:val="32"/>
          <w:szCs w:val="32"/>
          <w:lang w:val="en-US" w:eastAsia="zh-CN" w:bidi="ar"/>
        </w:rPr>
        <w:t>420</w:t>
      </w:r>
      <w:bookmarkStart w:id="2" w:name="WKJC_2c99a28b954cb7fa019564902e372b3b"/>
      <w:r>
        <w:rPr>
          <w:rFonts w:hint="default" w:ascii="Times New Roman" w:hAnsi="Times New Roman" w:eastAsia="仿宋_GB2312" w:cs="Times New Roman"/>
          <w:kern w:val="2"/>
          <w:sz w:val="32"/>
          <w:szCs w:val="32"/>
          <w:lang w:val="en-US" w:eastAsia="zh-CN" w:bidi="ar"/>
        </w:rPr>
        <w:t>-</w:t>
      </w:r>
      <w:bookmarkEnd w:id="2"/>
      <w:r>
        <w:rPr>
          <w:rFonts w:hint="default" w:ascii="Times New Roman" w:hAnsi="Times New Roman" w:eastAsia="仿宋_GB2312" w:cs="Times New Roman"/>
          <w:kern w:val="2"/>
          <w:sz w:val="32"/>
          <w:szCs w:val="32"/>
          <w:lang w:val="en-US" w:eastAsia="zh-CN" w:bidi="ar"/>
        </w:rPr>
        <w:t>450</w:t>
      </w:r>
      <w:r>
        <w:rPr>
          <w:rFonts w:hint="eastAsia" w:ascii="仿宋_GB2312" w:hAnsi="Times New Roman" w:eastAsia="仿宋_GB2312" w:cs="仿宋_GB2312"/>
          <w:kern w:val="2"/>
          <w:sz w:val="32"/>
          <w:szCs w:val="32"/>
          <w:lang w:val="en-US" w:eastAsia="zh-CN" w:bidi="ar"/>
        </w:rPr>
        <w:t>元，故其关于接到客户订单后可以从市场上，包括从权利人处采购到专利产品再转卖，不构成对专利权的侵害的抗辩主张，既有</w:t>
      </w:r>
      <w:bookmarkStart w:id="3" w:name="WKJC_2c99a28b954cb7fa019564902e372b3d"/>
      <w:r>
        <w:rPr>
          <w:rFonts w:hint="eastAsia" w:ascii="仿宋_GB2312" w:hAnsi="Times New Roman" w:eastAsia="仿宋_GB2312" w:cs="仿宋_GB2312"/>
          <w:kern w:val="2"/>
          <w:sz w:val="32"/>
          <w:szCs w:val="32"/>
          <w:lang w:val="en-US" w:eastAsia="zh-CN" w:bidi="ar"/>
        </w:rPr>
        <w:t>违</w:t>
      </w:r>
      <w:bookmarkEnd w:id="3"/>
      <w:r>
        <w:rPr>
          <w:rFonts w:hint="eastAsia" w:ascii="仿宋_GB2312" w:hAnsi="Times New Roman" w:eastAsia="仿宋_GB2312" w:cs="仿宋_GB2312"/>
          <w:kern w:val="2"/>
          <w:sz w:val="32"/>
          <w:szCs w:val="32"/>
          <w:lang w:val="en-US" w:eastAsia="zh-CN" w:bidi="ar"/>
        </w:rPr>
        <w:t>市场经营低买高卖的常理，又缺乏法律依据，不能成立。</w:t>
      </w:r>
    </w:p>
    <w:p w14:paraId="725BCBD8">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单纯的许诺销售行为造成权利人损失的问题，本院认为，许诺销售行为是一种法定的独立的侵权行为方式，客观上会给专利权人造成专利产品的价格侵蚀、商业机会的减少或者延迟等损害后果，具有侵权的可责性，但在侵权人仅实施了许诺销售行为的情况下，其侵权损害后果一般轻于实际销售的损害后果。当权利人因被侵权受到的损失或侵权人获得的利益均难以查明，但有证据证明前述数额明显低于法定赔偿的最低限额时，应当基于相关证据并综合案件具体情况，在法定最低限额以下以裁量性方式合理确定赔偿数额。</w:t>
      </w:r>
    </w:p>
    <w:p w14:paraId="48180789">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本案中，关于赔偿数额，本院考量的因素主要包括：涉案专利为外观设计专利，申请日为</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日，授权公告日为同年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日，对箱包类产品利润有一定贡献度；金某商行实施了许诺销售行为；刘某强未提供关于因被侵权所受损失的证据，被诉行为对其造成的损害后果系根据日常经验法则推定；被诉侵权产品三件套价格</w:t>
      </w:r>
      <w:r>
        <w:rPr>
          <w:rFonts w:hint="default" w:ascii="Times New Roman" w:hAnsi="Times New Roman" w:eastAsia="仿宋_GB2312" w:cs="Times New Roman"/>
          <w:kern w:val="2"/>
          <w:sz w:val="32"/>
          <w:szCs w:val="32"/>
          <w:lang w:val="en-US" w:eastAsia="zh-CN" w:bidi="ar"/>
        </w:rPr>
        <w:t>420</w:t>
      </w:r>
      <w:r>
        <w:rPr>
          <w:rFonts w:hint="eastAsia" w:ascii="仿宋_GB2312" w:hAnsi="Times New Roman" w:eastAsia="仿宋_GB2312" w:cs="仿宋_GB2312"/>
          <w:kern w:val="2"/>
          <w:sz w:val="32"/>
          <w:szCs w:val="32"/>
          <w:lang w:val="en-US" w:eastAsia="zh-CN" w:bidi="ar"/>
        </w:rPr>
        <w:t>元至</w:t>
      </w:r>
      <w:r>
        <w:rPr>
          <w:rFonts w:hint="default" w:ascii="Times New Roman" w:hAnsi="Times New Roman" w:eastAsia="仿宋_GB2312" w:cs="Times New Roman"/>
          <w:kern w:val="2"/>
          <w:sz w:val="32"/>
          <w:szCs w:val="32"/>
          <w:lang w:val="en-US" w:eastAsia="zh-CN" w:bidi="ar"/>
        </w:rPr>
        <w:t>450</w:t>
      </w:r>
      <w:r>
        <w:rPr>
          <w:rFonts w:hint="eastAsia" w:ascii="仿宋_GB2312" w:hAnsi="Times New Roman" w:eastAsia="仿宋_GB2312" w:cs="仿宋_GB2312"/>
          <w:kern w:val="2"/>
          <w:sz w:val="32"/>
          <w:szCs w:val="32"/>
          <w:lang w:val="en-US" w:eastAsia="zh-CN" w:bidi="ar"/>
        </w:rPr>
        <w:t>元不等，</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件起订；刘某强为本案维权取证，支付公证费</w:t>
      </w:r>
      <w:r>
        <w:rPr>
          <w:rFonts w:hint="default" w:ascii="Times New Roman" w:hAnsi="Times New Roman" w:eastAsia="仿宋_GB2312" w:cs="Times New Roman"/>
          <w:kern w:val="2"/>
          <w:sz w:val="32"/>
          <w:szCs w:val="32"/>
          <w:lang w:val="en-US" w:eastAsia="zh-CN" w:bidi="ar"/>
        </w:rPr>
        <w:t>1600</w:t>
      </w:r>
      <w:r>
        <w:rPr>
          <w:rFonts w:hint="eastAsia" w:ascii="仿宋_GB2312" w:hAnsi="Times New Roman" w:eastAsia="仿宋_GB2312" w:cs="仿宋_GB2312"/>
          <w:kern w:val="2"/>
          <w:sz w:val="32"/>
          <w:szCs w:val="32"/>
          <w:lang w:val="en-US" w:eastAsia="zh-CN" w:bidi="ar"/>
        </w:rPr>
        <w:t>元。综合考量上述权利要素与侵权因素，本院认为一审法院酌定判赔金额过高，故在法定赔偿最低限额以下酌情确定赔偿数额及合理维权费用共计</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元。</w:t>
      </w:r>
    </w:p>
    <w:p w14:paraId="697F5BB0">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金某商行的上诉请求部分成立，本院对其合理部分予以支持。一审判决认定事实清楚，但适用法律不当，应予纠正。依照《中华人民共和国民法典》第一百七十九条，《中华人民共和国民事诉讼法》第一百七十七条第一款第二项之规定，判决如下：</w:t>
      </w:r>
    </w:p>
    <w:p w14:paraId="326CC868">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一、维持浙江省金华市中级人民法院（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07</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698</w:t>
      </w:r>
      <w:r>
        <w:rPr>
          <w:rFonts w:hint="eastAsia" w:ascii="仿宋_GB2312" w:hAnsi="Times New Roman" w:eastAsia="仿宋_GB2312" w:cs="仿宋_GB2312"/>
          <w:kern w:val="2"/>
          <w:sz w:val="32"/>
          <w:szCs w:val="32"/>
          <w:lang w:val="en-US" w:eastAsia="zh-CN" w:bidi="ar"/>
        </w:rPr>
        <w:t>号民事判决第一项，即义乌市金某箱包商行于判决生效之日起立即停止许诺销售落入专利号为</w:t>
      </w:r>
      <w:r>
        <w:rPr>
          <w:rFonts w:hint="default" w:ascii="Times New Roman" w:hAnsi="Times New Roman" w:eastAsia="仿宋_GB2312" w:cs="Times New Roman"/>
          <w:kern w:val="2"/>
          <w:sz w:val="32"/>
          <w:szCs w:val="32"/>
          <w:lang w:val="en-US" w:eastAsia="zh-CN" w:bidi="ar"/>
        </w:rPr>
        <w:t>ZL2020****9947.0</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行李箱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的外观设计专利权保护范围的产品；</w:t>
      </w:r>
    </w:p>
    <w:p w14:paraId="11ACF9F1">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二、撤销浙江省金华市中级人民法院（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07</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698</w:t>
      </w:r>
      <w:r>
        <w:rPr>
          <w:rFonts w:hint="eastAsia" w:ascii="仿宋_GB2312" w:hAnsi="Times New Roman" w:eastAsia="仿宋_GB2312" w:cs="仿宋_GB2312"/>
          <w:kern w:val="2"/>
          <w:sz w:val="32"/>
          <w:szCs w:val="32"/>
          <w:lang w:val="en-US" w:eastAsia="zh-CN" w:bidi="ar"/>
        </w:rPr>
        <w:t>号民事判决第三项；</w:t>
      </w:r>
    </w:p>
    <w:p w14:paraId="1DD34ACC">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三、变更浙江省金华市中级人民法院（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07</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698</w:t>
      </w:r>
      <w:r>
        <w:rPr>
          <w:rFonts w:hint="eastAsia" w:ascii="仿宋_GB2312" w:hAnsi="Times New Roman" w:eastAsia="仿宋_GB2312" w:cs="仿宋_GB2312"/>
          <w:kern w:val="2"/>
          <w:sz w:val="32"/>
          <w:szCs w:val="32"/>
          <w:lang w:val="en-US" w:eastAsia="zh-CN" w:bidi="ar"/>
        </w:rPr>
        <w:t>号民事判决第二项为义乌市金某箱包商行于本判决送达之日起十日内赔偿刘某强经济损失及为制止侵权行为所支付的合理开支共计</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元；</w:t>
      </w:r>
    </w:p>
    <w:p w14:paraId="5354C3A3">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四、驳回刘某强的其他诉讼请求。</w:t>
      </w:r>
    </w:p>
    <w:p w14:paraId="3A0579FC">
      <w:pPr>
        <w:keepNext w:val="0"/>
        <w:keepLines w:val="0"/>
        <w:widowControl w:val="0"/>
        <w:suppressLineNumbers w:val="0"/>
        <w:autoSpaceDE w:val="0"/>
        <w:autoSpaceDN w:val="0"/>
        <w:adjustRightInd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如果未按本判决指定的期间履行给付金钱义务，应当依照《中华人民共和国民事诉讼法》第二百六十四条之规定，加倍支付迟延履行期间的债务利息。</w:t>
      </w:r>
    </w:p>
    <w:p w14:paraId="5C5444D1">
      <w:pPr>
        <w:pStyle w:val="2"/>
        <w:keepNext w:val="0"/>
        <w:keepLines w:val="0"/>
        <w:widowControl w:val="0"/>
        <w:suppressLineNumbers w:val="0"/>
        <w:spacing w:before="100" w:beforeAutospacing="1" w:after="0" w:afterAutospacing="0" w:line="592" w:lineRule="exact"/>
        <w:ind w:left="0" w:right="0" w:firstLine="640" w:firstLineChars="200"/>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一审案件受理费</w:t>
      </w:r>
      <w:r>
        <w:rPr>
          <w:rFonts w:hint="default" w:ascii="Times New Roman" w:hAnsi="Times New Roman" w:eastAsia="仿宋_GB2312" w:cs="Times New Roman"/>
          <w:kern w:val="2"/>
          <w:sz w:val="32"/>
          <w:szCs w:val="32"/>
        </w:rPr>
        <w:t>1050</w:t>
      </w:r>
      <w:r>
        <w:rPr>
          <w:rFonts w:hint="eastAsia" w:ascii="仿宋_GB2312" w:hAnsi="Times New Roman" w:eastAsia="仿宋_GB2312" w:cs="仿宋_GB2312"/>
          <w:kern w:val="2"/>
          <w:sz w:val="32"/>
          <w:szCs w:val="32"/>
        </w:rPr>
        <w:t>元，由刘某强负担</w:t>
      </w:r>
      <w:r>
        <w:rPr>
          <w:rFonts w:hint="default" w:ascii="Times New Roman" w:hAnsi="Times New Roman" w:eastAsia="仿宋_GB2312" w:cs="Times New Roman"/>
          <w:kern w:val="2"/>
          <w:sz w:val="32"/>
          <w:szCs w:val="32"/>
        </w:rPr>
        <w:t>472.5</w:t>
      </w:r>
      <w:r>
        <w:rPr>
          <w:rFonts w:hint="eastAsia" w:ascii="仿宋_GB2312" w:hAnsi="Times New Roman" w:eastAsia="仿宋_GB2312" w:cs="仿宋_GB2312"/>
          <w:kern w:val="2"/>
          <w:sz w:val="32"/>
          <w:szCs w:val="32"/>
        </w:rPr>
        <w:t>元，义乌市金某箱包商行负担</w:t>
      </w:r>
      <w:r>
        <w:rPr>
          <w:rFonts w:hint="default" w:ascii="Times New Roman" w:hAnsi="Times New Roman" w:eastAsia="仿宋_GB2312" w:cs="Times New Roman"/>
          <w:kern w:val="2"/>
          <w:sz w:val="32"/>
          <w:szCs w:val="32"/>
        </w:rPr>
        <w:t>577.5</w:t>
      </w:r>
      <w:r>
        <w:rPr>
          <w:rFonts w:hint="eastAsia" w:ascii="仿宋_GB2312" w:hAnsi="Times New Roman" w:eastAsia="仿宋_GB2312" w:cs="仿宋_GB2312"/>
          <w:kern w:val="2"/>
          <w:sz w:val="32"/>
          <w:szCs w:val="32"/>
        </w:rPr>
        <w:t>元。二审案件受理费</w:t>
      </w:r>
      <w:r>
        <w:rPr>
          <w:rFonts w:hint="default" w:ascii="Times New Roman" w:hAnsi="Times New Roman" w:eastAsia="仿宋_GB2312" w:cs="Times New Roman"/>
          <w:kern w:val="2"/>
          <w:sz w:val="32"/>
          <w:szCs w:val="32"/>
        </w:rPr>
        <w:t>550</w:t>
      </w:r>
      <w:r>
        <w:rPr>
          <w:rFonts w:hint="eastAsia" w:ascii="仿宋_GB2312" w:hAnsi="Times New Roman" w:eastAsia="仿宋_GB2312" w:cs="仿宋_GB2312"/>
          <w:kern w:val="2"/>
          <w:sz w:val="32"/>
          <w:szCs w:val="32"/>
        </w:rPr>
        <w:t>元，由刘某强负担</w:t>
      </w:r>
      <w:r>
        <w:rPr>
          <w:rFonts w:hint="default" w:ascii="Times New Roman" w:hAnsi="Times New Roman" w:eastAsia="仿宋_GB2312" w:cs="Times New Roman"/>
          <w:kern w:val="2"/>
          <w:sz w:val="32"/>
          <w:szCs w:val="32"/>
        </w:rPr>
        <w:t>229</w:t>
      </w:r>
      <w:r>
        <w:rPr>
          <w:rFonts w:hint="eastAsia" w:ascii="仿宋_GB2312" w:hAnsi="Times New Roman" w:eastAsia="仿宋_GB2312" w:cs="仿宋_GB2312"/>
          <w:kern w:val="2"/>
          <w:sz w:val="32"/>
          <w:szCs w:val="32"/>
        </w:rPr>
        <w:t>元，义乌市金某箱包商行负担</w:t>
      </w:r>
      <w:r>
        <w:rPr>
          <w:rFonts w:hint="default" w:ascii="Times New Roman" w:hAnsi="Times New Roman" w:eastAsia="仿宋_GB2312" w:cs="Times New Roman"/>
          <w:kern w:val="2"/>
          <w:sz w:val="32"/>
          <w:szCs w:val="32"/>
        </w:rPr>
        <w:t>321</w:t>
      </w:r>
      <w:r>
        <w:rPr>
          <w:rFonts w:hint="eastAsia" w:ascii="仿宋_GB2312" w:hAnsi="Times New Roman" w:eastAsia="仿宋_GB2312" w:cs="仿宋_GB2312"/>
          <w:kern w:val="2"/>
          <w:sz w:val="32"/>
          <w:szCs w:val="32"/>
        </w:rPr>
        <w:t>元。</w:t>
      </w:r>
    </w:p>
    <w:p w14:paraId="0275E6D4">
      <w:pPr>
        <w:pStyle w:val="2"/>
        <w:keepNext w:val="0"/>
        <w:keepLines w:val="0"/>
        <w:widowControl w:val="0"/>
        <w:suppressLineNumbers w:val="0"/>
        <w:spacing w:before="100" w:beforeAutospacing="1" w:after="0" w:afterAutospacing="0" w:line="592" w:lineRule="exact"/>
        <w:ind w:left="0" w:right="0" w:firstLine="640" w:firstLineChars="200"/>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本判决为终审判决。</w:t>
      </w:r>
    </w:p>
    <w:p w14:paraId="3491EEF6">
      <w:pPr>
        <w:keepNext w:val="0"/>
        <w:keepLines w:val="0"/>
        <w:widowControl w:val="0"/>
        <w:suppressLineNumbers w:val="0"/>
        <w:autoSpaceDE w:val="0"/>
        <w:autoSpaceDN w:val="0"/>
        <w:adjustRightInd w:val="0"/>
        <w:spacing w:before="0" w:beforeAutospacing="0" w:after="0" w:afterAutospacing="0" w:line="592" w:lineRule="exact"/>
        <w:ind w:left="0" w:right="0" w:firstLine="4480" w:firstLineChars="14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69421A9">
      <w:pPr>
        <w:keepNext w:val="0"/>
        <w:keepLines w:val="0"/>
        <w:widowControl w:val="0"/>
        <w:suppressLineNumbers w:val="0"/>
        <w:autoSpaceDE w:val="0"/>
        <w:autoSpaceDN w:val="0"/>
        <w:adjustRightInd w:val="0"/>
        <w:spacing w:before="0" w:beforeAutospacing="0" w:after="0" w:afterAutospacing="0" w:line="592" w:lineRule="exact"/>
        <w:ind w:left="0" w:right="0" w:firstLine="4480" w:firstLineChars="14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0DAB2756">
      <w:pPr>
        <w:keepNext w:val="0"/>
        <w:keepLines w:val="0"/>
        <w:widowControl w:val="0"/>
        <w:suppressLineNumbers w:val="0"/>
        <w:tabs>
          <w:tab w:val="left" w:pos="6456"/>
          <w:tab w:val="left" w:pos="6725"/>
          <w:tab w:val="left" w:pos="7263"/>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22A24906">
      <w:pPr>
        <w:keepNext w:val="0"/>
        <w:keepLines w:val="0"/>
        <w:widowControl w:val="0"/>
        <w:suppressLineNumbers w:val="0"/>
        <w:tabs>
          <w:tab w:val="left" w:pos="5918"/>
          <w:tab w:val="left" w:pos="6456"/>
          <w:tab w:val="left" w:pos="7263"/>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6B82C193">
      <w:pPr>
        <w:keepNext w:val="0"/>
        <w:keepLines w:val="0"/>
        <w:widowControl w:val="0"/>
        <w:suppressLineNumbers w:val="0"/>
        <w:tabs>
          <w:tab w:val="left" w:pos="5918"/>
          <w:tab w:val="left" w:pos="6456"/>
          <w:tab w:val="left" w:pos="7263"/>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BE4493A">
      <w:pPr>
        <w:pStyle w:val="3"/>
        <w:keepNext w:val="0"/>
        <w:keepLines w:val="0"/>
        <w:widowControl w:val="0"/>
        <w:suppressLineNumbers w:val="0"/>
        <w:spacing w:line="592" w:lineRule="exac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3C678B91">
      <w:pPr>
        <w:pStyle w:val="3"/>
        <w:keepNext w:val="0"/>
        <w:keepLines w:val="0"/>
        <w:widowControl w:val="0"/>
        <w:suppressLineNumbers w:val="0"/>
        <w:spacing w:line="592" w:lineRule="exac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tbl>
      <w:tblPr>
        <w:tblStyle w:val="6"/>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1"/>
      </w:tblGrid>
      <w:tr w14:paraId="260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Borders>
              <w:top w:val="nil"/>
              <w:left w:val="nil"/>
              <w:bottom w:val="nil"/>
              <w:right w:val="nil"/>
            </w:tcBorders>
            <w:noWrap w:val="0"/>
            <w:vAlign w:val="top"/>
          </w:tcPr>
          <w:p w14:paraId="7A040FA9">
            <w:pPr>
              <w:pStyle w:val="4"/>
              <w:keepNext w:val="0"/>
              <w:keepLines w:val="0"/>
              <w:widowControl w:val="0"/>
              <w:suppressLineNumbers w:val="0"/>
              <w:spacing w:line="592" w:lineRule="exact"/>
              <w:ind w:left="0" w:firstLine="171" w:firstLineChars="45"/>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31"/>
                <w:kern w:val="0"/>
                <w:sz w:val="32"/>
                <w:szCs w:val="32"/>
              </w:rPr>
              <w:t>二〇二五年三月十二</w:t>
            </w:r>
            <w:r>
              <w:rPr>
                <w:rFonts w:hint="eastAsia" w:ascii="仿宋_GB2312" w:hAnsi="Times New Roman" w:eastAsia="仿宋_GB2312" w:cs="仿宋_GB2312"/>
                <w:spacing w:val="4"/>
                <w:kern w:val="0"/>
                <w:sz w:val="32"/>
                <w:szCs w:val="32"/>
              </w:rPr>
              <w:t>日</w:t>
            </w:r>
          </w:p>
        </w:tc>
      </w:tr>
    </w:tbl>
    <w:p w14:paraId="4F72C976">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5BC0716">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20"/>
          <w:kern w:val="2"/>
          <w:sz w:val="32"/>
          <w:szCs w:val="32"/>
          <w:lang w:val="en-US" w:eastAsia="zh-CN" w:bidi="ar"/>
        </w:rPr>
        <w:t>书</w:t>
      </w:r>
      <w:r>
        <w:rPr>
          <w:rFonts w:hint="default" w:ascii="Times New Roman" w:hAnsi="Times New Roman" w:eastAsia="仿宋_GB2312" w:cs="Times New Roman"/>
          <w:spacing w:val="-20"/>
          <w:kern w:val="2"/>
          <w:sz w:val="32"/>
          <w:szCs w:val="32"/>
          <w:lang w:val="en-US" w:eastAsia="zh-CN" w:bidi="ar"/>
        </w:rPr>
        <w:t xml:space="preserve">   </w:t>
      </w:r>
      <w:r>
        <w:rPr>
          <w:rFonts w:hint="eastAsia" w:ascii="仿宋_GB2312" w:hAnsi="Times New Roman" w:eastAsia="仿宋_GB2312" w:cs="仿宋_GB2312"/>
          <w:spacing w:val="-20"/>
          <w:kern w:val="2"/>
          <w:sz w:val="32"/>
          <w:szCs w:val="32"/>
          <w:lang w:val="en-US" w:eastAsia="zh-CN" w:bidi="ar"/>
        </w:rPr>
        <w:t>记</w:t>
      </w:r>
      <w:r>
        <w:rPr>
          <w:rFonts w:hint="default" w:ascii="Times New Roman" w:hAnsi="Times New Roman" w:eastAsia="仿宋_GB2312" w:cs="Times New Roman"/>
          <w:spacing w:val="-20"/>
          <w:kern w:val="2"/>
          <w:sz w:val="32"/>
          <w:szCs w:val="32"/>
          <w:lang w:val="en-US" w:eastAsia="zh-CN" w:bidi="ar"/>
        </w:rPr>
        <w:t xml:space="preserve">   </w:t>
      </w:r>
      <w:r>
        <w:rPr>
          <w:rFonts w:hint="eastAsia" w:ascii="仿宋_GB2312" w:hAnsi="Times New Roman" w:eastAsia="仿宋_GB2312" w:cs="仿宋_GB2312"/>
          <w:spacing w:val="-20"/>
          <w:kern w:val="2"/>
          <w:sz w:val="32"/>
          <w:szCs w:val="32"/>
          <w:lang w:val="en-US" w:eastAsia="zh-CN" w:bidi="ar"/>
        </w:rPr>
        <w:t>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姜</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镭</w:t>
      </w:r>
    </w:p>
    <w:p w14:paraId="13102D9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FFF99B42"/>
    <w:rsid w:val="43C84F6A"/>
    <w:rsid w:val="FFF99B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Style w:val="6"/>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 w:type="paragraph" w:styleId="3">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4">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styleId="5">
    <w:name w:val="Normal (Web)"/>
    <w:basedOn w:val="1"/>
    <w:uiPriority w:val="0"/>
    <w:pPr>
      <w:keepNext w:val="0"/>
      <w:keepLines w:val="0"/>
      <w:widowControl/>
      <w:suppressLineNumbers w:val="0"/>
      <w:spacing w:before="75" w:beforeAutospacing="0" w:after="75" w:afterAutospacing="0"/>
      <w:jc w:val="left"/>
    </w:pPr>
    <w:rPr>
      <w:rFonts w:hint="eastAsia" w:ascii="宋体" w:hAnsi="宋体" w:eastAsia="宋体" w:cs="宋体"/>
      <w:kern w:val="0"/>
      <w:sz w:val="24"/>
      <w:szCs w:val="24"/>
      <w:lang w:val="en-US" w:eastAsia="zh-CN" w:bidi="ar"/>
    </w:rPr>
  </w:style>
  <w:style w:type="character" w:customStyle="1" w:styleId="8">
    <w:name w:val="15"/>
    <w:basedOn w:val="7"/>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2026-06-30T16:41:00Z</dcterms:created>
  <dc:creator>王莉莉</dc:creator>
  <cp:lastModifiedBy>Laurent</cp:lastModifiedBy>
  <dcterms:modified xsi:type="dcterms:W3CDTF">2026-07-18T05:48:54Z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DDD4E1C68BDB4E029C63B4D19E6FCE12_13</vt:lpwstr>
  </property>
</Properties>
</file>