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38BE1">
      <w:pPr>
        <w:keepNext w:val="0"/>
        <w:keepLines w:val="0"/>
        <w:widowControl w:val="0"/>
        <w:suppressLineNumbers w:val="0"/>
        <w:spacing w:before="0" w:beforeAutospacing="0" w:after="0" w:afterAutospacing="0" w:line="840" w:lineRule="exact"/>
        <w:ind w:left="0" w:right="0"/>
        <w:jc w:val="center"/>
        <w:rPr>
          <w:rFonts w:hint="eastAsia" w:ascii="华文中宋" w:hAnsi="华文中宋"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52B1C2A7">
      <w:pPr>
        <w:keepNext w:val="0"/>
        <w:keepLines w:val="0"/>
        <w:widowControl w:val="0"/>
        <w:suppressLineNumbers w:val="0"/>
        <w:spacing w:before="0" w:beforeAutospacing="0" w:after="0" w:afterAutospacing="0" w:line="840" w:lineRule="exact"/>
        <w:ind w:left="0" w:right="0"/>
        <w:jc w:val="center"/>
        <w:rPr>
          <w:rFonts w:hint="eastAsia" w:ascii="华文中宋" w:hAnsi="华文中宋"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民事裁定</w:t>
      </w:r>
      <w:r>
        <w:rPr>
          <w:rFonts w:hint="eastAsia" w:ascii="华文中宋" w:hAnsi="华文中宋" w:eastAsia="华文中宋" w:cs="华文中宋"/>
          <w:kern w:val="2"/>
          <w:sz w:val="52"/>
          <w:szCs w:val="52"/>
          <w:lang w:val="en-US" w:eastAsia="zh-CN" w:bidi="ar"/>
        </w:rPr>
        <w:t>书</w:t>
      </w:r>
    </w:p>
    <w:p w14:paraId="6D07BF8D">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27FCFBA4">
      <w:pPr>
        <w:keepNext w:val="0"/>
        <w:keepLines w:val="0"/>
        <w:widowControl w:val="0"/>
        <w:suppressLineNumbers w:val="0"/>
        <w:wordWrap w:val="0"/>
        <w:spacing w:before="0" w:beforeAutospacing="0" w:after="0" w:afterAutospacing="0" w:line="340" w:lineRule="exact"/>
        <w:ind w:left="0" w:right="0" w:firstLine="57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2025</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1398</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2CD73B88">
      <w:pPr>
        <w:keepNext w:val="0"/>
        <w:keepLines w:val="0"/>
        <w:widowControl w:val="0"/>
        <w:suppressLineNumbers w:val="0"/>
        <w:autoSpaceDE w:val="0"/>
        <w:autoSpaceDN/>
        <w:spacing w:before="0" w:beforeAutospacing="0" w:after="0" w:afterAutospacing="0" w:line="392"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27E91CC9">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b w:val="0"/>
          <w:kern w:val="2"/>
          <w:sz w:val="32"/>
          <w:szCs w:val="32"/>
          <w:lang w:val="en-US" w:eastAsia="zh-CN" w:bidi="ar"/>
        </w:rPr>
        <w:t>上诉人（原审</w:t>
      </w:r>
      <w:r>
        <w:rPr>
          <w:rFonts w:hint="eastAsia" w:ascii="仿宋_GB2312" w:hAnsi="Times New Roman" w:eastAsia="仿宋_GB2312" w:cs="仿宋_GB2312"/>
          <w:spacing w:val="0"/>
          <w:kern w:val="2"/>
          <w:sz w:val="32"/>
          <w:szCs w:val="32"/>
          <w:lang w:val="en-US" w:eastAsia="zh-CN" w:bidi="ar"/>
        </w:rPr>
        <w:t>原</w:t>
      </w:r>
      <w:r>
        <w:rPr>
          <w:rFonts w:hint="eastAsia" w:ascii="仿宋_GB2312" w:hAnsi="Times New Roman" w:eastAsia="仿宋_GB2312" w:cs="仿宋_GB2312"/>
          <w:b w:val="0"/>
          <w:kern w:val="2"/>
          <w:sz w:val="32"/>
          <w:szCs w:val="32"/>
          <w:lang w:val="en-US" w:eastAsia="zh-CN" w:bidi="ar"/>
        </w:rPr>
        <w:t>告）</w:t>
      </w:r>
      <w:r>
        <w:rPr>
          <w:rFonts w:hint="eastAsia" w:ascii="仿宋_GB2312" w:hAnsi="Times New Roman" w:eastAsia="仿宋_GB2312" w:cs="仿宋_GB2312"/>
          <w:kern w:val="2"/>
          <w:sz w:val="32"/>
          <w:szCs w:val="32"/>
          <w:lang w:val="en-US" w:eastAsia="zh-CN" w:bidi="ar"/>
        </w:rPr>
        <w:t>：</w:t>
      </w:r>
      <w:r>
        <w:rPr>
          <w:rFonts w:hint="eastAsia" w:ascii="仿宋_GB2312" w:hAnsi="Times New Roman" w:eastAsia="仿宋_GB2312" w:cs="仿宋_GB2312"/>
          <w:spacing w:val="0"/>
          <w:kern w:val="2"/>
          <w:sz w:val="32"/>
          <w:szCs w:val="32"/>
          <w:lang w:val="en-US" w:eastAsia="zh-CN" w:bidi="ar"/>
        </w:rPr>
        <w:t>浙江晶某科技股份有限公司，住所地浙江省湖州市。</w:t>
      </w:r>
    </w:p>
    <w:p w14:paraId="6B08FC26">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b w:val="0"/>
          <w:kern w:val="2"/>
          <w:sz w:val="32"/>
          <w:szCs w:val="32"/>
          <w:lang w:val="en-US" w:eastAsia="zh-CN" w:bidi="ar"/>
        </w:rPr>
        <w:t>被上诉人（原审</w:t>
      </w:r>
      <w:r>
        <w:rPr>
          <w:rFonts w:hint="eastAsia" w:ascii="仿宋_GB2312" w:hAnsi="Times New Roman" w:eastAsia="仿宋_GB2312" w:cs="仿宋_GB2312"/>
          <w:spacing w:val="0"/>
          <w:kern w:val="2"/>
          <w:sz w:val="32"/>
          <w:szCs w:val="32"/>
          <w:lang w:val="en-US" w:eastAsia="zh-CN" w:bidi="ar"/>
        </w:rPr>
        <w:t>被</w:t>
      </w:r>
      <w:r>
        <w:rPr>
          <w:rFonts w:hint="eastAsia" w:ascii="仿宋_GB2312" w:hAnsi="Times New Roman" w:eastAsia="仿宋_GB2312" w:cs="仿宋_GB2312"/>
          <w:b w:val="0"/>
          <w:kern w:val="2"/>
          <w:sz w:val="32"/>
          <w:szCs w:val="32"/>
          <w:lang w:val="en-US" w:eastAsia="zh-CN" w:bidi="ar"/>
        </w:rPr>
        <w:t>告）</w:t>
      </w:r>
      <w:r>
        <w:rPr>
          <w:rFonts w:hint="eastAsia" w:ascii="仿宋_GB2312" w:hAnsi="Times New Roman" w:eastAsia="仿宋_GB2312" w:cs="仿宋_GB2312"/>
          <w:spacing w:val="0"/>
          <w:kern w:val="2"/>
          <w:sz w:val="32"/>
          <w:szCs w:val="32"/>
          <w:lang w:val="en-US" w:eastAsia="zh-CN" w:bidi="ar"/>
        </w:rPr>
        <w:t>：湖州睿某照明科技有限公司，住所地浙江省湖州市。</w:t>
      </w:r>
    </w:p>
    <w:p w14:paraId="6F06EE65">
      <w:pPr>
        <w:pStyle w:val="5"/>
        <w:keepNext w:val="0"/>
        <w:keepLines w:val="0"/>
        <w:widowControl w:val="0"/>
        <w:suppressLineNumbers w:val="0"/>
        <w:tabs>
          <w:tab w:val="left" w:pos="2694"/>
        </w:tabs>
        <w:spacing w:line="592" w:lineRule="exact"/>
        <w:ind w:left="0" w:right="0" w:rightChars="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spacing w:val="0"/>
          <w:kern w:val="0"/>
          <w:sz w:val="32"/>
          <w:szCs w:val="32"/>
        </w:rPr>
        <w:t>上诉人浙江晶某科技股份有限公司（以下简称晶某公司）因与被上诉人湖州睿某照明科技有限公司（以下简称睿某公司）侵害外观设计专利权纠纷一案，</w:t>
      </w:r>
      <w:r>
        <w:rPr>
          <w:rFonts w:hint="eastAsia" w:ascii="仿宋_GB2312" w:hAnsi="Times New Roman" w:eastAsia="仿宋_GB2312" w:cs="仿宋_GB2312"/>
          <w:b w:val="0"/>
          <w:kern w:val="0"/>
          <w:sz w:val="32"/>
          <w:szCs w:val="32"/>
        </w:rPr>
        <w:t>不服浙江省湖州市中级人民法院（</w:t>
      </w:r>
      <w:r>
        <w:rPr>
          <w:rFonts w:hint="default" w:ascii="Times New Roman" w:hAnsi="Times New Roman" w:eastAsia="仿宋_GB2312" w:cs="Times New Roman"/>
          <w:b w:val="0"/>
          <w:kern w:val="0"/>
          <w:sz w:val="32"/>
          <w:szCs w:val="32"/>
        </w:rPr>
        <w:t>2025</w:t>
      </w:r>
      <w:r>
        <w:rPr>
          <w:rFonts w:hint="eastAsia" w:ascii="仿宋_GB2312" w:hAnsi="Times New Roman" w:eastAsia="仿宋_GB2312" w:cs="仿宋_GB2312"/>
          <w:b w:val="0"/>
          <w:kern w:val="0"/>
          <w:sz w:val="32"/>
          <w:szCs w:val="32"/>
        </w:rPr>
        <w:t>）浙</w:t>
      </w:r>
      <w:r>
        <w:rPr>
          <w:rFonts w:hint="default" w:ascii="Times New Roman" w:hAnsi="Times New Roman" w:eastAsia="仿宋_GB2312" w:cs="Times New Roman"/>
          <w:b w:val="0"/>
          <w:kern w:val="0"/>
          <w:sz w:val="32"/>
          <w:szCs w:val="32"/>
        </w:rPr>
        <w:t>05</w:t>
      </w:r>
      <w:r>
        <w:rPr>
          <w:rFonts w:hint="eastAsia" w:ascii="仿宋_GB2312" w:hAnsi="Times New Roman" w:eastAsia="仿宋_GB2312" w:cs="仿宋_GB2312"/>
          <w:b w:val="0"/>
          <w:kern w:val="0"/>
          <w:sz w:val="32"/>
          <w:szCs w:val="32"/>
        </w:rPr>
        <w:t>民初</w:t>
      </w:r>
      <w:r>
        <w:rPr>
          <w:rFonts w:hint="default" w:ascii="Times New Roman" w:hAnsi="Times New Roman" w:eastAsia="仿宋_GB2312" w:cs="Times New Roman"/>
          <w:b w:val="0"/>
          <w:kern w:val="0"/>
          <w:sz w:val="32"/>
          <w:szCs w:val="32"/>
        </w:rPr>
        <w:t>257</w:t>
      </w:r>
      <w:r>
        <w:rPr>
          <w:rFonts w:hint="eastAsia" w:ascii="仿宋_GB2312" w:hAnsi="Times New Roman" w:eastAsia="仿宋_GB2312" w:cs="仿宋_GB2312"/>
          <w:b w:val="0"/>
          <w:kern w:val="0"/>
          <w:sz w:val="32"/>
          <w:szCs w:val="32"/>
        </w:rPr>
        <w:t>号民事裁定，向本院提起上诉。本院于</w:t>
      </w:r>
      <w:r>
        <w:rPr>
          <w:rFonts w:hint="default" w:ascii="Times New Roman" w:hAnsi="Times New Roman" w:eastAsia="仿宋_GB2312" w:cs="Times New Roman"/>
          <w:b w:val="0"/>
          <w:kern w:val="0"/>
          <w:sz w:val="32"/>
          <w:szCs w:val="32"/>
        </w:rPr>
        <w:t>2025</w:t>
      </w:r>
      <w:r>
        <w:rPr>
          <w:rFonts w:hint="eastAsia" w:ascii="仿宋_GB2312" w:hAnsi="Times New Roman" w:eastAsia="仿宋_GB2312" w:cs="仿宋_GB2312"/>
          <w:b w:val="0"/>
          <w:kern w:val="0"/>
          <w:sz w:val="32"/>
          <w:szCs w:val="32"/>
        </w:rPr>
        <w:t>年</w:t>
      </w:r>
      <w:r>
        <w:rPr>
          <w:rFonts w:hint="default" w:ascii="Times New Roman" w:hAnsi="Times New Roman" w:eastAsia="仿宋_GB2312" w:cs="Times New Roman"/>
          <w:b w:val="0"/>
          <w:kern w:val="0"/>
          <w:sz w:val="32"/>
          <w:szCs w:val="32"/>
        </w:rPr>
        <w:t>11</w:t>
      </w:r>
      <w:r>
        <w:rPr>
          <w:rFonts w:hint="eastAsia" w:ascii="仿宋_GB2312" w:hAnsi="Times New Roman" w:eastAsia="仿宋_GB2312" w:cs="仿宋_GB2312"/>
          <w:b w:val="0"/>
          <w:kern w:val="0"/>
          <w:sz w:val="32"/>
          <w:szCs w:val="32"/>
        </w:rPr>
        <w:t>月</w:t>
      </w:r>
      <w:r>
        <w:rPr>
          <w:rFonts w:hint="default" w:ascii="Times New Roman" w:hAnsi="Times New Roman" w:eastAsia="仿宋_GB2312" w:cs="Times New Roman"/>
          <w:b w:val="0"/>
          <w:kern w:val="0"/>
          <w:sz w:val="32"/>
          <w:szCs w:val="32"/>
        </w:rPr>
        <w:t>26</w:t>
      </w:r>
      <w:r>
        <w:rPr>
          <w:rFonts w:hint="eastAsia" w:ascii="仿宋_GB2312" w:hAnsi="Times New Roman" w:eastAsia="仿宋_GB2312" w:cs="仿宋_GB2312"/>
          <w:b w:val="0"/>
          <w:kern w:val="0"/>
          <w:sz w:val="32"/>
          <w:szCs w:val="32"/>
        </w:rPr>
        <w:t>日立案受理后，依法组成合议庭进行了审理。本案现已审理终结。</w:t>
      </w:r>
    </w:p>
    <w:p w14:paraId="5F875224">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b w:val="0"/>
          <w:kern w:val="2"/>
          <w:sz w:val="32"/>
          <w:szCs w:val="32"/>
        </w:rPr>
      </w:pPr>
      <w:r>
        <w:rPr>
          <w:rFonts w:hint="eastAsia" w:ascii="仿宋_GB2312" w:hAnsi="Times New Roman" w:eastAsia="仿宋_GB2312" w:cs="仿宋_GB2312"/>
          <w:b w:val="0"/>
          <w:kern w:val="2"/>
          <w:sz w:val="32"/>
          <w:szCs w:val="32"/>
          <w:lang w:val="en-US" w:eastAsia="zh-CN" w:bidi="ar"/>
        </w:rPr>
        <w:t>晶某公司上诉请求：撤销一审裁定，对本案进行实体审理或指令有管辖权的中级人民法院进行实体审理，并由睿某公司承担一、二审诉讼费用。事实和理由：本案与（</w:t>
      </w:r>
      <w:r>
        <w:rPr>
          <w:rFonts w:hint="default" w:ascii="Times New Roman" w:hAnsi="Times New Roman" w:eastAsia="仿宋_GB2312" w:cs="Times New Roman"/>
          <w:b w:val="0"/>
          <w:kern w:val="2"/>
          <w:sz w:val="32"/>
          <w:szCs w:val="32"/>
          <w:lang w:val="en-US" w:eastAsia="zh-CN" w:bidi="ar"/>
        </w:rPr>
        <w:t>2023</w:t>
      </w:r>
      <w:r>
        <w:rPr>
          <w:rFonts w:hint="eastAsia" w:ascii="仿宋_GB2312" w:hAnsi="Times New Roman" w:eastAsia="仿宋_GB2312" w:cs="仿宋_GB2312"/>
          <w:b w:val="0"/>
          <w:kern w:val="2"/>
          <w:sz w:val="32"/>
          <w:szCs w:val="32"/>
          <w:lang w:val="en-US" w:eastAsia="zh-CN" w:bidi="ar"/>
        </w:rPr>
        <w:t>）浙</w:t>
      </w:r>
      <w:r>
        <w:rPr>
          <w:rFonts w:hint="default" w:ascii="Times New Roman" w:hAnsi="Times New Roman" w:eastAsia="仿宋_GB2312" w:cs="Times New Roman"/>
          <w:b w:val="0"/>
          <w:kern w:val="2"/>
          <w:sz w:val="32"/>
          <w:szCs w:val="32"/>
          <w:lang w:val="en-US" w:eastAsia="zh-CN" w:bidi="ar"/>
        </w:rPr>
        <w:t>05</w:t>
      </w:r>
      <w:r>
        <w:rPr>
          <w:rFonts w:hint="eastAsia" w:ascii="仿宋_GB2312" w:hAnsi="Times New Roman" w:eastAsia="仿宋_GB2312" w:cs="仿宋_GB2312"/>
          <w:b w:val="0"/>
          <w:kern w:val="2"/>
          <w:sz w:val="32"/>
          <w:szCs w:val="32"/>
          <w:lang w:val="en-US" w:eastAsia="zh-CN" w:bidi="ar"/>
        </w:rPr>
        <w:t>民初</w:t>
      </w:r>
      <w:r>
        <w:rPr>
          <w:rFonts w:hint="default" w:ascii="Times New Roman" w:hAnsi="Times New Roman" w:eastAsia="仿宋_GB2312" w:cs="Times New Roman"/>
          <w:b w:val="0"/>
          <w:kern w:val="2"/>
          <w:sz w:val="32"/>
          <w:szCs w:val="32"/>
          <w:lang w:val="en-US" w:eastAsia="zh-CN" w:bidi="ar"/>
        </w:rPr>
        <w:t>35</w:t>
      </w:r>
      <w:r>
        <w:rPr>
          <w:rFonts w:hint="eastAsia" w:ascii="仿宋_GB2312" w:hAnsi="Times New Roman" w:eastAsia="仿宋_GB2312" w:cs="仿宋_GB2312"/>
          <w:b w:val="0"/>
          <w:kern w:val="2"/>
          <w:sz w:val="32"/>
          <w:szCs w:val="32"/>
          <w:lang w:val="en-US" w:eastAsia="zh-CN" w:bidi="ar"/>
        </w:rPr>
        <w:t>号案件（以下简称前案）系基于完全不同、相互独立的侵权事实提起的诉讼，并非重复起诉。</w:t>
      </w:r>
      <w:r>
        <w:rPr>
          <w:rFonts w:hint="default" w:ascii="Times New Roman" w:hAnsi="Times New Roman" w:eastAsia="仿宋_GB2312" w:cs="Times New Roman"/>
          <w:b w:val="0"/>
          <w:kern w:val="2"/>
          <w:sz w:val="32"/>
          <w:szCs w:val="32"/>
          <w:lang w:val="en-US" w:eastAsia="zh-CN" w:bidi="ar"/>
        </w:rPr>
        <w:t>1.</w:t>
      </w:r>
      <w:r>
        <w:rPr>
          <w:rFonts w:hint="eastAsia" w:ascii="仿宋_GB2312" w:hAnsi="Times New Roman" w:eastAsia="仿宋_GB2312" w:cs="仿宋_GB2312"/>
          <w:b w:val="0"/>
          <w:kern w:val="2"/>
          <w:sz w:val="32"/>
          <w:szCs w:val="32"/>
          <w:lang w:val="en-US" w:eastAsia="zh-CN" w:bidi="ar"/>
        </w:rPr>
        <w:t>晶某公司在前案中主张的侵权行为仅针对</w:t>
      </w:r>
      <w:r>
        <w:rPr>
          <w:rFonts w:hint="default" w:ascii="Times New Roman" w:hAnsi="Times New Roman" w:eastAsia="仿宋_GB2312" w:cs="Times New Roman"/>
          <w:b w:val="0"/>
          <w:kern w:val="2"/>
          <w:sz w:val="32"/>
          <w:szCs w:val="32"/>
          <w:lang w:val="en-US" w:eastAsia="zh-CN" w:bidi="ar"/>
        </w:rPr>
        <w:t>2022</w:t>
      </w:r>
      <w:r>
        <w:rPr>
          <w:rFonts w:hint="eastAsia" w:ascii="仿宋_GB2312" w:hAnsi="Times New Roman" w:eastAsia="仿宋_GB2312" w:cs="仿宋_GB2312"/>
          <w:b w:val="0"/>
          <w:kern w:val="2"/>
          <w:sz w:val="32"/>
          <w:szCs w:val="32"/>
          <w:lang w:val="en-US" w:eastAsia="zh-CN" w:bidi="ar"/>
        </w:rPr>
        <w:t>年</w:t>
      </w:r>
      <w:r>
        <w:rPr>
          <w:rFonts w:hint="default" w:ascii="Times New Roman" w:hAnsi="Times New Roman" w:eastAsia="仿宋_GB2312" w:cs="Times New Roman"/>
          <w:b w:val="0"/>
          <w:kern w:val="2"/>
          <w:sz w:val="32"/>
          <w:szCs w:val="32"/>
          <w:lang w:val="en-US" w:eastAsia="zh-CN" w:bidi="ar"/>
        </w:rPr>
        <w:t>5</w:t>
      </w:r>
      <w:r>
        <w:rPr>
          <w:rFonts w:hint="eastAsia" w:ascii="仿宋_GB2312" w:hAnsi="Times New Roman" w:eastAsia="仿宋_GB2312" w:cs="仿宋_GB2312"/>
          <w:b w:val="0"/>
          <w:kern w:val="2"/>
          <w:sz w:val="32"/>
          <w:szCs w:val="32"/>
          <w:lang w:val="en-US" w:eastAsia="zh-CN" w:bidi="ar"/>
        </w:rPr>
        <w:t>月</w:t>
      </w:r>
      <w:r>
        <w:rPr>
          <w:rFonts w:hint="default" w:ascii="Times New Roman" w:hAnsi="Times New Roman" w:eastAsia="仿宋_GB2312" w:cs="Times New Roman"/>
          <w:b w:val="0"/>
          <w:kern w:val="2"/>
          <w:sz w:val="32"/>
          <w:szCs w:val="32"/>
          <w:lang w:val="en-US" w:eastAsia="zh-CN" w:bidi="ar"/>
        </w:rPr>
        <w:t>31</w:t>
      </w:r>
      <w:r>
        <w:rPr>
          <w:rFonts w:hint="eastAsia" w:ascii="仿宋_GB2312" w:hAnsi="Times New Roman" w:eastAsia="仿宋_GB2312" w:cs="仿宋_GB2312"/>
          <w:b w:val="0"/>
          <w:kern w:val="2"/>
          <w:sz w:val="32"/>
          <w:szCs w:val="32"/>
          <w:lang w:val="en-US" w:eastAsia="zh-CN" w:bidi="ar"/>
        </w:rPr>
        <w:t>日在湖州市吴兴区机电路段取证发现的</w:t>
      </w:r>
      <w:r>
        <w:rPr>
          <w:rFonts w:hint="default" w:ascii="Times New Roman" w:hAnsi="Times New Roman" w:eastAsia="仿宋_GB2312" w:cs="Times New Roman"/>
          <w:b w:val="0"/>
          <w:kern w:val="2"/>
          <w:sz w:val="32"/>
          <w:szCs w:val="32"/>
          <w:lang w:val="en-US" w:eastAsia="zh-CN" w:bidi="ar"/>
        </w:rPr>
        <w:t>80</w:t>
      </w:r>
      <w:r>
        <w:rPr>
          <w:rFonts w:hint="eastAsia" w:ascii="仿宋_GB2312" w:hAnsi="Times New Roman" w:eastAsia="仿宋_GB2312" w:cs="仿宋_GB2312"/>
          <w:b w:val="0"/>
          <w:kern w:val="2"/>
          <w:sz w:val="32"/>
          <w:szCs w:val="32"/>
          <w:lang w:val="en-US" w:eastAsia="zh-CN" w:bidi="ar"/>
        </w:rPr>
        <w:t>余个侵权路灯产品，而在本案中主张的侵权行为系基于</w:t>
      </w:r>
      <w:r>
        <w:rPr>
          <w:rFonts w:hint="default" w:ascii="Times New Roman" w:hAnsi="Times New Roman" w:eastAsia="仿宋_GB2312" w:cs="Times New Roman"/>
          <w:b w:val="0"/>
          <w:kern w:val="2"/>
          <w:sz w:val="32"/>
          <w:szCs w:val="32"/>
          <w:lang w:val="en-US" w:eastAsia="zh-CN" w:bidi="ar"/>
        </w:rPr>
        <w:t>2024</w:t>
      </w:r>
      <w:r>
        <w:rPr>
          <w:rFonts w:hint="eastAsia" w:ascii="仿宋_GB2312" w:hAnsi="Times New Roman" w:eastAsia="仿宋_GB2312" w:cs="仿宋_GB2312"/>
          <w:b w:val="0"/>
          <w:kern w:val="2"/>
          <w:sz w:val="32"/>
          <w:szCs w:val="32"/>
          <w:lang w:val="en-US" w:eastAsia="zh-CN" w:bidi="ar"/>
        </w:rPr>
        <w:t>年</w:t>
      </w:r>
      <w:r>
        <w:rPr>
          <w:rFonts w:hint="default" w:ascii="Times New Roman" w:hAnsi="Times New Roman" w:eastAsia="仿宋_GB2312" w:cs="Times New Roman"/>
          <w:b w:val="0"/>
          <w:kern w:val="2"/>
          <w:sz w:val="32"/>
          <w:szCs w:val="32"/>
          <w:lang w:val="en-US" w:eastAsia="zh-CN" w:bidi="ar"/>
        </w:rPr>
        <w:t>9</w:t>
      </w:r>
      <w:r>
        <w:rPr>
          <w:rFonts w:hint="eastAsia" w:ascii="仿宋_GB2312" w:hAnsi="Times New Roman" w:eastAsia="仿宋_GB2312" w:cs="仿宋_GB2312"/>
          <w:b w:val="0"/>
          <w:kern w:val="2"/>
          <w:sz w:val="32"/>
          <w:szCs w:val="32"/>
          <w:lang w:val="en-US" w:eastAsia="zh-CN" w:bidi="ar"/>
        </w:rPr>
        <w:t>月</w:t>
      </w:r>
      <w:r>
        <w:rPr>
          <w:rFonts w:hint="default" w:ascii="Times New Roman" w:hAnsi="Times New Roman" w:eastAsia="仿宋_GB2312" w:cs="Times New Roman"/>
          <w:b w:val="0"/>
          <w:kern w:val="2"/>
          <w:sz w:val="32"/>
          <w:szCs w:val="32"/>
          <w:lang w:val="en-US" w:eastAsia="zh-CN" w:bidi="ar"/>
        </w:rPr>
        <w:t>18</w:t>
      </w:r>
      <w:r>
        <w:rPr>
          <w:rFonts w:hint="eastAsia" w:ascii="仿宋_GB2312" w:hAnsi="Times New Roman" w:eastAsia="仿宋_GB2312" w:cs="仿宋_GB2312"/>
          <w:b w:val="0"/>
          <w:kern w:val="2"/>
          <w:sz w:val="32"/>
          <w:szCs w:val="32"/>
          <w:lang w:val="en-US" w:eastAsia="zh-CN" w:bidi="ar"/>
        </w:rPr>
        <w:t>日在湖州市吴兴区兴业路、外庄路等</w:t>
      </w:r>
      <w:r>
        <w:rPr>
          <w:rFonts w:hint="default" w:ascii="Times New Roman" w:hAnsi="Times New Roman" w:eastAsia="仿宋_GB2312" w:cs="Times New Roman"/>
          <w:b w:val="0"/>
          <w:kern w:val="2"/>
          <w:sz w:val="32"/>
          <w:szCs w:val="32"/>
          <w:lang w:val="en-US" w:eastAsia="zh-CN" w:bidi="ar"/>
        </w:rPr>
        <w:t>9</w:t>
      </w:r>
      <w:r>
        <w:rPr>
          <w:rFonts w:hint="eastAsia" w:ascii="仿宋_GB2312" w:hAnsi="Times New Roman" w:eastAsia="仿宋_GB2312" w:cs="仿宋_GB2312"/>
          <w:b w:val="0"/>
          <w:kern w:val="2"/>
          <w:sz w:val="32"/>
          <w:szCs w:val="32"/>
          <w:lang w:val="en-US" w:eastAsia="zh-CN" w:bidi="ar"/>
        </w:rPr>
        <w:t>条不同市政路段新发现的大规模侵权产品。该两批侵权产品在数量、具体安装地理位置、取证时间、覆盖范围上完全不同。</w:t>
      </w:r>
      <w:r>
        <w:rPr>
          <w:rFonts w:hint="default" w:ascii="Times New Roman" w:hAnsi="Times New Roman" w:eastAsia="仿宋_GB2312" w:cs="Times New Roman"/>
          <w:b w:val="0"/>
          <w:kern w:val="2"/>
          <w:sz w:val="32"/>
          <w:szCs w:val="32"/>
          <w:lang w:val="en-US" w:eastAsia="zh-CN" w:bidi="ar"/>
        </w:rPr>
        <w:t>2.</w:t>
      </w:r>
      <w:r>
        <w:rPr>
          <w:rFonts w:hint="eastAsia" w:ascii="仿宋_GB2312" w:hAnsi="Times New Roman" w:eastAsia="仿宋_GB2312" w:cs="仿宋_GB2312"/>
          <w:b w:val="0"/>
          <w:kern w:val="2"/>
          <w:sz w:val="32"/>
          <w:szCs w:val="32"/>
          <w:lang w:val="en-US" w:eastAsia="zh-CN" w:bidi="ar"/>
        </w:rPr>
        <w:t>一审裁定认定本案被诉侵权行为大致发生于</w:t>
      </w:r>
      <w:r>
        <w:rPr>
          <w:rFonts w:hint="default" w:ascii="Times New Roman" w:hAnsi="Times New Roman" w:eastAsia="仿宋_GB2312" w:cs="Times New Roman"/>
          <w:b w:val="0"/>
          <w:kern w:val="2"/>
          <w:sz w:val="32"/>
          <w:szCs w:val="32"/>
          <w:lang w:val="en-US" w:eastAsia="zh-CN" w:bidi="ar"/>
        </w:rPr>
        <w:t>2020</w:t>
      </w:r>
      <w:r>
        <w:rPr>
          <w:rFonts w:hint="eastAsia" w:ascii="仿宋_GB2312" w:hAnsi="Times New Roman" w:eastAsia="仿宋_GB2312" w:cs="仿宋_GB2312"/>
          <w:b w:val="0"/>
          <w:kern w:val="2"/>
          <w:sz w:val="32"/>
          <w:szCs w:val="32"/>
          <w:lang w:val="en-US" w:eastAsia="zh-CN" w:bidi="ar"/>
        </w:rPr>
        <w:t>至</w:t>
      </w:r>
      <w:r>
        <w:rPr>
          <w:rFonts w:hint="default" w:ascii="Times New Roman" w:hAnsi="Times New Roman" w:eastAsia="仿宋_GB2312" w:cs="Times New Roman"/>
          <w:b w:val="0"/>
          <w:kern w:val="2"/>
          <w:sz w:val="32"/>
          <w:szCs w:val="32"/>
          <w:lang w:val="en-US" w:eastAsia="zh-CN" w:bidi="ar"/>
        </w:rPr>
        <w:t>2021</w:t>
      </w:r>
      <w:r>
        <w:rPr>
          <w:rFonts w:hint="eastAsia" w:ascii="仿宋_GB2312" w:hAnsi="Times New Roman" w:eastAsia="仿宋_GB2312" w:cs="仿宋_GB2312"/>
          <w:b w:val="0"/>
          <w:kern w:val="2"/>
          <w:sz w:val="32"/>
          <w:szCs w:val="32"/>
          <w:lang w:val="en-US" w:eastAsia="zh-CN" w:bidi="ar"/>
        </w:rPr>
        <w:t>年期间仅系猜测，睿某公司对此并未举证证明。即便前案诉讼时已存在同一侵权人实施的多处侵权行为，因晶某公司彼时对其他侵权事实不知情，法院无权替晶某公司决定，要求所有侵权事实必须在一案中解决。</w:t>
      </w:r>
      <w:r>
        <w:rPr>
          <w:rFonts w:hint="default" w:ascii="Times New Roman" w:hAnsi="Times New Roman" w:eastAsia="仿宋_GB2312" w:cs="Times New Roman"/>
          <w:b w:val="0"/>
          <w:kern w:val="2"/>
          <w:sz w:val="32"/>
          <w:szCs w:val="32"/>
          <w:lang w:val="en-US" w:eastAsia="zh-CN" w:bidi="ar"/>
        </w:rPr>
        <w:t>3.</w:t>
      </w:r>
      <w:r>
        <w:rPr>
          <w:rFonts w:hint="eastAsia" w:ascii="仿宋_GB2312" w:hAnsi="Times New Roman" w:eastAsia="仿宋_GB2312" w:cs="仿宋_GB2312"/>
          <w:b w:val="0"/>
          <w:kern w:val="2"/>
          <w:sz w:val="32"/>
          <w:szCs w:val="32"/>
          <w:lang w:val="en-US" w:eastAsia="zh-CN" w:bidi="ar"/>
        </w:rPr>
        <w:t>一审裁定认定前案中晶某公司应当认识到睿某公司实施被诉侵权行为的范围明显不限于其取证路段与事实不符。</w:t>
      </w:r>
      <w:r>
        <w:rPr>
          <w:rFonts w:hint="default" w:ascii="Times New Roman" w:hAnsi="Times New Roman" w:eastAsia="仿宋_GB2312" w:cs="Times New Roman"/>
          <w:b w:val="0"/>
          <w:kern w:val="2"/>
          <w:sz w:val="32"/>
          <w:szCs w:val="32"/>
          <w:lang w:val="en-US" w:eastAsia="zh-CN" w:bidi="ar"/>
        </w:rPr>
        <w:t>4.</w:t>
      </w:r>
      <w:r>
        <w:rPr>
          <w:rFonts w:hint="eastAsia" w:ascii="仿宋_GB2312" w:hAnsi="Times New Roman" w:eastAsia="仿宋_GB2312" w:cs="仿宋_GB2312"/>
          <w:b w:val="0"/>
          <w:kern w:val="2"/>
          <w:sz w:val="32"/>
          <w:szCs w:val="32"/>
          <w:lang w:val="en-US" w:eastAsia="zh-CN" w:bidi="ar"/>
        </w:rPr>
        <w:t>一审裁定以晶某公司在前案中起诉标的额较高为由，认定晶某公司预期了潜在的侵权行为与事实不符。</w:t>
      </w:r>
    </w:p>
    <w:p w14:paraId="088BD23E">
      <w:pPr>
        <w:pStyle w:val="2"/>
        <w:keepNext w:val="0"/>
        <w:keepLines w:val="0"/>
        <w:widowControl w:val="0"/>
        <w:suppressLineNumbers w:val="0"/>
        <w:spacing w:before="100" w:beforeAutospacing="1" w:after="0" w:afterAutospacing="0" w:line="592" w:lineRule="exact"/>
        <w:ind w:left="0" w:right="0"/>
        <w:rPr>
          <w:rFonts w:hint="default" w:ascii="Times New Roman" w:hAnsi="Times New Roman" w:eastAsia="宋体" w:cs="Times New Roman"/>
          <w:kern w:val="2"/>
          <w:sz w:val="32"/>
          <w:szCs w:val="32"/>
        </w:rPr>
      </w:pPr>
      <w:r>
        <w:rPr>
          <w:rFonts w:hint="default" w:ascii="Times New Roman" w:hAnsi="Times New Roman" w:eastAsia="仿宋_GB2312" w:cs="Times New Roman"/>
          <w:b w:val="0"/>
          <w:kern w:val="2"/>
          <w:sz w:val="32"/>
          <w:szCs w:val="32"/>
        </w:rPr>
        <w:t xml:space="preserve">    </w:t>
      </w:r>
      <w:r>
        <w:rPr>
          <w:rFonts w:hint="eastAsia" w:ascii="仿宋_GB2312" w:hAnsi="Times New Roman" w:eastAsia="仿宋_GB2312" w:cs="仿宋_GB2312"/>
          <w:b w:val="0"/>
          <w:kern w:val="2"/>
          <w:sz w:val="32"/>
          <w:szCs w:val="32"/>
        </w:rPr>
        <w:t>睿某公司辩称，前案起诉时间为</w:t>
      </w:r>
      <w:r>
        <w:rPr>
          <w:rFonts w:hint="default" w:ascii="Times New Roman" w:hAnsi="Times New Roman" w:eastAsia="仿宋_GB2312" w:cs="Times New Roman"/>
          <w:b w:val="0"/>
          <w:kern w:val="2"/>
          <w:sz w:val="32"/>
          <w:szCs w:val="32"/>
        </w:rPr>
        <w:t>2023</w:t>
      </w:r>
      <w:r>
        <w:rPr>
          <w:rFonts w:hint="eastAsia" w:ascii="仿宋_GB2312" w:hAnsi="Times New Roman" w:eastAsia="仿宋_GB2312" w:cs="仿宋_GB2312"/>
          <w:b w:val="0"/>
          <w:kern w:val="2"/>
          <w:sz w:val="32"/>
          <w:szCs w:val="32"/>
        </w:rPr>
        <w:t>年</w:t>
      </w:r>
      <w:r>
        <w:rPr>
          <w:rFonts w:hint="default" w:ascii="Times New Roman" w:hAnsi="Times New Roman" w:eastAsia="仿宋_GB2312" w:cs="Times New Roman"/>
          <w:b w:val="0"/>
          <w:kern w:val="2"/>
          <w:sz w:val="32"/>
          <w:szCs w:val="32"/>
        </w:rPr>
        <w:t>5</w:t>
      </w:r>
      <w:r>
        <w:rPr>
          <w:rFonts w:hint="eastAsia" w:ascii="仿宋_GB2312" w:hAnsi="Times New Roman" w:eastAsia="仿宋_GB2312" w:cs="仿宋_GB2312"/>
          <w:b w:val="0"/>
          <w:kern w:val="2"/>
          <w:sz w:val="32"/>
          <w:szCs w:val="32"/>
        </w:rPr>
        <w:t>月，判决生效时间为</w:t>
      </w:r>
      <w:r>
        <w:rPr>
          <w:rFonts w:hint="default" w:ascii="Times New Roman" w:hAnsi="Times New Roman" w:eastAsia="仿宋_GB2312" w:cs="Times New Roman"/>
          <w:b w:val="0"/>
          <w:kern w:val="2"/>
          <w:sz w:val="32"/>
          <w:szCs w:val="32"/>
        </w:rPr>
        <w:t>2024</w:t>
      </w:r>
      <w:r>
        <w:rPr>
          <w:rFonts w:hint="eastAsia" w:ascii="仿宋_GB2312" w:hAnsi="Times New Roman" w:eastAsia="仿宋_GB2312" w:cs="仿宋_GB2312"/>
          <w:b w:val="0"/>
          <w:kern w:val="2"/>
          <w:sz w:val="32"/>
          <w:szCs w:val="32"/>
        </w:rPr>
        <w:t>年</w:t>
      </w:r>
      <w:r>
        <w:rPr>
          <w:rFonts w:hint="default" w:ascii="Times New Roman" w:hAnsi="Times New Roman" w:eastAsia="仿宋_GB2312" w:cs="Times New Roman"/>
          <w:b w:val="0"/>
          <w:kern w:val="2"/>
          <w:sz w:val="32"/>
          <w:szCs w:val="32"/>
        </w:rPr>
        <w:t>3</w:t>
      </w:r>
      <w:r>
        <w:rPr>
          <w:rFonts w:hint="eastAsia" w:ascii="仿宋_GB2312" w:hAnsi="Times New Roman" w:eastAsia="仿宋_GB2312" w:cs="仿宋_GB2312"/>
          <w:b w:val="0"/>
          <w:kern w:val="2"/>
          <w:sz w:val="32"/>
          <w:szCs w:val="32"/>
        </w:rPr>
        <w:t>月，而本案被诉侵权产品的制造安装时间均为</w:t>
      </w:r>
      <w:r>
        <w:rPr>
          <w:rFonts w:hint="default" w:ascii="Times New Roman" w:hAnsi="Times New Roman" w:eastAsia="仿宋_GB2312" w:cs="Times New Roman"/>
          <w:b w:val="0"/>
          <w:kern w:val="2"/>
          <w:sz w:val="32"/>
          <w:szCs w:val="32"/>
        </w:rPr>
        <w:t>2020-2021</w:t>
      </w:r>
      <w:r>
        <w:rPr>
          <w:rFonts w:hint="eastAsia" w:ascii="仿宋_GB2312" w:hAnsi="Times New Roman" w:eastAsia="仿宋_GB2312" w:cs="仿宋_GB2312"/>
          <w:b w:val="0"/>
          <w:kern w:val="2"/>
          <w:sz w:val="32"/>
          <w:szCs w:val="32"/>
        </w:rPr>
        <w:t>年，显然被前案裁判所覆盖，本案为典型的重复诉讼。</w:t>
      </w:r>
    </w:p>
    <w:p w14:paraId="01965FE5">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spacing w:val="0"/>
          <w:kern w:val="2"/>
          <w:sz w:val="32"/>
          <w:szCs w:val="32"/>
          <w:lang w:val="en-US" w:eastAsia="zh-CN" w:bidi="ar"/>
        </w:rPr>
        <w:t>晶某公司向一审法院起诉，请求判令睿某公司：</w:t>
      </w:r>
      <w:r>
        <w:rPr>
          <w:rFonts w:hint="default" w:ascii="Times New Roman" w:hAnsi="Times New Roman" w:eastAsia="仿宋_GB2312" w:cs="Times New Roman"/>
          <w:spacing w:val="0"/>
          <w:kern w:val="2"/>
          <w:sz w:val="32"/>
          <w:szCs w:val="32"/>
          <w:lang w:val="en-US" w:eastAsia="zh-CN" w:bidi="ar"/>
        </w:rPr>
        <w:t>1.</w:t>
      </w:r>
      <w:r>
        <w:rPr>
          <w:rFonts w:hint="eastAsia" w:ascii="仿宋_GB2312" w:hAnsi="Times New Roman" w:eastAsia="仿宋_GB2312" w:cs="仿宋_GB2312"/>
          <w:spacing w:val="0"/>
          <w:kern w:val="2"/>
          <w:sz w:val="32"/>
          <w:szCs w:val="32"/>
          <w:lang w:val="en-US" w:eastAsia="zh-CN" w:bidi="ar"/>
        </w:rPr>
        <w:t>立即停止制造、销售、许诺销售侵犯晶某公司专利号为</w:t>
      </w:r>
      <w:r>
        <w:rPr>
          <w:rFonts w:hint="default" w:ascii="Times New Roman" w:hAnsi="Times New Roman" w:eastAsia="仿宋_GB2312" w:cs="Times New Roman"/>
          <w:spacing w:val="0"/>
          <w:kern w:val="2"/>
          <w:sz w:val="32"/>
          <w:szCs w:val="32"/>
          <w:lang w:val="en-US" w:eastAsia="zh-CN" w:bidi="ar"/>
        </w:rPr>
        <w:t>ZL2015****2955.X</w:t>
      </w:r>
      <w:r>
        <w:rPr>
          <w:rFonts w:hint="eastAsia" w:ascii="仿宋_GB2312" w:hAnsi="Times New Roman" w:eastAsia="仿宋_GB2312" w:cs="仿宋_GB2312"/>
          <w:spacing w:val="0"/>
          <w:kern w:val="2"/>
          <w:sz w:val="32"/>
          <w:szCs w:val="32"/>
          <w:lang w:val="en-US" w:eastAsia="zh-CN" w:bidi="ar"/>
        </w:rPr>
        <w:t>、名称为</w:t>
      </w:r>
      <w:r>
        <w:rPr>
          <w:rFonts w:hint="default" w:ascii="Times New Roman" w:hAnsi="Times New Roman" w:eastAsia="仿宋_GB2312" w:cs="Times New Roman"/>
          <w:spacing w:val="0"/>
          <w:kern w:val="2"/>
          <w:sz w:val="32"/>
          <w:szCs w:val="32"/>
          <w:lang w:val="en-US" w:eastAsia="zh-CN" w:bidi="ar"/>
        </w:rPr>
        <w:t>“</w:t>
      </w:r>
      <w:r>
        <w:rPr>
          <w:rFonts w:hint="eastAsia" w:ascii="仿宋_GB2312" w:hAnsi="Times New Roman" w:eastAsia="仿宋_GB2312" w:cs="仿宋_GB2312"/>
          <w:spacing w:val="0"/>
          <w:kern w:val="2"/>
          <w:sz w:val="32"/>
          <w:szCs w:val="32"/>
          <w:lang w:val="en-US" w:eastAsia="zh-CN" w:bidi="ar"/>
        </w:rPr>
        <w:t>路灯转轴连接杆（</w:t>
      </w:r>
      <w:r>
        <w:rPr>
          <w:rFonts w:hint="default" w:ascii="Times New Roman" w:hAnsi="Times New Roman" w:eastAsia="仿宋_GB2312" w:cs="Times New Roman"/>
          <w:spacing w:val="0"/>
          <w:kern w:val="2"/>
          <w:sz w:val="32"/>
          <w:szCs w:val="32"/>
          <w:lang w:val="en-US" w:eastAsia="zh-CN" w:bidi="ar"/>
        </w:rPr>
        <w:t>JRA8</w:t>
      </w:r>
      <w:r>
        <w:rPr>
          <w:rFonts w:hint="eastAsia" w:ascii="仿宋_GB2312" w:hAnsi="Times New Roman" w:eastAsia="仿宋_GB2312" w:cs="仿宋_GB2312"/>
          <w:spacing w:val="0"/>
          <w:kern w:val="2"/>
          <w:sz w:val="32"/>
          <w:szCs w:val="32"/>
          <w:lang w:val="en-US" w:eastAsia="zh-CN" w:bidi="ar"/>
        </w:rPr>
        <w:t>）</w:t>
      </w:r>
      <w:r>
        <w:rPr>
          <w:rFonts w:hint="default" w:ascii="Times New Roman" w:hAnsi="Times New Roman" w:eastAsia="仿宋_GB2312" w:cs="Times New Roman"/>
          <w:spacing w:val="0"/>
          <w:kern w:val="2"/>
          <w:sz w:val="32"/>
          <w:szCs w:val="32"/>
          <w:lang w:val="en-US" w:eastAsia="zh-CN" w:bidi="ar"/>
        </w:rPr>
        <w:t>”</w:t>
      </w:r>
      <w:r>
        <w:rPr>
          <w:rFonts w:hint="eastAsia" w:ascii="仿宋_GB2312" w:hAnsi="Times New Roman" w:eastAsia="仿宋_GB2312" w:cs="仿宋_GB2312"/>
          <w:spacing w:val="0"/>
          <w:kern w:val="2"/>
          <w:sz w:val="32"/>
          <w:szCs w:val="32"/>
          <w:lang w:val="en-US" w:eastAsia="zh-CN" w:bidi="ar"/>
        </w:rPr>
        <w:t>外观设计专利权的产品，销毁制造侵权灯具所需的模具和库存侵权产品；</w:t>
      </w:r>
      <w:r>
        <w:rPr>
          <w:rFonts w:hint="default" w:ascii="Times New Roman" w:hAnsi="Times New Roman" w:eastAsia="仿宋_GB2312" w:cs="Times New Roman"/>
          <w:spacing w:val="0"/>
          <w:kern w:val="2"/>
          <w:sz w:val="32"/>
          <w:szCs w:val="32"/>
          <w:lang w:val="en-US" w:eastAsia="zh-CN" w:bidi="ar"/>
        </w:rPr>
        <w:t>2.</w:t>
      </w:r>
      <w:r>
        <w:rPr>
          <w:rFonts w:hint="eastAsia" w:ascii="仿宋_GB2312" w:hAnsi="Times New Roman" w:eastAsia="仿宋_GB2312" w:cs="仿宋_GB2312"/>
          <w:spacing w:val="0"/>
          <w:kern w:val="2"/>
          <w:sz w:val="32"/>
          <w:szCs w:val="32"/>
          <w:lang w:val="en-US" w:eastAsia="zh-CN" w:bidi="ar"/>
        </w:rPr>
        <w:t>赔偿晶某公司经济损失及维权合理费用共计</w:t>
      </w:r>
      <w:r>
        <w:rPr>
          <w:rFonts w:hint="default" w:ascii="Times New Roman" w:hAnsi="Times New Roman" w:eastAsia="仿宋_GB2312" w:cs="Times New Roman"/>
          <w:spacing w:val="0"/>
          <w:kern w:val="2"/>
          <w:sz w:val="32"/>
          <w:szCs w:val="32"/>
          <w:lang w:val="en-US" w:eastAsia="zh-CN" w:bidi="ar"/>
        </w:rPr>
        <w:t>200</w:t>
      </w:r>
      <w:r>
        <w:rPr>
          <w:rFonts w:hint="eastAsia" w:ascii="仿宋_GB2312" w:hAnsi="Times New Roman" w:eastAsia="仿宋_GB2312" w:cs="仿宋_GB2312"/>
          <w:spacing w:val="0"/>
          <w:kern w:val="2"/>
          <w:sz w:val="32"/>
          <w:szCs w:val="32"/>
          <w:lang w:val="en-US" w:eastAsia="zh-CN" w:bidi="ar"/>
        </w:rPr>
        <w:t>万元；</w:t>
      </w:r>
      <w:r>
        <w:rPr>
          <w:rFonts w:hint="default" w:ascii="Times New Roman" w:hAnsi="Times New Roman" w:eastAsia="仿宋_GB2312" w:cs="Times New Roman"/>
          <w:spacing w:val="0"/>
          <w:kern w:val="2"/>
          <w:sz w:val="32"/>
          <w:szCs w:val="32"/>
          <w:lang w:val="en-US" w:eastAsia="zh-CN" w:bidi="ar"/>
        </w:rPr>
        <w:t>3.</w:t>
      </w:r>
      <w:r>
        <w:rPr>
          <w:rFonts w:hint="eastAsia" w:ascii="仿宋_GB2312" w:hAnsi="Times New Roman" w:eastAsia="仿宋_GB2312" w:cs="仿宋_GB2312"/>
          <w:spacing w:val="0"/>
          <w:kern w:val="2"/>
          <w:sz w:val="32"/>
          <w:szCs w:val="32"/>
          <w:lang w:val="en-US" w:eastAsia="zh-CN" w:bidi="ar"/>
        </w:rPr>
        <w:t>承担本案诉讼费用。</w:t>
      </w:r>
    </w:p>
    <w:p w14:paraId="4864C42E">
      <w:pPr>
        <w:keepNext w:val="0"/>
        <w:keepLines w:val="0"/>
        <w:widowControl w:val="0"/>
        <w:suppressLineNumbers w:val="0"/>
        <w:autoSpaceDE w:val="0"/>
        <w:autoSpaceDN/>
        <w:spacing w:before="0" w:beforeAutospacing="0" w:after="0" w:afterAutospacing="0" w:line="592" w:lineRule="exact"/>
        <w:ind w:left="0" w:right="0" w:firstLine="640" w:firstLineChars="200"/>
        <w:jc w:val="both"/>
        <w:rPr>
          <w:rFonts w:hint="default" w:ascii="Times New Roman" w:hAnsi="Times New Roman" w:eastAsia="仿宋_GB2312" w:cs="Times New Roman"/>
          <w:spacing w:val="0"/>
          <w:kern w:val="2"/>
          <w:sz w:val="32"/>
          <w:szCs w:val="32"/>
        </w:rPr>
      </w:pPr>
      <w:r>
        <w:rPr>
          <w:rFonts w:hint="eastAsia" w:ascii="仿宋_GB2312" w:hAnsi="Times New Roman" w:eastAsia="仿宋_GB2312" w:cs="仿宋_GB2312"/>
          <w:spacing w:val="0"/>
          <w:kern w:val="2"/>
          <w:sz w:val="32"/>
          <w:szCs w:val="32"/>
          <w:lang w:val="en-US" w:eastAsia="zh-CN" w:bidi="ar"/>
        </w:rPr>
        <w:t>一审法院认为，根据《最高人民法院关于适用〈中华人民共和国民事诉讼法〉的解释》第二百四十七条之规定，当事人就已经提起诉讼的事项在诉讼过程中或者裁判生效后再次起诉，同时符合下列条件的，构成重复起诉：（一）后诉与前诉的当事人相同；（二）后诉与前诉的诉讼标的相同；（三）后诉与前诉的诉讼请求相同，或者后诉的诉讼请求实质上否定前诉裁判结果。当事人重复起诉的，裁定不予受理；已经受理的，裁定驳回起诉，但法律、司法解释另有规定的除外。晶某公司曾就睿某公司侵害涉案外观设计专利权的行为向该院提起诉讼，诉讼请求为判令睿某公司立即停止制造、销售、许诺销售侵害涉案外观设计专利权产品的行为，销毁制造被诉侵权产品所需的模具和库存侵权产品，赔偿经济损失及合理维权费用共计</w:t>
      </w:r>
      <w:r>
        <w:rPr>
          <w:rFonts w:hint="default" w:ascii="Times New Roman" w:hAnsi="Times New Roman" w:eastAsia="仿宋_GB2312" w:cs="Times New Roman"/>
          <w:spacing w:val="0"/>
          <w:kern w:val="2"/>
          <w:sz w:val="32"/>
          <w:szCs w:val="32"/>
          <w:lang w:val="en-US" w:eastAsia="zh-CN" w:bidi="ar"/>
        </w:rPr>
        <w:t>50</w:t>
      </w:r>
      <w:r>
        <w:rPr>
          <w:rFonts w:hint="eastAsia" w:ascii="仿宋_GB2312" w:hAnsi="Times New Roman" w:eastAsia="仿宋_GB2312" w:cs="仿宋_GB2312"/>
          <w:spacing w:val="0"/>
          <w:kern w:val="2"/>
          <w:sz w:val="32"/>
          <w:szCs w:val="32"/>
          <w:lang w:val="en-US" w:eastAsia="zh-CN" w:bidi="ar"/>
        </w:rPr>
        <w:t>万元等。该院于</w:t>
      </w:r>
      <w:r>
        <w:rPr>
          <w:rFonts w:hint="default" w:ascii="Times New Roman" w:hAnsi="Times New Roman" w:eastAsia="仿宋_GB2312" w:cs="Times New Roman"/>
          <w:spacing w:val="0"/>
          <w:kern w:val="2"/>
          <w:sz w:val="32"/>
          <w:szCs w:val="32"/>
          <w:lang w:val="en-US" w:eastAsia="zh-CN" w:bidi="ar"/>
        </w:rPr>
        <w:t>2023</w:t>
      </w:r>
      <w:r>
        <w:rPr>
          <w:rFonts w:hint="eastAsia" w:ascii="仿宋_GB2312" w:hAnsi="Times New Roman" w:eastAsia="仿宋_GB2312" w:cs="仿宋_GB2312"/>
          <w:spacing w:val="0"/>
          <w:kern w:val="2"/>
          <w:sz w:val="32"/>
          <w:szCs w:val="32"/>
          <w:lang w:val="en-US" w:eastAsia="zh-CN" w:bidi="ar"/>
        </w:rPr>
        <w:t>年</w:t>
      </w:r>
      <w:r>
        <w:rPr>
          <w:rFonts w:hint="default" w:ascii="Times New Roman" w:hAnsi="Times New Roman" w:eastAsia="仿宋_GB2312" w:cs="Times New Roman"/>
          <w:spacing w:val="0"/>
          <w:kern w:val="2"/>
          <w:sz w:val="32"/>
          <w:szCs w:val="32"/>
          <w:lang w:val="en-US" w:eastAsia="zh-CN" w:bidi="ar"/>
        </w:rPr>
        <w:t>12</w:t>
      </w:r>
      <w:r>
        <w:rPr>
          <w:rFonts w:hint="eastAsia" w:ascii="仿宋_GB2312" w:hAnsi="Times New Roman" w:eastAsia="仿宋_GB2312" w:cs="仿宋_GB2312"/>
          <w:spacing w:val="0"/>
          <w:kern w:val="2"/>
          <w:sz w:val="32"/>
          <w:szCs w:val="32"/>
          <w:lang w:val="en-US" w:eastAsia="zh-CN" w:bidi="ar"/>
        </w:rPr>
        <w:t>月</w:t>
      </w:r>
      <w:r>
        <w:rPr>
          <w:rFonts w:hint="default" w:ascii="Times New Roman" w:hAnsi="Times New Roman" w:eastAsia="仿宋_GB2312" w:cs="Times New Roman"/>
          <w:spacing w:val="0"/>
          <w:kern w:val="2"/>
          <w:sz w:val="32"/>
          <w:szCs w:val="32"/>
          <w:lang w:val="en-US" w:eastAsia="zh-CN" w:bidi="ar"/>
        </w:rPr>
        <w:t>26</w:t>
      </w:r>
      <w:r>
        <w:rPr>
          <w:rFonts w:hint="eastAsia" w:ascii="仿宋_GB2312" w:hAnsi="Times New Roman" w:eastAsia="仿宋_GB2312" w:cs="仿宋_GB2312"/>
          <w:spacing w:val="0"/>
          <w:kern w:val="2"/>
          <w:sz w:val="32"/>
          <w:szCs w:val="32"/>
          <w:lang w:val="en-US" w:eastAsia="zh-CN" w:bidi="ar"/>
        </w:rPr>
        <w:t>日作出（</w:t>
      </w:r>
      <w:r>
        <w:rPr>
          <w:rFonts w:hint="default" w:ascii="Times New Roman" w:hAnsi="Times New Roman" w:eastAsia="仿宋_GB2312" w:cs="Times New Roman"/>
          <w:spacing w:val="0"/>
          <w:kern w:val="2"/>
          <w:sz w:val="32"/>
          <w:szCs w:val="32"/>
          <w:lang w:val="en-US" w:eastAsia="zh-CN" w:bidi="ar"/>
        </w:rPr>
        <w:t>2023</w:t>
      </w:r>
      <w:r>
        <w:rPr>
          <w:rFonts w:hint="eastAsia" w:ascii="仿宋_GB2312" w:hAnsi="Times New Roman" w:eastAsia="仿宋_GB2312" w:cs="仿宋_GB2312"/>
          <w:spacing w:val="0"/>
          <w:kern w:val="2"/>
          <w:sz w:val="32"/>
          <w:szCs w:val="32"/>
          <w:lang w:val="en-US" w:eastAsia="zh-CN" w:bidi="ar"/>
        </w:rPr>
        <w:t>）浙</w:t>
      </w:r>
      <w:r>
        <w:rPr>
          <w:rFonts w:hint="default" w:ascii="Times New Roman" w:hAnsi="Times New Roman" w:eastAsia="仿宋_GB2312" w:cs="Times New Roman"/>
          <w:spacing w:val="0"/>
          <w:kern w:val="2"/>
          <w:sz w:val="32"/>
          <w:szCs w:val="32"/>
          <w:lang w:val="en-US" w:eastAsia="zh-CN" w:bidi="ar"/>
        </w:rPr>
        <w:t>05</w:t>
      </w:r>
      <w:r>
        <w:rPr>
          <w:rFonts w:hint="eastAsia" w:ascii="仿宋_GB2312" w:hAnsi="Times New Roman" w:eastAsia="仿宋_GB2312" w:cs="仿宋_GB2312"/>
          <w:spacing w:val="0"/>
          <w:kern w:val="2"/>
          <w:sz w:val="32"/>
          <w:szCs w:val="32"/>
          <w:lang w:val="en-US" w:eastAsia="zh-CN" w:bidi="ar"/>
        </w:rPr>
        <w:t>民初</w:t>
      </w:r>
      <w:r>
        <w:rPr>
          <w:rFonts w:hint="default" w:ascii="Times New Roman" w:hAnsi="Times New Roman" w:eastAsia="仿宋_GB2312" w:cs="Times New Roman"/>
          <w:spacing w:val="0"/>
          <w:kern w:val="2"/>
          <w:sz w:val="32"/>
          <w:szCs w:val="32"/>
          <w:lang w:val="en-US" w:eastAsia="zh-CN" w:bidi="ar"/>
        </w:rPr>
        <w:t>35</w:t>
      </w:r>
      <w:r>
        <w:rPr>
          <w:rFonts w:hint="eastAsia" w:ascii="仿宋_GB2312" w:hAnsi="Times New Roman" w:eastAsia="仿宋_GB2312" w:cs="仿宋_GB2312"/>
          <w:spacing w:val="0"/>
          <w:kern w:val="2"/>
          <w:sz w:val="32"/>
          <w:szCs w:val="32"/>
          <w:lang w:val="en-US" w:eastAsia="zh-CN" w:bidi="ar"/>
        </w:rPr>
        <w:t>号民事判决，判令睿某公司立即停止制造、销售、许诺销售落入涉案外观设计专利权保护范围的产品，赔偿晶某公司经济损失（含合理维权费用）</w:t>
      </w:r>
      <w:r>
        <w:rPr>
          <w:rFonts w:hint="default" w:ascii="Times New Roman" w:hAnsi="Times New Roman" w:eastAsia="仿宋_GB2312" w:cs="Times New Roman"/>
          <w:spacing w:val="0"/>
          <w:kern w:val="2"/>
          <w:sz w:val="32"/>
          <w:szCs w:val="32"/>
          <w:lang w:val="en-US" w:eastAsia="zh-CN" w:bidi="ar"/>
        </w:rPr>
        <w:t>7</w:t>
      </w:r>
      <w:r>
        <w:rPr>
          <w:rFonts w:hint="eastAsia" w:ascii="仿宋_GB2312" w:hAnsi="Times New Roman" w:eastAsia="仿宋_GB2312" w:cs="仿宋_GB2312"/>
          <w:spacing w:val="0"/>
          <w:kern w:val="2"/>
          <w:sz w:val="32"/>
          <w:szCs w:val="32"/>
          <w:lang w:val="en-US" w:eastAsia="zh-CN" w:bidi="ar"/>
        </w:rPr>
        <w:t>万元，驳回晶某公司的其他诉讼请求。后浙江省高级人民法院于</w:t>
      </w:r>
      <w:r>
        <w:rPr>
          <w:rFonts w:hint="default" w:ascii="Times New Roman" w:hAnsi="Times New Roman" w:eastAsia="仿宋_GB2312" w:cs="Times New Roman"/>
          <w:spacing w:val="0"/>
          <w:kern w:val="2"/>
          <w:sz w:val="32"/>
          <w:szCs w:val="32"/>
          <w:lang w:val="en-US" w:eastAsia="zh-CN" w:bidi="ar"/>
        </w:rPr>
        <w:t>2024</w:t>
      </w:r>
      <w:r>
        <w:rPr>
          <w:rFonts w:hint="eastAsia" w:ascii="仿宋_GB2312" w:hAnsi="Times New Roman" w:eastAsia="仿宋_GB2312" w:cs="仿宋_GB2312"/>
          <w:spacing w:val="0"/>
          <w:kern w:val="2"/>
          <w:sz w:val="32"/>
          <w:szCs w:val="32"/>
          <w:lang w:val="en-US" w:eastAsia="zh-CN" w:bidi="ar"/>
        </w:rPr>
        <w:t>年</w:t>
      </w:r>
      <w:r>
        <w:rPr>
          <w:rFonts w:hint="default" w:ascii="Times New Roman" w:hAnsi="Times New Roman" w:eastAsia="仿宋_GB2312" w:cs="Times New Roman"/>
          <w:spacing w:val="0"/>
          <w:kern w:val="2"/>
          <w:sz w:val="32"/>
          <w:szCs w:val="32"/>
          <w:lang w:val="en-US" w:eastAsia="zh-CN" w:bidi="ar"/>
        </w:rPr>
        <w:t>3</w:t>
      </w:r>
      <w:r>
        <w:rPr>
          <w:rFonts w:hint="eastAsia" w:ascii="仿宋_GB2312" w:hAnsi="Times New Roman" w:eastAsia="仿宋_GB2312" w:cs="仿宋_GB2312"/>
          <w:spacing w:val="0"/>
          <w:kern w:val="2"/>
          <w:sz w:val="32"/>
          <w:szCs w:val="32"/>
          <w:lang w:val="en-US" w:eastAsia="zh-CN" w:bidi="ar"/>
        </w:rPr>
        <w:t>月</w:t>
      </w:r>
      <w:r>
        <w:rPr>
          <w:rFonts w:hint="default" w:ascii="Times New Roman" w:hAnsi="Times New Roman" w:eastAsia="仿宋_GB2312" w:cs="Times New Roman"/>
          <w:spacing w:val="0"/>
          <w:kern w:val="2"/>
          <w:sz w:val="32"/>
          <w:szCs w:val="32"/>
          <w:lang w:val="en-US" w:eastAsia="zh-CN" w:bidi="ar"/>
        </w:rPr>
        <w:t>29</w:t>
      </w:r>
      <w:r>
        <w:rPr>
          <w:rFonts w:hint="eastAsia" w:ascii="仿宋_GB2312" w:hAnsi="Times New Roman" w:eastAsia="仿宋_GB2312" w:cs="仿宋_GB2312"/>
          <w:spacing w:val="0"/>
          <w:kern w:val="2"/>
          <w:sz w:val="32"/>
          <w:szCs w:val="32"/>
          <w:lang w:val="en-US" w:eastAsia="zh-CN" w:bidi="ar"/>
        </w:rPr>
        <w:t>日作出（</w:t>
      </w:r>
      <w:r>
        <w:rPr>
          <w:rFonts w:hint="default" w:ascii="Times New Roman" w:hAnsi="Times New Roman" w:eastAsia="仿宋_GB2312" w:cs="Times New Roman"/>
          <w:spacing w:val="0"/>
          <w:kern w:val="2"/>
          <w:sz w:val="32"/>
          <w:szCs w:val="32"/>
          <w:lang w:val="en-US" w:eastAsia="zh-CN" w:bidi="ar"/>
        </w:rPr>
        <w:t>2024</w:t>
      </w:r>
      <w:r>
        <w:rPr>
          <w:rFonts w:hint="eastAsia" w:ascii="仿宋_GB2312" w:hAnsi="Times New Roman" w:eastAsia="仿宋_GB2312" w:cs="仿宋_GB2312"/>
          <w:spacing w:val="0"/>
          <w:kern w:val="2"/>
          <w:sz w:val="32"/>
          <w:szCs w:val="32"/>
          <w:lang w:val="en-US" w:eastAsia="zh-CN" w:bidi="ar"/>
        </w:rPr>
        <w:t>）浙民终</w:t>
      </w:r>
      <w:r>
        <w:rPr>
          <w:rFonts w:hint="default" w:ascii="Times New Roman" w:hAnsi="Times New Roman" w:eastAsia="仿宋_GB2312" w:cs="Times New Roman"/>
          <w:spacing w:val="0"/>
          <w:kern w:val="2"/>
          <w:sz w:val="32"/>
          <w:szCs w:val="32"/>
          <w:lang w:val="en-US" w:eastAsia="zh-CN" w:bidi="ar"/>
        </w:rPr>
        <w:t>268</w:t>
      </w:r>
      <w:r>
        <w:rPr>
          <w:rFonts w:hint="eastAsia" w:ascii="仿宋_GB2312" w:hAnsi="Times New Roman" w:eastAsia="仿宋_GB2312" w:cs="仿宋_GB2312"/>
          <w:spacing w:val="0"/>
          <w:kern w:val="2"/>
          <w:sz w:val="32"/>
          <w:szCs w:val="32"/>
          <w:lang w:val="en-US" w:eastAsia="zh-CN" w:bidi="ar"/>
        </w:rPr>
        <w:t>号民事判决，对前诉一审判决予以维持。本案与前案均系晶某公司就睿某公司侵害其专利号为</w:t>
      </w:r>
      <w:r>
        <w:rPr>
          <w:rFonts w:hint="default" w:ascii="Times New Roman" w:hAnsi="Times New Roman" w:eastAsia="仿宋_GB2312" w:cs="Times New Roman"/>
          <w:spacing w:val="0"/>
          <w:kern w:val="2"/>
          <w:sz w:val="32"/>
          <w:szCs w:val="32"/>
          <w:lang w:val="en-US" w:eastAsia="zh-CN" w:bidi="ar"/>
        </w:rPr>
        <w:t>ZL2015****2955.X</w:t>
      </w:r>
      <w:r>
        <w:rPr>
          <w:rFonts w:hint="eastAsia" w:ascii="仿宋_GB2312" w:hAnsi="Times New Roman" w:eastAsia="仿宋_GB2312" w:cs="仿宋_GB2312"/>
          <w:spacing w:val="0"/>
          <w:kern w:val="2"/>
          <w:sz w:val="32"/>
          <w:szCs w:val="32"/>
          <w:lang w:val="en-US" w:eastAsia="zh-CN" w:bidi="ar"/>
        </w:rPr>
        <w:t>、名称为</w:t>
      </w:r>
      <w:r>
        <w:rPr>
          <w:rFonts w:hint="default" w:ascii="Times New Roman" w:hAnsi="Times New Roman" w:eastAsia="仿宋_GB2312" w:cs="Times New Roman"/>
          <w:spacing w:val="0"/>
          <w:kern w:val="2"/>
          <w:sz w:val="32"/>
          <w:szCs w:val="32"/>
          <w:lang w:val="en-US" w:eastAsia="zh-CN" w:bidi="ar"/>
        </w:rPr>
        <w:t>“</w:t>
      </w:r>
      <w:r>
        <w:rPr>
          <w:rFonts w:hint="eastAsia" w:ascii="仿宋_GB2312" w:hAnsi="Times New Roman" w:eastAsia="仿宋_GB2312" w:cs="仿宋_GB2312"/>
          <w:spacing w:val="0"/>
          <w:kern w:val="2"/>
          <w:sz w:val="32"/>
          <w:szCs w:val="32"/>
          <w:lang w:val="en-US" w:eastAsia="zh-CN" w:bidi="ar"/>
        </w:rPr>
        <w:t>路灯转轴连接杆（</w:t>
      </w:r>
      <w:r>
        <w:rPr>
          <w:rFonts w:hint="default" w:ascii="Times New Roman" w:hAnsi="Times New Roman" w:eastAsia="仿宋_GB2312" w:cs="Times New Roman"/>
          <w:spacing w:val="0"/>
          <w:kern w:val="2"/>
          <w:sz w:val="32"/>
          <w:szCs w:val="32"/>
          <w:lang w:val="en-US" w:eastAsia="zh-CN" w:bidi="ar"/>
        </w:rPr>
        <w:t>JRA8</w:t>
      </w:r>
      <w:r>
        <w:rPr>
          <w:rFonts w:hint="eastAsia" w:ascii="仿宋_GB2312" w:hAnsi="Times New Roman" w:eastAsia="仿宋_GB2312" w:cs="仿宋_GB2312"/>
          <w:spacing w:val="0"/>
          <w:kern w:val="2"/>
          <w:sz w:val="32"/>
          <w:szCs w:val="32"/>
          <w:lang w:val="en-US" w:eastAsia="zh-CN" w:bidi="ar"/>
        </w:rPr>
        <w:t>）</w:t>
      </w:r>
      <w:r>
        <w:rPr>
          <w:rFonts w:hint="default" w:ascii="Times New Roman" w:hAnsi="Times New Roman" w:eastAsia="仿宋_GB2312" w:cs="Times New Roman"/>
          <w:spacing w:val="0"/>
          <w:kern w:val="2"/>
          <w:sz w:val="32"/>
          <w:szCs w:val="32"/>
          <w:lang w:val="en-US" w:eastAsia="zh-CN" w:bidi="ar"/>
        </w:rPr>
        <w:t>”</w:t>
      </w:r>
      <w:r>
        <w:rPr>
          <w:rFonts w:hint="eastAsia" w:ascii="仿宋_GB2312" w:hAnsi="Times New Roman" w:eastAsia="仿宋_GB2312" w:cs="仿宋_GB2312"/>
          <w:spacing w:val="0"/>
          <w:kern w:val="2"/>
          <w:sz w:val="32"/>
          <w:szCs w:val="32"/>
          <w:lang w:val="en-US" w:eastAsia="zh-CN" w:bidi="ar"/>
        </w:rPr>
        <w:t>的外观设计专利权的行为，诉请睿某公司停止侵权、赔偿经济损失及合理维权费用，故后诉与前诉的当事人及诉讼标的均相同。关于后诉与前诉的诉讼请求是否相同，或者后诉的诉讼请求是否实质上否定前诉裁判结果的问题。晶某公司主张，后诉所涉侵权行为与前诉所涉侵权行为并无交叉，故后诉不构成重复诉讼。对此，该院认为，其一，晶某公司后诉中主张的侵权行为与前诉所涉侵权行为虽取证于不同地点，然根据涉案市政路段道路交通及配套工程招投标信息，后诉所涉侵权行为大致发生于</w:t>
      </w:r>
      <w:r>
        <w:rPr>
          <w:rFonts w:hint="default" w:ascii="Times New Roman" w:hAnsi="Times New Roman" w:eastAsia="仿宋_GB2312" w:cs="Times New Roman"/>
          <w:spacing w:val="0"/>
          <w:kern w:val="2"/>
          <w:sz w:val="32"/>
          <w:szCs w:val="32"/>
          <w:lang w:val="en-US" w:eastAsia="zh-CN" w:bidi="ar"/>
        </w:rPr>
        <w:t>2020</w:t>
      </w:r>
      <w:r>
        <w:rPr>
          <w:rFonts w:hint="eastAsia" w:ascii="仿宋_GB2312" w:hAnsi="Times New Roman" w:eastAsia="仿宋_GB2312" w:cs="仿宋_GB2312"/>
          <w:spacing w:val="0"/>
          <w:kern w:val="2"/>
          <w:sz w:val="32"/>
          <w:szCs w:val="32"/>
          <w:lang w:val="en-US" w:eastAsia="zh-CN" w:bidi="ar"/>
        </w:rPr>
        <w:t>至</w:t>
      </w:r>
      <w:r>
        <w:rPr>
          <w:rFonts w:hint="default" w:ascii="Times New Roman" w:hAnsi="Times New Roman" w:eastAsia="仿宋_GB2312" w:cs="Times New Roman"/>
          <w:spacing w:val="0"/>
          <w:kern w:val="2"/>
          <w:sz w:val="32"/>
          <w:szCs w:val="32"/>
          <w:lang w:val="en-US" w:eastAsia="zh-CN" w:bidi="ar"/>
        </w:rPr>
        <w:t>2021</w:t>
      </w:r>
      <w:r>
        <w:rPr>
          <w:rFonts w:hint="eastAsia" w:ascii="仿宋_GB2312" w:hAnsi="Times New Roman" w:eastAsia="仿宋_GB2312" w:cs="仿宋_GB2312"/>
          <w:spacing w:val="0"/>
          <w:kern w:val="2"/>
          <w:sz w:val="32"/>
          <w:szCs w:val="32"/>
          <w:lang w:val="en-US" w:eastAsia="zh-CN" w:bidi="ar"/>
        </w:rPr>
        <w:t>年期间，而前诉所涉侵权行为发生于</w:t>
      </w:r>
      <w:r>
        <w:rPr>
          <w:rFonts w:hint="default" w:ascii="Times New Roman" w:hAnsi="Times New Roman" w:eastAsia="仿宋_GB2312" w:cs="Times New Roman"/>
          <w:spacing w:val="0"/>
          <w:kern w:val="2"/>
          <w:sz w:val="32"/>
          <w:szCs w:val="32"/>
          <w:lang w:val="en-US" w:eastAsia="zh-CN" w:bidi="ar"/>
        </w:rPr>
        <w:t>2022</w:t>
      </w:r>
      <w:r>
        <w:rPr>
          <w:rFonts w:hint="eastAsia" w:ascii="仿宋_GB2312" w:hAnsi="Times New Roman" w:eastAsia="仿宋_GB2312" w:cs="仿宋_GB2312"/>
          <w:spacing w:val="0"/>
          <w:kern w:val="2"/>
          <w:sz w:val="32"/>
          <w:szCs w:val="32"/>
          <w:lang w:val="en-US" w:eastAsia="zh-CN" w:bidi="ar"/>
        </w:rPr>
        <w:t>年</w:t>
      </w:r>
      <w:r>
        <w:rPr>
          <w:rFonts w:hint="default" w:ascii="Times New Roman" w:hAnsi="Times New Roman" w:eastAsia="仿宋_GB2312" w:cs="Times New Roman"/>
          <w:spacing w:val="0"/>
          <w:kern w:val="2"/>
          <w:sz w:val="32"/>
          <w:szCs w:val="32"/>
          <w:lang w:val="en-US" w:eastAsia="zh-CN" w:bidi="ar"/>
        </w:rPr>
        <w:t>5</w:t>
      </w:r>
      <w:r>
        <w:rPr>
          <w:rFonts w:hint="eastAsia" w:ascii="仿宋_GB2312" w:hAnsi="Times New Roman" w:eastAsia="仿宋_GB2312" w:cs="仿宋_GB2312"/>
          <w:spacing w:val="0"/>
          <w:kern w:val="2"/>
          <w:sz w:val="32"/>
          <w:szCs w:val="32"/>
          <w:lang w:val="en-US" w:eastAsia="zh-CN" w:bidi="ar"/>
        </w:rPr>
        <w:t>月</w:t>
      </w:r>
      <w:r>
        <w:rPr>
          <w:rFonts w:hint="default" w:ascii="Times New Roman" w:hAnsi="Times New Roman" w:eastAsia="仿宋_GB2312" w:cs="Times New Roman"/>
          <w:spacing w:val="0"/>
          <w:kern w:val="2"/>
          <w:sz w:val="32"/>
          <w:szCs w:val="32"/>
          <w:lang w:val="en-US" w:eastAsia="zh-CN" w:bidi="ar"/>
        </w:rPr>
        <w:t>31</w:t>
      </w:r>
      <w:r>
        <w:rPr>
          <w:rFonts w:hint="eastAsia" w:ascii="仿宋_GB2312" w:hAnsi="Times New Roman" w:eastAsia="仿宋_GB2312" w:cs="仿宋_GB2312"/>
          <w:spacing w:val="0"/>
          <w:kern w:val="2"/>
          <w:sz w:val="32"/>
          <w:szCs w:val="32"/>
          <w:lang w:val="en-US" w:eastAsia="zh-CN" w:bidi="ar"/>
        </w:rPr>
        <w:t>日前，表明后诉所涉侵权行为发生在前诉所涉侵权行为期间具有高度可能性。晶某公司并未举证证明后诉所涉侵权行为系前诉判决生效后睿某公司新实施的侵权行为。其二，被诉侵权产品均用于市政路段的路灯安装，路政设施采购通常以竞争性谈判等形式进行，符合相应资质的供应商数量一般有限。晶某公司于湖州市吴兴区机电路</w:t>
      </w:r>
      <w:r>
        <w:rPr>
          <w:rFonts w:hint="default" w:ascii="Times New Roman" w:hAnsi="Times New Roman" w:eastAsia="仿宋_GB2312" w:cs="Times New Roman"/>
          <w:spacing w:val="0"/>
          <w:kern w:val="2"/>
          <w:sz w:val="32"/>
          <w:szCs w:val="32"/>
          <w:lang w:val="en-US" w:eastAsia="zh-CN" w:bidi="ar"/>
        </w:rPr>
        <w:t>18</w:t>
      </w:r>
      <w:r>
        <w:rPr>
          <w:rFonts w:hint="eastAsia" w:ascii="仿宋_GB2312" w:hAnsi="Times New Roman" w:eastAsia="仿宋_GB2312" w:cs="仿宋_GB2312"/>
          <w:spacing w:val="0"/>
          <w:kern w:val="2"/>
          <w:sz w:val="32"/>
          <w:szCs w:val="32"/>
          <w:lang w:val="en-US" w:eastAsia="zh-CN" w:bidi="ar"/>
        </w:rPr>
        <w:t>号靠近爱山小学（凤栖校区）路段发现睿某公司侵权线索，遂提起前诉，结合晶某公司与睿某公司在湖州地区的同业竞争关系，晶某公司应当认识到睿某公司实施被诉侵权行为的范围明显不限于其取证路段。同时，被诉侵权产品系灯具与灯杆的连接件，其本身对于灯具整体价值和销售利润的贡献度不高，前诉中取证的被诉侵权产品数量约为</w:t>
      </w:r>
      <w:r>
        <w:rPr>
          <w:rFonts w:hint="default" w:ascii="Times New Roman" w:hAnsi="Times New Roman" w:eastAsia="仿宋_GB2312" w:cs="Times New Roman"/>
          <w:spacing w:val="0"/>
          <w:kern w:val="2"/>
          <w:sz w:val="32"/>
          <w:szCs w:val="32"/>
          <w:lang w:val="en-US" w:eastAsia="zh-CN" w:bidi="ar"/>
        </w:rPr>
        <w:t>80</w:t>
      </w:r>
      <w:r>
        <w:rPr>
          <w:rFonts w:hint="eastAsia" w:ascii="仿宋_GB2312" w:hAnsi="Times New Roman" w:eastAsia="仿宋_GB2312" w:cs="仿宋_GB2312"/>
          <w:spacing w:val="0"/>
          <w:kern w:val="2"/>
          <w:sz w:val="32"/>
          <w:szCs w:val="32"/>
          <w:lang w:val="en-US" w:eastAsia="zh-CN" w:bidi="ar"/>
        </w:rPr>
        <w:t>个，在此基础上，晶某公司于前诉中主张睿某公司赔偿其经济损失及合理维权开支达</w:t>
      </w:r>
      <w:r>
        <w:rPr>
          <w:rFonts w:hint="default" w:ascii="Times New Roman" w:hAnsi="Times New Roman" w:eastAsia="仿宋_GB2312" w:cs="Times New Roman"/>
          <w:spacing w:val="0"/>
          <w:kern w:val="2"/>
          <w:sz w:val="32"/>
          <w:szCs w:val="32"/>
          <w:lang w:val="en-US" w:eastAsia="zh-CN" w:bidi="ar"/>
        </w:rPr>
        <w:t>50</w:t>
      </w:r>
      <w:r>
        <w:rPr>
          <w:rFonts w:hint="eastAsia" w:ascii="仿宋_GB2312" w:hAnsi="Times New Roman" w:eastAsia="仿宋_GB2312" w:cs="仿宋_GB2312"/>
          <w:spacing w:val="0"/>
          <w:kern w:val="2"/>
          <w:sz w:val="32"/>
          <w:szCs w:val="32"/>
          <w:lang w:val="en-US" w:eastAsia="zh-CN" w:bidi="ar"/>
        </w:rPr>
        <w:t>万元。综合考虑上述因素，应当认定晶某公司在前诉中主张的侵权规模已经包含睿某公司潜在的、可预期的全部侵权行为，其在后诉中提出的诉讼请求原则上应为前诉所涵盖。其三，该院在前诉中判决睿某公司赔偿晶某公司经济损失（含合理维权费用）</w:t>
      </w:r>
      <w:r>
        <w:rPr>
          <w:rFonts w:hint="default" w:ascii="Times New Roman" w:hAnsi="Times New Roman" w:eastAsia="仿宋_GB2312" w:cs="Times New Roman"/>
          <w:spacing w:val="0"/>
          <w:kern w:val="2"/>
          <w:sz w:val="32"/>
          <w:szCs w:val="32"/>
          <w:lang w:val="en-US" w:eastAsia="zh-CN" w:bidi="ar"/>
        </w:rPr>
        <w:t>7</w:t>
      </w:r>
      <w:r>
        <w:rPr>
          <w:rFonts w:hint="eastAsia" w:ascii="仿宋_GB2312" w:hAnsi="Times New Roman" w:eastAsia="仿宋_GB2312" w:cs="仿宋_GB2312"/>
          <w:spacing w:val="0"/>
          <w:kern w:val="2"/>
          <w:sz w:val="32"/>
          <w:szCs w:val="32"/>
          <w:lang w:val="en-US" w:eastAsia="zh-CN" w:bidi="ar"/>
        </w:rPr>
        <w:t>万元，业已充分考虑专利权的类型、侵权行为的性质、被诉侵权产品的销售价格、侵权人的主观过错程度和侵权情节、侵权人的经营规模、被诉侵权产品对路灯销售利润的贡献度等因素，综合考察前诉与后诉两案案情，前诉确定的损害赔偿金额并不显著低于晶某公司因被侵权所受损失或者睿某公司的侵权获利。综上所述，晶某公司提起的本案诉讼构成重复诉讼，依法应予驳回。遂依照《中华人民共和国民事诉讼法》第一百五十七条第一款第三项，《最高人民法院关于适用〈中华人民共和国民事诉讼法〉的解释》第二百四十七条之规定，于</w:t>
      </w:r>
      <w:r>
        <w:rPr>
          <w:rFonts w:hint="default" w:ascii="Times New Roman" w:hAnsi="Times New Roman" w:eastAsia="仿宋_GB2312" w:cs="Times New Roman"/>
          <w:spacing w:val="0"/>
          <w:kern w:val="2"/>
          <w:sz w:val="32"/>
          <w:szCs w:val="32"/>
          <w:lang w:val="en-US" w:eastAsia="zh-CN" w:bidi="ar"/>
        </w:rPr>
        <w:t>2025</w:t>
      </w:r>
      <w:r>
        <w:rPr>
          <w:rFonts w:hint="eastAsia" w:ascii="仿宋_GB2312" w:hAnsi="Times New Roman" w:eastAsia="仿宋_GB2312" w:cs="仿宋_GB2312"/>
          <w:spacing w:val="0"/>
          <w:kern w:val="2"/>
          <w:sz w:val="32"/>
          <w:szCs w:val="32"/>
          <w:lang w:val="en-US" w:eastAsia="zh-CN" w:bidi="ar"/>
        </w:rPr>
        <w:t>年</w:t>
      </w:r>
      <w:r>
        <w:rPr>
          <w:rFonts w:hint="default" w:ascii="Times New Roman" w:hAnsi="Times New Roman" w:eastAsia="仿宋_GB2312" w:cs="Times New Roman"/>
          <w:spacing w:val="0"/>
          <w:kern w:val="2"/>
          <w:sz w:val="32"/>
          <w:szCs w:val="32"/>
          <w:lang w:val="en-US" w:eastAsia="zh-CN" w:bidi="ar"/>
        </w:rPr>
        <w:t>11</w:t>
      </w:r>
      <w:r>
        <w:rPr>
          <w:rFonts w:hint="eastAsia" w:ascii="仿宋_GB2312" w:hAnsi="Times New Roman" w:eastAsia="仿宋_GB2312" w:cs="仿宋_GB2312"/>
          <w:spacing w:val="0"/>
          <w:kern w:val="2"/>
          <w:sz w:val="32"/>
          <w:szCs w:val="32"/>
          <w:lang w:val="en-US" w:eastAsia="zh-CN" w:bidi="ar"/>
        </w:rPr>
        <w:t>月</w:t>
      </w:r>
      <w:r>
        <w:rPr>
          <w:rFonts w:hint="default" w:ascii="Times New Roman" w:hAnsi="Times New Roman" w:eastAsia="仿宋_GB2312" w:cs="Times New Roman"/>
          <w:spacing w:val="0"/>
          <w:kern w:val="2"/>
          <w:sz w:val="32"/>
          <w:szCs w:val="32"/>
          <w:lang w:val="en-US" w:eastAsia="zh-CN" w:bidi="ar"/>
        </w:rPr>
        <w:t>3</w:t>
      </w:r>
      <w:r>
        <w:rPr>
          <w:rFonts w:hint="eastAsia" w:ascii="仿宋_GB2312" w:hAnsi="Times New Roman" w:eastAsia="仿宋_GB2312" w:cs="仿宋_GB2312"/>
          <w:spacing w:val="0"/>
          <w:kern w:val="2"/>
          <w:sz w:val="32"/>
          <w:szCs w:val="32"/>
          <w:lang w:val="en-US" w:eastAsia="zh-CN" w:bidi="ar"/>
        </w:rPr>
        <w:t>日裁定：驳回晶某公司的起诉。晶某公司预交的一审案件受理费</w:t>
      </w:r>
      <w:r>
        <w:rPr>
          <w:rFonts w:hint="default" w:ascii="Times New Roman" w:hAnsi="Times New Roman" w:eastAsia="仿宋_GB2312" w:cs="Times New Roman"/>
          <w:spacing w:val="0"/>
          <w:kern w:val="2"/>
          <w:sz w:val="32"/>
          <w:szCs w:val="32"/>
          <w:lang w:val="en-US" w:eastAsia="zh-CN" w:bidi="ar"/>
        </w:rPr>
        <w:t>22800</w:t>
      </w:r>
      <w:r>
        <w:rPr>
          <w:rFonts w:hint="eastAsia" w:ascii="仿宋_GB2312" w:hAnsi="Times New Roman" w:eastAsia="仿宋_GB2312" w:cs="仿宋_GB2312"/>
          <w:spacing w:val="0"/>
          <w:kern w:val="2"/>
          <w:sz w:val="32"/>
          <w:szCs w:val="32"/>
          <w:lang w:val="en-US" w:eastAsia="zh-CN" w:bidi="ar"/>
        </w:rPr>
        <w:t>元，予以退回。</w:t>
      </w:r>
    </w:p>
    <w:p w14:paraId="642F286D">
      <w:pPr>
        <w:keepNext w:val="0"/>
        <w:keepLines w:val="0"/>
        <w:widowControl w:val="0"/>
        <w:suppressLineNumbers w:val="0"/>
        <w:overflowPunct w:val="0"/>
        <w:autoSpaceDE w:val="0"/>
        <w:autoSpaceDN w:val="0"/>
        <w:spacing w:before="0" w:beforeAutospacing="0" w:after="0" w:afterAutospacing="0" w:line="592" w:lineRule="exact"/>
        <w:ind w:left="0" w:right="0" w:rightChars="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二审中，双方当事人均未向本院提交新的证据。</w:t>
      </w:r>
    </w:p>
    <w:p w14:paraId="41153949">
      <w:pPr>
        <w:pStyle w:val="3"/>
        <w:keepNext w:val="0"/>
        <w:keepLines w:val="0"/>
        <w:widowControl w:val="0"/>
        <w:suppressLineNumbers w:val="0"/>
        <w:topLinePunct/>
        <w:autoSpaceDE w:val="0"/>
        <w:autoSpaceDN/>
        <w:spacing w:line="592" w:lineRule="exact"/>
        <w:ind w:left="0" w:right="0" w:rightChars="0" w:firstLine="640" w:firstLineChars="200"/>
        <w:rPr>
          <w:rFonts w:hint="default" w:ascii="Times New Roman" w:hAnsi="Times New Roman" w:eastAsia="仿宋_GB2312" w:cs="Times New Roman"/>
          <w:b w:val="0"/>
          <w:kern w:val="2"/>
          <w:sz w:val="32"/>
          <w:szCs w:val="32"/>
        </w:rPr>
      </w:pPr>
      <w:r>
        <w:rPr>
          <w:rFonts w:hint="eastAsia" w:ascii="仿宋_GB2312" w:hAnsi="Times New Roman" w:eastAsia="仿宋_GB2312" w:cs="仿宋_GB2312"/>
          <w:b w:val="0"/>
          <w:kern w:val="2"/>
          <w:sz w:val="32"/>
          <w:szCs w:val="32"/>
        </w:rPr>
        <w:t>本院认为，根据晶某公司的上诉请求和理由，本案二审争议焦点为：本案是否构成重复诉讼。</w:t>
      </w:r>
    </w:p>
    <w:p w14:paraId="076A4FFD">
      <w:pPr>
        <w:pStyle w:val="3"/>
        <w:keepNext w:val="0"/>
        <w:keepLines w:val="0"/>
        <w:widowControl w:val="0"/>
        <w:suppressLineNumbers w:val="0"/>
        <w:topLinePunct/>
        <w:autoSpaceDE w:val="0"/>
        <w:autoSpaceDN/>
        <w:spacing w:line="592" w:lineRule="exact"/>
        <w:ind w:left="0" w:right="0" w:rightChars="0" w:firstLine="640" w:firstLineChars="200"/>
        <w:rPr>
          <w:rFonts w:hint="default" w:ascii="Times New Roman" w:hAnsi="Times New Roman" w:eastAsia="仿宋_GB2312" w:cs="Times New Roman"/>
          <w:b w:val="0"/>
          <w:kern w:val="2"/>
          <w:sz w:val="32"/>
          <w:szCs w:val="32"/>
        </w:rPr>
      </w:pPr>
      <w:r>
        <w:rPr>
          <w:rFonts w:hint="eastAsia" w:ascii="仿宋_GB2312" w:hAnsi="Times New Roman" w:eastAsia="仿宋_GB2312" w:cs="仿宋_GB2312"/>
          <w:spacing w:val="0"/>
          <w:kern w:val="2"/>
          <w:sz w:val="32"/>
          <w:szCs w:val="32"/>
        </w:rPr>
        <w:t>首先，在案证据可以证明本案被诉侵权行为发生于前案立案前。前案证据保全时间为</w:t>
      </w:r>
      <w:r>
        <w:rPr>
          <w:rFonts w:hint="default" w:ascii="Times New Roman" w:hAnsi="Times New Roman" w:eastAsia="仿宋_GB2312" w:cs="Times New Roman"/>
          <w:spacing w:val="0"/>
          <w:kern w:val="2"/>
          <w:sz w:val="32"/>
          <w:szCs w:val="32"/>
        </w:rPr>
        <w:t>2022</w:t>
      </w:r>
      <w:r>
        <w:rPr>
          <w:rFonts w:hint="eastAsia" w:ascii="仿宋_GB2312" w:hAnsi="Times New Roman" w:eastAsia="仿宋_GB2312" w:cs="仿宋_GB2312"/>
          <w:spacing w:val="0"/>
          <w:kern w:val="2"/>
          <w:sz w:val="32"/>
          <w:szCs w:val="32"/>
        </w:rPr>
        <w:t>年</w:t>
      </w:r>
      <w:r>
        <w:rPr>
          <w:rFonts w:hint="default" w:ascii="Times New Roman" w:hAnsi="Times New Roman" w:eastAsia="仿宋_GB2312" w:cs="Times New Roman"/>
          <w:spacing w:val="0"/>
          <w:kern w:val="2"/>
          <w:sz w:val="32"/>
          <w:szCs w:val="32"/>
        </w:rPr>
        <w:t>5</w:t>
      </w:r>
      <w:r>
        <w:rPr>
          <w:rFonts w:hint="eastAsia" w:ascii="仿宋_GB2312" w:hAnsi="Times New Roman" w:eastAsia="仿宋_GB2312" w:cs="仿宋_GB2312"/>
          <w:spacing w:val="0"/>
          <w:kern w:val="2"/>
          <w:sz w:val="32"/>
          <w:szCs w:val="32"/>
        </w:rPr>
        <w:t>月，立案时间为</w:t>
      </w:r>
      <w:r>
        <w:rPr>
          <w:rFonts w:hint="default" w:ascii="Times New Roman" w:hAnsi="Times New Roman" w:eastAsia="仿宋_GB2312" w:cs="Times New Roman"/>
          <w:spacing w:val="0"/>
          <w:kern w:val="2"/>
          <w:sz w:val="32"/>
          <w:szCs w:val="32"/>
        </w:rPr>
        <w:t>2023</w:t>
      </w:r>
      <w:r>
        <w:rPr>
          <w:rFonts w:hint="eastAsia" w:ascii="仿宋_GB2312" w:hAnsi="Times New Roman" w:eastAsia="仿宋_GB2312" w:cs="仿宋_GB2312"/>
          <w:spacing w:val="0"/>
          <w:kern w:val="2"/>
          <w:sz w:val="32"/>
          <w:szCs w:val="32"/>
        </w:rPr>
        <w:t>年</w:t>
      </w:r>
      <w:r>
        <w:rPr>
          <w:rFonts w:hint="default" w:ascii="Times New Roman" w:hAnsi="Times New Roman" w:eastAsia="仿宋_GB2312" w:cs="Times New Roman"/>
          <w:spacing w:val="0"/>
          <w:kern w:val="2"/>
          <w:sz w:val="32"/>
          <w:szCs w:val="32"/>
        </w:rPr>
        <w:t>5</w:t>
      </w:r>
      <w:r>
        <w:rPr>
          <w:rFonts w:hint="eastAsia" w:ascii="仿宋_GB2312" w:hAnsi="Times New Roman" w:eastAsia="仿宋_GB2312" w:cs="仿宋_GB2312"/>
          <w:spacing w:val="0"/>
          <w:kern w:val="2"/>
          <w:sz w:val="32"/>
          <w:szCs w:val="32"/>
        </w:rPr>
        <w:t>月</w:t>
      </w:r>
      <w:r>
        <w:rPr>
          <w:rFonts w:hint="default" w:ascii="Times New Roman" w:hAnsi="Times New Roman" w:eastAsia="仿宋_GB2312" w:cs="Times New Roman"/>
          <w:spacing w:val="0"/>
          <w:kern w:val="2"/>
          <w:sz w:val="32"/>
          <w:szCs w:val="32"/>
        </w:rPr>
        <w:t>15</w:t>
      </w:r>
      <w:r>
        <w:rPr>
          <w:rFonts w:hint="eastAsia" w:ascii="仿宋_GB2312" w:hAnsi="Times New Roman" w:eastAsia="仿宋_GB2312" w:cs="仿宋_GB2312"/>
          <w:spacing w:val="0"/>
          <w:kern w:val="2"/>
          <w:sz w:val="32"/>
          <w:szCs w:val="32"/>
        </w:rPr>
        <w:t>日。一审法院根据在案的市政路段道路交通及配套工程招投标信息显示的相关工程施工时间，认定本案被诉侵权行为大致发生于</w:t>
      </w:r>
      <w:r>
        <w:rPr>
          <w:rFonts w:hint="default" w:ascii="Times New Roman" w:hAnsi="Times New Roman" w:eastAsia="仿宋_GB2312" w:cs="Times New Roman"/>
          <w:spacing w:val="0"/>
          <w:kern w:val="2"/>
          <w:sz w:val="32"/>
          <w:szCs w:val="32"/>
        </w:rPr>
        <w:t>2020</w:t>
      </w:r>
      <w:r>
        <w:rPr>
          <w:rFonts w:hint="eastAsia" w:ascii="仿宋_GB2312" w:hAnsi="Times New Roman" w:eastAsia="仿宋_GB2312" w:cs="仿宋_GB2312"/>
          <w:spacing w:val="0"/>
          <w:kern w:val="2"/>
          <w:sz w:val="32"/>
          <w:szCs w:val="32"/>
        </w:rPr>
        <w:t>至</w:t>
      </w:r>
      <w:r>
        <w:rPr>
          <w:rFonts w:hint="default" w:ascii="Times New Roman" w:hAnsi="Times New Roman" w:eastAsia="仿宋_GB2312" w:cs="Times New Roman"/>
          <w:spacing w:val="0"/>
          <w:kern w:val="2"/>
          <w:sz w:val="32"/>
          <w:szCs w:val="32"/>
        </w:rPr>
        <w:t>2021</w:t>
      </w:r>
      <w:r>
        <w:rPr>
          <w:rFonts w:hint="eastAsia" w:ascii="仿宋_GB2312" w:hAnsi="Times New Roman" w:eastAsia="仿宋_GB2312" w:cs="仿宋_GB2312"/>
          <w:spacing w:val="0"/>
          <w:kern w:val="2"/>
          <w:sz w:val="32"/>
          <w:szCs w:val="32"/>
        </w:rPr>
        <w:t>年期间并无不当。前案与本案被诉侵权行为基本发生于相同时间段，晶某公司上诉对本案被诉侵权行为发生时间所提异议不能成立。其次，晶某公司在前案中所提诉请以及判赔金额可以涵盖本案被诉侵权行为。晶某公司在前案中所提诉请为判令睿某公司立即停止制造、销售、许诺销售侵害涉案外观设计专利权产品的行为以及赔偿经济损失和合理维权费用共计</w:t>
      </w:r>
      <w:r>
        <w:rPr>
          <w:rFonts w:hint="default" w:ascii="Times New Roman" w:hAnsi="Times New Roman" w:eastAsia="仿宋_GB2312" w:cs="Times New Roman"/>
          <w:spacing w:val="0"/>
          <w:kern w:val="2"/>
          <w:sz w:val="32"/>
          <w:szCs w:val="32"/>
        </w:rPr>
        <w:t>50</w:t>
      </w:r>
      <w:r>
        <w:rPr>
          <w:rFonts w:hint="eastAsia" w:ascii="仿宋_GB2312" w:hAnsi="Times New Roman" w:eastAsia="仿宋_GB2312" w:cs="仿宋_GB2312"/>
          <w:spacing w:val="0"/>
          <w:kern w:val="2"/>
          <w:sz w:val="32"/>
          <w:szCs w:val="32"/>
        </w:rPr>
        <w:t>万元等。晶某公司在前案中主张睿某公司实施侵权行为的主要依据为晶某公司于湖州市吴兴区机电路</w:t>
      </w:r>
      <w:r>
        <w:rPr>
          <w:rFonts w:hint="default" w:ascii="Times New Roman" w:hAnsi="Times New Roman" w:eastAsia="仿宋_GB2312" w:cs="Times New Roman"/>
          <w:spacing w:val="0"/>
          <w:kern w:val="2"/>
          <w:sz w:val="32"/>
          <w:szCs w:val="32"/>
        </w:rPr>
        <w:t>18</w:t>
      </w:r>
      <w:r>
        <w:rPr>
          <w:rFonts w:hint="eastAsia" w:ascii="仿宋_GB2312" w:hAnsi="Times New Roman" w:eastAsia="仿宋_GB2312" w:cs="仿宋_GB2312"/>
          <w:spacing w:val="0"/>
          <w:kern w:val="2"/>
          <w:sz w:val="32"/>
          <w:szCs w:val="32"/>
        </w:rPr>
        <w:t>号靠近爱山小学（凤栖校区）路段发现睿某公司制造的被诉侵权产品，但结合前案起诉状以及晶某公司在前案庭审陈述，其并未明确前案主张的睿某公司的侵权行为仅涉及该路段保全的</w:t>
      </w:r>
      <w:r>
        <w:rPr>
          <w:rFonts w:hint="default" w:ascii="Times New Roman" w:hAnsi="Times New Roman" w:eastAsia="仿宋_GB2312" w:cs="Times New Roman"/>
          <w:spacing w:val="0"/>
          <w:kern w:val="2"/>
          <w:sz w:val="32"/>
          <w:szCs w:val="32"/>
        </w:rPr>
        <w:t>80</w:t>
      </w:r>
      <w:r>
        <w:rPr>
          <w:rFonts w:hint="eastAsia" w:ascii="仿宋_GB2312" w:hAnsi="Times New Roman" w:eastAsia="仿宋_GB2312" w:cs="仿宋_GB2312"/>
          <w:spacing w:val="0"/>
          <w:kern w:val="2"/>
          <w:sz w:val="32"/>
          <w:szCs w:val="32"/>
        </w:rPr>
        <w:t>余个被诉侵权产品。特别是晶某公司在前案中主张睿某公司构成制造侵权，其诉请所基于的被诉侵权事实以及诉请判赔额显然不限于上述保全的被诉侵权产品。一审法院在认定睿某公司构成制造、销售、许诺销售侵权的前提下，适用法定赔偿计算方式，判令睿某公司赔偿经济损失以及维权合理费用</w:t>
      </w:r>
      <w:r>
        <w:rPr>
          <w:rFonts w:hint="default" w:ascii="Times New Roman" w:hAnsi="Times New Roman" w:eastAsia="仿宋_GB2312" w:cs="Times New Roman"/>
          <w:spacing w:val="0"/>
          <w:kern w:val="2"/>
          <w:sz w:val="32"/>
          <w:szCs w:val="32"/>
        </w:rPr>
        <w:t>7</w:t>
      </w:r>
      <w:r>
        <w:rPr>
          <w:rFonts w:hint="eastAsia" w:ascii="仿宋_GB2312" w:hAnsi="Times New Roman" w:eastAsia="仿宋_GB2312" w:cs="仿宋_GB2312"/>
          <w:spacing w:val="0"/>
          <w:kern w:val="2"/>
          <w:sz w:val="32"/>
          <w:szCs w:val="32"/>
        </w:rPr>
        <w:t>万元，并非仅基于上述保全的被诉侵权产品，而是已考虑到睿某公司尚未被取证到的其他被诉侵权产品的存在。被诉侵权产品仅系灯具与灯杆的连接件，单价不高，结合涉案外观设计专利对产品利润的贡献度，本案虽在湖州市吴兴区另外</w:t>
      </w:r>
      <w:r>
        <w:rPr>
          <w:rFonts w:hint="default" w:ascii="Times New Roman" w:hAnsi="Times New Roman" w:eastAsia="仿宋_GB2312" w:cs="Times New Roman"/>
          <w:spacing w:val="0"/>
          <w:kern w:val="2"/>
          <w:sz w:val="32"/>
          <w:szCs w:val="32"/>
        </w:rPr>
        <w:t>9</w:t>
      </w:r>
      <w:r>
        <w:rPr>
          <w:rFonts w:hint="eastAsia" w:ascii="仿宋_GB2312" w:hAnsi="Times New Roman" w:eastAsia="仿宋_GB2312" w:cs="仿宋_GB2312"/>
          <w:spacing w:val="0"/>
          <w:kern w:val="2"/>
          <w:sz w:val="32"/>
          <w:szCs w:val="32"/>
        </w:rPr>
        <w:t>条路段公证保全到睿某公司制造、销售的</w:t>
      </w:r>
      <w:r>
        <w:rPr>
          <w:rFonts w:hint="default" w:ascii="Times New Roman" w:hAnsi="Times New Roman" w:eastAsia="仿宋_GB2312" w:cs="Times New Roman"/>
          <w:spacing w:val="0"/>
          <w:kern w:val="2"/>
          <w:sz w:val="32"/>
          <w:szCs w:val="32"/>
        </w:rPr>
        <w:t>800</w:t>
      </w:r>
      <w:r>
        <w:rPr>
          <w:rFonts w:hint="eastAsia" w:ascii="仿宋_GB2312" w:hAnsi="Times New Roman" w:eastAsia="仿宋_GB2312" w:cs="仿宋_GB2312"/>
          <w:spacing w:val="0"/>
          <w:kern w:val="2"/>
          <w:sz w:val="32"/>
          <w:szCs w:val="32"/>
        </w:rPr>
        <w:t>余个被诉侵权产品，但仍可被前案</w:t>
      </w:r>
      <w:r>
        <w:rPr>
          <w:rFonts w:hint="default" w:ascii="Times New Roman" w:hAnsi="Times New Roman" w:eastAsia="仿宋_GB2312" w:cs="Times New Roman"/>
          <w:spacing w:val="0"/>
          <w:kern w:val="2"/>
          <w:sz w:val="32"/>
          <w:szCs w:val="32"/>
        </w:rPr>
        <w:t>7</w:t>
      </w:r>
      <w:r>
        <w:rPr>
          <w:rFonts w:hint="eastAsia" w:ascii="仿宋_GB2312" w:hAnsi="Times New Roman" w:eastAsia="仿宋_GB2312" w:cs="仿宋_GB2312"/>
          <w:spacing w:val="0"/>
          <w:kern w:val="2"/>
          <w:sz w:val="32"/>
          <w:szCs w:val="32"/>
        </w:rPr>
        <w:t>万元判赔数额所涵盖。综上，本案与前案的当事人、诉讼标的以及诉讼请求相同，一审法院以本案构成重复诉讼为由，驳回晶某公司的起诉，具有事实和法律依据。</w:t>
      </w:r>
    </w:p>
    <w:p w14:paraId="00545895">
      <w:pPr>
        <w:pStyle w:val="3"/>
        <w:keepNext w:val="0"/>
        <w:keepLines w:val="0"/>
        <w:widowControl w:val="0"/>
        <w:suppressLineNumbers w:val="0"/>
        <w:topLinePunct/>
        <w:autoSpaceDE w:val="0"/>
        <w:autoSpaceDN/>
        <w:spacing w:line="592" w:lineRule="exact"/>
        <w:ind w:left="0" w:right="0" w:rightChars="0" w:firstLine="640" w:firstLineChars="200"/>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rPr>
        <w:t>综上，晶某公司的上诉请求不能成立，应予驳回。一审裁定认定事实清楚，适用法律正确，应予维持。依照《中华人民共和国民事诉讼法》第一百七十七条第一款第一项规定，裁定如下：</w:t>
      </w:r>
    </w:p>
    <w:p w14:paraId="3069B8CE">
      <w:pPr>
        <w:pStyle w:val="3"/>
        <w:keepNext w:val="0"/>
        <w:keepLines w:val="0"/>
        <w:widowControl w:val="0"/>
        <w:suppressLineNumbers w:val="0"/>
        <w:topLinePunct/>
        <w:autoSpaceDE w:val="0"/>
        <w:autoSpaceDN/>
        <w:spacing w:line="592" w:lineRule="exact"/>
        <w:ind w:left="0" w:right="0" w:rightChars="0" w:firstLine="640" w:firstLineChars="200"/>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rPr>
        <w:t>驳回上诉，维持原裁定。</w:t>
      </w:r>
    </w:p>
    <w:p w14:paraId="08433D6C">
      <w:pPr>
        <w:pStyle w:val="2"/>
        <w:keepNext w:val="0"/>
        <w:keepLines w:val="0"/>
        <w:widowControl w:val="0"/>
        <w:suppressLineNumbers w:val="0"/>
        <w:spacing w:before="100" w:beforeAutospacing="1" w:after="0" w:afterAutospacing="0" w:line="592" w:lineRule="exact"/>
        <w:ind w:left="0" w:right="0" w:firstLine="640" w:firstLineChars="200"/>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rPr>
        <w:t>本裁定为终审裁定。</w:t>
      </w:r>
    </w:p>
    <w:p w14:paraId="7C7114AD">
      <w:pPr>
        <w:keepNext w:val="0"/>
        <w:keepLines w:val="0"/>
        <w:widowControl w:val="0"/>
        <w:suppressLineNumbers w:val="0"/>
        <w:tabs>
          <w:tab w:val="left" w:pos="4304"/>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27A85172">
      <w:pPr>
        <w:pStyle w:val="2"/>
        <w:keepNext w:val="0"/>
        <w:keepLines w:val="0"/>
        <w:widowControl w:val="0"/>
        <w:suppressLineNumbers w:val="0"/>
        <w:spacing w:before="100" w:beforeAutospacing="1" w:after="0" w:afterAutospacing="0" w:line="592" w:lineRule="exact"/>
        <w:ind w:left="0" w:right="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5F8DDF10">
      <w:pPr>
        <w:keepNext w:val="0"/>
        <w:keepLines w:val="0"/>
        <w:widowControl w:val="0"/>
        <w:suppressLineNumbers w:val="0"/>
        <w:tabs>
          <w:tab w:val="left" w:pos="4304"/>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何</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琼</w:t>
      </w:r>
    </w:p>
    <w:p w14:paraId="763C394D">
      <w:pPr>
        <w:keepNext w:val="0"/>
        <w:keepLines w:val="0"/>
        <w:widowControl w:val="0"/>
        <w:suppressLineNumbers w:val="0"/>
        <w:tabs>
          <w:tab w:val="left" w:pos="6456"/>
          <w:tab w:val="left" w:pos="6725"/>
          <w:tab w:val="left" w:pos="7263"/>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建</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中</w:t>
      </w:r>
    </w:p>
    <w:p w14:paraId="32DC6716">
      <w:pPr>
        <w:keepNext w:val="0"/>
        <w:keepLines w:val="0"/>
        <w:widowControl w:val="0"/>
        <w:suppressLineNumbers w:val="0"/>
        <w:tabs>
          <w:tab w:val="left" w:pos="5918"/>
          <w:tab w:val="left" w:pos="7263"/>
          <w:tab w:val="left" w:pos="8080"/>
        </w:tabs>
        <w:spacing w:before="0" w:beforeAutospacing="0" w:after="0" w:afterAutospacing="0" w:line="592" w:lineRule="exact"/>
        <w:ind w:left="0" w:right="0" w:firstLine="4489" w:firstLineChars="1403"/>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p>
    <w:p w14:paraId="4846C10C">
      <w:pPr>
        <w:pStyle w:val="6"/>
        <w:keepNext w:val="0"/>
        <w:keepLines w:val="0"/>
        <w:widowControl w:val="0"/>
        <w:suppressLineNumbers w:val="0"/>
        <w:spacing w:line="592" w:lineRule="exact"/>
        <w:ind w:left="0" w:firstLine="61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651C5893">
      <w:pPr>
        <w:pStyle w:val="6"/>
        <w:keepNext w:val="0"/>
        <w:keepLines w:val="0"/>
        <w:widowControl w:val="0"/>
        <w:suppressLineNumbers w:val="0"/>
        <w:spacing w:line="592" w:lineRule="exact"/>
        <w:ind w:left="0" w:firstLine="61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7"/>
      </w:tblGrid>
      <w:tr w14:paraId="500B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777" w:type="dxa"/>
            <w:tcBorders>
              <w:top w:val="nil"/>
              <w:left w:val="nil"/>
              <w:bottom w:val="nil"/>
              <w:right w:val="nil"/>
            </w:tcBorders>
            <w:noWrap w:val="0"/>
            <w:vAlign w:val="top"/>
          </w:tcPr>
          <w:p w14:paraId="3F497A4A">
            <w:pPr>
              <w:pStyle w:val="4"/>
              <w:keepNext w:val="0"/>
              <w:keepLines w:val="0"/>
              <w:widowControl w:val="0"/>
              <w:suppressLineNumbers w:val="0"/>
              <w:spacing w:line="592"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pacing w:val="-45"/>
                <w:kern w:val="2"/>
                <w:sz w:val="32"/>
                <w:szCs w:val="32"/>
              </w:rPr>
              <w:t xml:space="preserve">  </w:t>
            </w:r>
            <w:r>
              <w:rPr>
                <w:rFonts w:hint="eastAsia" w:ascii="仿宋_GB2312" w:eastAsia="仿宋_GB2312" w:cs="仿宋_GB2312"/>
                <w:spacing w:val="-45"/>
                <w:kern w:val="2"/>
                <w:sz w:val="32"/>
                <w:szCs w:val="32"/>
              </w:rPr>
              <w:t>二</w:t>
            </w:r>
            <w:r>
              <w:rPr>
                <w:rFonts w:hint="eastAsia" w:ascii="宋体" w:hAnsi="宋体" w:eastAsia="宋体" w:cs="宋体"/>
                <w:spacing w:val="-45"/>
                <w:kern w:val="2"/>
                <w:sz w:val="32"/>
                <w:szCs w:val="32"/>
              </w:rPr>
              <w:t>○</w:t>
            </w:r>
            <w:r>
              <w:rPr>
                <w:rFonts w:hint="eastAsia" w:ascii="仿宋_GB2312" w:eastAsia="仿宋_GB2312" w:cs="仿宋_GB2312"/>
                <w:spacing w:val="-45"/>
                <w:kern w:val="2"/>
                <w:sz w:val="32"/>
                <w:szCs w:val="32"/>
              </w:rPr>
              <w:t>二五年十二月十五日</w:t>
            </w:r>
          </w:p>
        </w:tc>
      </w:tr>
    </w:tbl>
    <w:p w14:paraId="0AC6FF56">
      <w:pPr>
        <w:keepNext w:val="0"/>
        <w:keepLines w:val="0"/>
        <w:widowControl w:val="0"/>
        <w:suppressLineNumbers w:val="0"/>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35284D5B">
      <w:pPr>
        <w:keepNext w:val="0"/>
        <w:keepLines w:val="0"/>
        <w:widowControl w:val="0"/>
        <w:suppressLineNumbers w:val="0"/>
        <w:tabs>
          <w:tab w:val="left" w:pos="5649"/>
          <w:tab w:val="left" w:pos="5918"/>
          <w:tab w:val="left" w:pos="6663"/>
          <w:tab w:val="left" w:pos="7801"/>
          <w:tab w:val="left" w:pos="8070"/>
        </w:tabs>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5828A21">
      <w:pPr>
        <w:keepNext w:val="0"/>
        <w:keepLines w:val="0"/>
        <w:widowControl w:val="0"/>
        <w:suppressLineNumbers w:val="0"/>
        <w:tabs>
          <w:tab w:val="left" w:pos="5649"/>
          <w:tab w:val="left" w:pos="5918"/>
          <w:tab w:val="left" w:pos="6663"/>
          <w:tab w:val="left" w:pos="7801"/>
          <w:tab w:val="left" w:pos="8070"/>
        </w:tabs>
        <w:spacing w:before="0" w:beforeAutospacing="0" w:after="0" w:afterAutospacing="0" w:line="592"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3F97F154">
      <w:pPr>
        <w:pStyle w:val="2"/>
        <w:keepNext w:val="0"/>
        <w:keepLines w:val="0"/>
        <w:widowControl w:val="0"/>
        <w:suppressLineNumbers w:val="0"/>
        <w:spacing w:before="100" w:beforeAutospacing="1" w:after="0" w:afterAutospacing="0" w:line="592" w:lineRule="exact"/>
        <w:ind w:left="0" w:right="0" w:firstLine="4480" w:firstLineChars="1400"/>
        <w:rPr>
          <w:rFonts w:hint="default" w:ascii="Times New Roman" w:hAnsi="Times New Roman" w:eastAsia="宋体" w:cs="Times New Roman"/>
          <w:kern w:val="2"/>
          <w:sz w:val="32"/>
          <w:szCs w:val="32"/>
        </w:rPr>
      </w:pPr>
      <w:r>
        <w:rPr>
          <w:rFonts w:hint="eastAsia" w:ascii="仿宋_GB2312" w:hAnsi="Times New Roman" w:eastAsia="仿宋_GB2312" w:cs="仿宋_GB2312"/>
          <w:kern w:val="2"/>
          <w:sz w:val="32"/>
          <w:szCs w:val="32"/>
        </w:rPr>
        <w:t>书</w:t>
      </w:r>
      <w:r>
        <w:rPr>
          <w:rFonts w:hint="default" w:ascii="Times New Roman" w:hAnsi="Times New Roman" w:eastAsia="仿宋_GB2312" w:cs="Times New Roman"/>
          <w:kern w:val="2"/>
          <w:sz w:val="32"/>
          <w:szCs w:val="32"/>
        </w:rPr>
        <w:t xml:space="preserve">  </w:t>
      </w:r>
      <w:r>
        <w:rPr>
          <w:rFonts w:hint="eastAsia" w:ascii="仿宋_GB2312" w:hAnsi="Times New Roman" w:eastAsia="仿宋_GB2312" w:cs="仿宋_GB2312"/>
          <w:kern w:val="2"/>
          <w:sz w:val="32"/>
          <w:szCs w:val="32"/>
        </w:rPr>
        <w:t>记</w:t>
      </w:r>
      <w:r>
        <w:rPr>
          <w:rFonts w:hint="default" w:ascii="Times New Roman" w:hAnsi="Times New Roman" w:eastAsia="仿宋_GB2312" w:cs="Times New Roman"/>
          <w:kern w:val="2"/>
          <w:sz w:val="32"/>
          <w:szCs w:val="32"/>
        </w:rPr>
        <w:t xml:space="preserve">  </w:t>
      </w:r>
      <w:r>
        <w:rPr>
          <w:rFonts w:hint="eastAsia" w:ascii="仿宋_GB2312" w:hAnsi="Times New Roman" w:eastAsia="仿宋_GB2312" w:cs="仿宋_GB2312"/>
          <w:kern w:val="2"/>
          <w:sz w:val="32"/>
          <w:szCs w:val="32"/>
        </w:rPr>
        <w:t>员</w:t>
      </w:r>
      <w:r>
        <w:rPr>
          <w:rFonts w:hint="default" w:ascii="Times New Roman" w:hAnsi="Times New Roman" w:eastAsia="仿宋_GB2312" w:cs="Times New Roman"/>
          <w:kern w:val="2"/>
          <w:sz w:val="32"/>
          <w:szCs w:val="32"/>
        </w:rPr>
        <w:t xml:space="preserve">   </w:t>
      </w:r>
      <w:r>
        <w:rPr>
          <w:rFonts w:hint="eastAsia" w:ascii="仿宋_GB2312" w:hAnsi="Times New Roman" w:eastAsia="仿宋_GB2312" w:cs="仿宋_GB2312"/>
          <w:kern w:val="2"/>
          <w:sz w:val="32"/>
          <w:szCs w:val="32"/>
        </w:rPr>
        <w:t>姜</w:t>
      </w:r>
      <w:r>
        <w:rPr>
          <w:rFonts w:hint="default" w:ascii="Times New Roman" w:hAnsi="Times New Roman" w:eastAsia="仿宋_GB2312" w:cs="Times New Roman"/>
          <w:kern w:val="2"/>
          <w:sz w:val="32"/>
          <w:szCs w:val="32"/>
        </w:rPr>
        <w:t xml:space="preserve">      </w:t>
      </w:r>
      <w:r>
        <w:rPr>
          <w:rFonts w:hint="eastAsia" w:ascii="仿宋_GB2312" w:hAnsi="Times New Roman" w:eastAsia="仿宋_GB2312" w:cs="仿宋_GB2312"/>
          <w:kern w:val="2"/>
          <w:sz w:val="32"/>
          <w:szCs w:val="32"/>
        </w:rPr>
        <w:t>镭</w:t>
      </w:r>
    </w:p>
    <w:p w14:paraId="00CAB4D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auto"/>
    <w:pitch w:val="default"/>
    <w:sig w:usb0="E0002EFF" w:usb1="C0007843" w:usb2="00000009" w:usb3="00000000" w:csb0="400001FF" w:csb1="FFFF0000"/>
  </w:font>
  <w:font w:name="楷体_GB2312">
    <w:altName w:val="楷体"/>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3CD34CA"/>
    <w:rsid w:val="2F821224"/>
    <w:rsid w:val="63CD34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7"/>
      <w:tblCellMar>
        <w:top w:w="0" w:type="dxa"/>
        <w:left w:w="108" w:type="dxa"/>
        <w:bottom w:w="0" w:type="dxa"/>
        <w:right w:w="108" w:type="dxa"/>
      </w:tblCellMar>
    </w:tblPr>
  </w:style>
  <w:style w:type="paragraph" w:styleId="2">
    <w:name w:val="Body Text"/>
    <w:basedOn w:val="1"/>
    <w:uiPriority w:val="0"/>
    <w:pPr>
      <w:keepNext w:val="0"/>
      <w:keepLines w:val="0"/>
      <w:widowControl w:val="0"/>
      <w:suppressLineNumbers w:val="0"/>
      <w:spacing w:after="120" w:afterAutospacing="0"/>
      <w:jc w:val="both"/>
    </w:pPr>
    <w:rPr>
      <w:rFonts w:hint="default" w:ascii="Calibri" w:hAnsi="Calibri" w:eastAsia="宋体" w:cs="Times New Roman"/>
      <w:kern w:val="2"/>
      <w:sz w:val="21"/>
      <w:szCs w:val="21"/>
      <w:lang w:val="en-US" w:eastAsia="zh-CN" w:bidi="ar"/>
    </w:rPr>
  </w:style>
  <w:style w:type="paragraph" w:styleId="3">
    <w:name w:val="Plain Text"/>
    <w:basedOn w:val="1"/>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4">
    <w:name w:val="Date"/>
    <w:basedOn w:val="1"/>
    <w:next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styleId="5">
    <w:name w:val="Body Text 2"/>
    <w:basedOn w:val="1"/>
    <w:uiPriority w:val="0"/>
    <w:pPr>
      <w:keepNext w:val="0"/>
      <w:keepLines w:val="0"/>
      <w:widowControl w:val="0"/>
      <w:suppressLineNumbers w:val="0"/>
      <w:autoSpaceDE w:val="0"/>
      <w:autoSpaceDN w:val="0"/>
      <w:adjustRightInd w:val="0"/>
      <w:spacing w:before="0" w:beforeAutospacing="0" w:after="0" w:afterAutospacing="0" w:line="520" w:lineRule="exact"/>
      <w:ind w:left="0" w:right="0"/>
      <w:jc w:val="center"/>
    </w:pPr>
    <w:rPr>
      <w:rFonts w:hint="eastAsia" w:ascii="楷体_GB2312" w:hAnsi="Calibri" w:eastAsia="楷体_GB2312" w:cs="Times New Roman"/>
      <w:kern w:val="0"/>
      <w:sz w:val="44"/>
      <w:szCs w:val="44"/>
      <w:lang w:val="en-US" w:eastAsia="zh-CN" w:bidi="ar"/>
    </w:rPr>
  </w:style>
  <w:style w:type="paragraph" w:styleId="6">
    <w:name w:val="Body Text First Indent 2"/>
    <w:basedOn w:val="1"/>
    <w:uiPriority w:val="0"/>
    <w:pPr>
      <w:keepNext w:val="0"/>
      <w:keepLines w:val="0"/>
      <w:widowControl w:val="0"/>
      <w:suppressLineNumbers w:val="0"/>
      <w:spacing w:before="0" w:beforeAutospacing="0" w:after="0" w:afterAutospacing="0"/>
      <w:ind w:left="0" w:right="0" w:firstLine="880" w:firstLineChars="200"/>
      <w:jc w:val="both"/>
    </w:pPr>
    <w:rPr>
      <w:rFonts w:hint="default" w:ascii="Times New Roman" w:hAnsi="Times New Roman" w:eastAsia="宋体" w:cs="Times New Roman"/>
      <w:kern w:val="2"/>
      <w:sz w:val="21"/>
      <w:szCs w:val="21"/>
      <w:lang w:val="en-US" w:eastAsia="zh-CN" w:bidi="ar"/>
    </w:rPr>
  </w:style>
  <w:style w:type="character" w:customStyle="1" w:styleId="9">
    <w:name w:val="15"/>
    <w:basedOn w:val="8"/>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2026-06-30T16:56:00Z</dcterms:created>
  <dc:creator>王莉莉</dc:creator>
  <cp:lastModifiedBy>Laurent</cp:lastModifiedBy>
  <dcterms:modified xsi:type="dcterms:W3CDTF">2026-07-18T05:48:53Z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3A11B01F430A4C2CA8827AB1ADF96B45_13</vt:lpwstr>
  </property>
</Properties>
</file>