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53409F">
      <w:pPr>
        <w:keepNext w:val="0"/>
        <w:keepLines w:val="0"/>
        <w:widowControl w:val="0"/>
        <w:suppressLineNumbers w:val="0"/>
        <w:spacing w:before="0" w:beforeLines="0" w:beforeAutospacing="0" w:after="0" w:afterLines="0" w:afterAutospacing="0" w:line="840" w:lineRule="exact"/>
        <w:ind w:left="0" w:right="0"/>
        <w:jc w:val="center"/>
        <w:rPr>
          <w:rFonts w:hint="eastAsia" w:ascii="华文中宋" w:hAnsi="华文中宋" w:eastAsia="华文中宋" w:cs="华文中宋"/>
          <w:spacing w:val="20"/>
          <w:kern w:val="2"/>
          <w:sz w:val="52"/>
          <w:szCs w:val="52"/>
        </w:rPr>
      </w:pPr>
      <w:bookmarkStart w:id="0" w:name="_GoBack"/>
      <w:bookmarkEnd w:id="0"/>
      <w:r>
        <w:rPr>
          <w:rFonts w:hint="eastAsia" w:ascii="华文中宋" w:hAnsi="华文中宋" w:eastAsia="华文中宋" w:cs="华文中宋"/>
          <w:spacing w:val="20"/>
          <w:kern w:val="2"/>
          <w:sz w:val="44"/>
          <w:szCs w:val="44"/>
          <w:lang w:val="en-US" w:eastAsia="zh-CN" w:bidi="ar"/>
        </w:rPr>
        <w:t>浙 江 省 高 级 人 民 法 院</w:t>
      </w:r>
    </w:p>
    <w:p w14:paraId="5244FF59">
      <w:pPr>
        <w:keepNext w:val="0"/>
        <w:keepLines w:val="0"/>
        <w:widowControl w:val="0"/>
        <w:suppressLineNumbers w:val="0"/>
        <w:spacing w:before="0" w:beforeLines="0" w:beforeAutospacing="0" w:after="0" w:afterLines="0" w:afterAutospacing="0" w:line="840" w:lineRule="exact"/>
        <w:ind w:left="0" w:right="0"/>
        <w:jc w:val="center"/>
        <w:rPr>
          <w:rFonts w:hint="eastAsia" w:ascii="华文中宋" w:hAnsi="华文中宋" w:eastAsia="华文中宋" w:cs="华文中宋"/>
          <w:kern w:val="2"/>
          <w:sz w:val="52"/>
          <w:szCs w:val="52"/>
        </w:rPr>
      </w:pPr>
      <w:r>
        <w:rPr>
          <w:rFonts w:hint="eastAsia" w:ascii="华文中宋" w:hAnsi="华文中宋" w:eastAsia="华文中宋" w:cs="华文中宋"/>
          <w:spacing w:val="240"/>
          <w:kern w:val="2"/>
          <w:sz w:val="52"/>
          <w:szCs w:val="52"/>
          <w:lang w:val="en-US" w:eastAsia="zh-CN" w:bidi="ar"/>
        </w:rPr>
        <w:t>民事判决</w:t>
      </w:r>
      <w:r>
        <w:rPr>
          <w:rFonts w:hint="eastAsia" w:ascii="华文中宋" w:hAnsi="华文中宋" w:eastAsia="华文中宋" w:cs="华文中宋"/>
          <w:kern w:val="2"/>
          <w:sz w:val="52"/>
          <w:szCs w:val="52"/>
          <w:lang w:val="en-US" w:eastAsia="zh-CN" w:bidi="ar"/>
        </w:rPr>
        <w:t>书</w:t>
      </w:r>
    </w:p>
    <w:p w14:paraId="5A7DEF0D">
      <w:pPr>
        <w:keepNext w:val="0"/>
        <w:keepLines w:val="0"/>
        <w:widowControl w:val="0"/>
        <w:suppressLineNumbers w:val="0"/>
        <w:adjustRightInd w:val="0"/>
        <w:spacing w:before="0" w:beforeLines="0" w:beforeAutospacing="0" w:after="0" w:afterLines="0" w:afterAutospacing="0" w:line="340" w:lineRule="exact"/>
        <w:ind w:left="5746" w:leftChars="2736" w:right="0" w:firstLine="0" w:firstLineChars="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r>
        <w:rPr>
          <w:rFonts w:hint="eastAsia" w:ascii="仿宋_GB2312" w:hAnsi="Times New Roman" w:eastAsia="仿宋_GB2312" w:cs="仿宋_GB2312"/>
          <w:spacing w:val="-28"/>
          <w:kern w:val="2"/>
          <w:sz w:val="32"/>
          <w:szCs w:val="32"/>
          <w:lang w:val="en-US" w:eastAsia="zh-CN" w:bidi="ar"/>
        </w:rPr>
        <w:t>（2024）浙民终364号</w:t>
      </w:r>
      <w:r>
        <w:rPr>
          <w:rFonts w:hint="default" w:ascii="Times New Roman" w:hAnsi="Times New Roman" w:eastAsia="仿宋_GB2312" w:cs="Times New Roman"/>
          <w:kern w:val="2"/>
          <w:sz w:val="32"/>
          <w:szCs w:val="32"/>
          <w:lang w:val="en-US" w:eastAsia="zh-CN" w:bidi="ar"/>
        </w:rPr>
        <w:t xml:space="preserve">   </w:t>
      </w:r>
    </w:p>
    <w:p w14:paraId="638246D6">
      <w:pPr>
        <w:keepNext w:val="0"/>
        <w:keepLines w:val="0"/>
        <w:widowControl w:val="0"/>
        <w:suppressLineNumbers w:val="0"/>
        <w:adjustRightInd w:val="0"/>
        <w:spacing w:before="0" w:beforeLines="0" w:beforeAutospacing="0" w:after="0" w:afterLines="0" w:afterAutospacing="0" w:line="340" w:lineRule="exact"/>
        <w:ind w:left="0" w:right="0" w:firstLine="5760" w:firstLineChars="18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14:paraId="48E0E008">
      <w:pPr>
        <w:keepNext w:val="0"/>
        <w:keepLines w:val="0"/>
        <w:widowControl w:val="0"/>
        <w:suppressLineNumbers w:val="0"/>
        <w:spacing w:before="0" w:beforeLines="0" w:beforeAutospacing="0" w:after="0" w:afterLines="0" w:afterAutospacing="0" w:line="592" w:lineRule="exact"/>
        <w:ind w:left="0" w:right="0" w:firstLine="640" w:firstLineChars="200"/>
        <w:jc w:val="both"/>
        <w:rPr>
          <w:rFonts w:hint="eastAsia" w:ascii="Times New Roman"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bidi="ar"/>
        </w:rPr>
        <w:t>上诉人（原审原告）：南京鑫某动漫产业有限公司，住所地江苏省南京市栖霞区。</w:t>
      </w:r>
    </w:p>
    <w:p w14:paraId="05CF2C53">
      <w:pPr>
        <w:keepNext w:val="0"/>
        <w:keepLines w:val="0"/>
        <w:widowControl w:val="0"/>
        <w:suppressLineNumbers w:val="0"/>
        <w:spacing w:before="0" w:beforeLines="0" w:beforeAutospacing="0" w:after="0" w:afterLines="0" w:afterAutospacing="0" w:line="592" w:lineRule="exact"/>
        <w:ind w:left="0" w:right="0" w:firstLine="640" w:firstLineChars="200"/>
        <w:jc w:val="both"/>
        <w:rPr>
          <w:rFonts w:hint="eastAsia" w:ascii="Times New Roman"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bidi="ar"/>
        </w:rPr>
        <w:t>被上诉人（原审被告）：广州跃某信息科技有限公司，住所地广东省广州市番禺区。</w:t>
      </w:r>
    </w:p>
    <w:p w14:paraId="0E38AC01">
      <w:pPr>
        <w:keepNext w:val="0"/>
        <w:keepLines w:val="0"/>
        <w:widowControl w:val="0"/>
        <w:suppressLineNumbers w:val="0"/>
        <w:spacing w:before="0" w:beforeLines="0" w:beforeAutospacing="0" w:after="0" w:afterLines="0" w:afterAutospacing="0" w:line="592" w:lineRule="exact"/>
        <w:ind w:left="0" w:right="0" w:firstLine="640" w:firstLineChars="200"/>
        <w:jc w:val="both"/>
        <w:rPr>
          <w:rFonts w:hint="eastAsia" w:ascii="Times New Roman"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bidi="ar"/>
        </w:rPr>
        <w:t>被上诉人（原审被告）：陈某滔，男，，汉族，住广东省普宁市云落镇。</w:t>
      </w:r>
    </w:p>
    <w:p w14:paraId="6E2401F7">
      <w:pPr>
        <w:keepNext w:val="0"/>
        <w:keepLines w:val="0"/>
        <w:widowControl w:val="0"/>
        <w:suppressLineNumbers w:val="0"/>
        <w:spacing w:before="0" w:beforeLines="0" w:beforeAutospacing="0" w:after="0" w:afterLines="0" w:afterAutospacing="0" w:line="592" w:lineRule="exact"/>
        <w:ind w:left="0" w:right="0" w:firstLine="640" w:firstLineChars="200"/>
        <w:jc w:val="both"/>
        <w:rPr>
          <w:rFonts w:hint="eastAsia" w:ascii="Times New Roman"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bidi="ar"/>
        </w:rPr>
        <w:t>原审被告：浙江淘某网络有限公司，住所地浙江省杭州市余杭区五常街道。</w:t>
      </w:r>
    </w:p>
    <w:p w14:paraId="672D1DDE">
      <w:pPr>
        <w:keepNext w:val="0"/>
        <w:keepLines w:val="0"/>
        <w:widowControl w:val="0"/>
        <w:suppressLineNumbers w:val="0"/>
        <w:spacing w:before="0" w:beforeLines="0" w:beforeAutospacing="0" w:after="0" w:afterLines="0" w:afterAutospacing="0" w:line="592" w:lineRule="exact"/>
        <w:ind w:left="0" w:right="0" w:firstLine="640" w:firstLineChars="200"/>
        <w:jc w:val="both"/>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bidi="ar"/>
        </w:rPr>
        <w:t>上诉人南京鑫某动漫产业有限公司（以下简称南京鑫某公司）因与被上诉人广州跃某信息科技有限公司（以下简称广州跃某公司）、陈某滔、原审被告浙江淘某网络有限公司（以下简称淘某公司）侵害外观设计专利权纠纷一案，不服浙江省杭州市中级人民法院（2023）浙01民初519号民事判决，向本院提起上诉。本院于2024年3月4日立案受理后，依法组成合议庭进行了审理。本案现已审理终结。</w:t>
      </w:r>
    </w:p>
    <w:p w14:paraId="6A27C599">
      <w:pPr>
        <w:keepNext w:val="0"/>
        <w:keepLines w:val="0"/>
        <w:widowControl w:val="0"/>
        <w:suppressLineNumbers w:val="0"/>
        <w:spacing w:before="0" w:beforeLines="0" w:beforeAutospacing="0" w:after="0" w:afterLines="0" w:afterAutospacing="0" w:line="59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南京鑫某公司上诉请求：</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请求撤销一审判决，发回原审法院重审或依法将一审判决第二项改判为：广州跃某公司、陈某滔共同赔偿南京鑫某公司经济损失</w:t>
      </w:r>
      <w:r>
        <w:rPr>
          <w:rFonts w:hint="default" w:ascii="Times New Roman" w:hAnsi="Times New Roman" w:eastAsia="仿宋_GB2312" w:cs="Times New Roman"/>
          <w:kern w:val="2"/>
          <w:sz w:val="32"/>
          <w:szCs w:val="32"/>
          <w:lang w:val="en-US" w:eastAsia="zh-CN" w:bidi="ar"/>
        </w:rPr>
        <w:t>2697926.4</w:t>
      </w:r>
      <w:r>
        <w:rPr>
          <w:rFonts w:hint="eastAsia" w:ascii="仿宋_GB2312" w:hAnsi="Times New Roman" w:eastAsia="仿宋_GB2312" w:cs="仿宋_GB2312"/>
          <w:kern w:val="2"/>
          <w:sz w:val="32"/>
          <w:szCs w:val="32"/>
          <w:lang w:val="en-US" w:eastAsia="zh-CN" w:bidi="ar"/>
        </w:rPr>
        <w:t>元，维权合理费用</w:t>
      </w:r>
      <w:r>
        <w:rPr>
          <w:rFonts w:hint="default" w:ascii="Times New Roman" w:hAnsi="Times New Roman" w:eastAsia="仿宋_GB2312" w:cs="Times New Roman"/>
          <w:kern w:val="2"/>
          <w:sz w:val="32"/>
          <w:szCs w:val="32"/>
          <w:lang w:val="en-US" w:eastAsia="zh-CN" w:bidi="ar"/>
        </w:rPr>
        <w:t>26857.82</w:t>
      </w:r>
      <w:r>
        <w:rPr>
          <w:rFonts w:hint="eastAsia" w:ascii="仿宋_GB2312" w:hAnsi="Times New Roman" w:eastAsia="仿宋_GB2312" w:cs="仿宋_GB2312"/>
          <w:kern w:val="2"/>
          <w:sz w:val="32"/>
          <w:szCs w:val="32"/>
          <w:lang w:val="en-US" w:eastAsia="zh-CN" w:bidi="ar"/>
        </w:rPr>
        <w:t>元；</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一、二审诉讼费用由广州跃某公司、陈某滔承担。事实和理由：（一）广州跃某公司、陈某滔未提供证据证明涉案店铺</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玩意局</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于</w:t>
      </w:r>
      <w:r>
        <w:rPr>
          <w:rFonts w:hint="default" w:ascii="Times New Roman" w:hAnsi="Times New Roman" w:eastAsia="仿宋_GB2312" w:cs="Times New Roman"/>
          <w:kern w:val="2"/>
          <w:sz w:val="32"/>
          <w:szCs w:val="32"/>
          <w:lang w:val="en-US" w:eastAsia="zh-CN" w:bidi="ar"/>
        </w:rPr>
        <w:t>2020</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28</w:t>
      </w:r>
      <w:r>
        <w:rPr>
          <w:rFonts w:hint="eastAsia" w:ascii="仿宋_GB2312" w:hAnsi="Times New Roman" w:eastAsia="仿宋_GB2312" w:cs="仿宋_GB2312"/>
          <w:kern w:val="2"/>
          <w:sz w:val="32"/>
          <w:szCs w:val="32"/>
          <w:lang w:val="en-US" w:eastAsia="zh-CN" w:bidi="ar"/>
        </w:rPr>
        <w:t>日后销售的</w:t>
      </w:r>
      <w:r>
        <w:rPr>
          <w:rFonts w:hint="default" w:ascii="Times New Roman" w:hAnsi="Times New Roman" w:eastAsia="仿宋_GB2312" w:cs="Times New Roman"/>
          <w:kern w:val="2"/>
          <w:sz w:val="32"/>
          <w:szCs w:val="32"/>
          <w:lang w:val="en-US" w:eastAsia="zh-CN" w:bidi="ar"/>
        </w:rPr>
        <w:t>76864</w:t>
      </w:r>
      <w:r>
        <w:rPr>
          <w:rFonts w:hint="eastAsia" w:ascii="仿宋_GB2312" w:hAnsi="Times New Roman" w:eastAsia="仿宋_GB2312" w:cs="仿宋_GB2312"/>
          <w:kern w:val="2"/>
          <w:sz w:val="32"/>
          <w:szCs w:val="32"/>
          <w:lang w:val="en-US" w:eastAsia="zh-CN" w:bidi="ar"/>
        </w:rPr>
        <w:t>个产品中的</w:t>
      </w:r>
      <w:r>
        <w:rPr>
          <w:rFonts w:hint="default" w:ascii="Times New Roman" w:hAnsi="Times New Roman" w:eastAsia="仿宋_GB2312" w:cs="Times New Roman"/>
          <w:kern w:val="2"/>
          <w:sz w:val="32"/>
          <w:szCs w:val="32"/>
          <w:lang w:val="en-US" w:eastAsia="zh-CN" w:bidi="ar"/>
        </w:rPr>
        <w:t>30000</w:t>
      </w:r>
      <w:r>
        <w:rPr>
          <w:rFonts w:hint="eastAsia" w:ascii="仿宋_GB2312" w:hAnsi="Times New Roman" w:eastAsia="仿宋_GB2312" w:cs="仿宋_GB2312"/>
          <w:kern w:val="2"/>
          <w:sz w:val="32"/>
          <w:szCs w:val="32"/>
          <w:lang w:val="en-US" w:eastAsia="zh-CN" w:bidi="ar"/>
        </w:rPr>
        <w:t>个产品为其向权利人购进的专利产品。一审法院直接将上述交易数据在侵权产品的销量中剔除系事实认定错误；（二）本案证据中已包含了单个被诉侵权产品的价格，一审法院简单以被诉侵权产品包含了搭售产品的价格为由认为被诉侵权产品的实际成交金额难以认定，系事实未查明；（三）一审法院认定南京鑫某公司所主张的惩罚性赔偿基数计算依据及方式不当，导致赔偿基数无法确定，无法适用惩罚性赔偿系法律适用错误。在广州跃某公司、陈某滔未提供任何实质性证据证明被诉侵权产品的实际成交金额的情形下，应参考南京鑫某公司主张的侵权人侵权获利和提供的平台销售数据作为证据确定赔偿数额的计算基数。即便一审法院认为侵权产品销售金额无法查明，也不应当将无法查明的责任归咎于南京鑫某公司；（四）一审法院直接以《合作协议》中约定的赔偿金额确定南京鑫某公司的经济损失系法律适用错误。在广州跃某公司、陈某滔明知其销售、许诺销售的是侵权产品且销售金额巨大的情况下，《合作协议》中约定的</w:t>
      </w:r>
      <w:r>
        <w:rPr>
          <w:rFonts w:hint="default" w:ascii="Times New Roman" w:hAnsi="Times New Roman" w:eastAsia="仿宋_GB2312" w:cs="Times New Roman"/>
          <w:kern w:val="2"/>
          <w:sz w:val="32"/>
          <w:szCs w:val="32"/>
          <w:lang w:val="en-US" w:eastAsia="zh-CN" w:bidi="ar"/>
        </w:rPr>
        <w:t>20</w:t>
      </w:r>
      <w:r>
        <w:rPr>
          <w:rFonts w:hint="eastAsia" w:ascii="仿宋_GB2312" w:hAnsi="Times New Roman" w:eastAsia="仿宋_GB2312" w:cs="仿宋_GB2312"/>
          <w:kern w:val="2"/>
          <w:sz w:val="32"/>
          <w:szCs w:val="32"/>
          <w:lang w:val="en-US" w:eastAsia="zh-CN" w:bidi="ar"/>
        </w:rPr>
        <w:t>万元赔偿金额已不能完全、准确的评价广州跃某公司、陈某滔的再次恶意侵权行为，故不能直接以《合作协议》中约定的违约责任作为本案的判决参考标准；（五）一审法院酌定合理维权费用</w:t>
      </w:r>
      <w:r>
        <w:rPr>
          <w:rFonts w:hint="default" w:ascii="Times New Roman" w:hAnsi="Times New Roman" w:eastAsia="仿宋_GB2312" w:cs="Times New Roman"/>
          <w:kern w:val="2"/>
          <w:sz w:val="32"/>
          <w:szCs w:val="32"/>
          <w:lang w:val="en-US" w:eastAsia="zh-CN" w:bidi="ar"/>
        </w:rPr>
        <w:t>6000</w:t>
      </w:r>
      <w:r>
        <w:rPr>
          <w:rFonts w:hint="eastAsia" w:ascii="仿宋_GB2312" w:hAnsi="Times New Roman" w:eastAsia="仿宋_GB2312" w:cs="仿宋_GB2312"/>
          <w:kern w:val="2"/>
          <w:sz w:val="32"/>
          <w:szCs w:val="32"/>
          <w:lang w:val="en-US" w:eastAsia="zh-CN" w:bidi="ar"/>
        </w:rPr>
        <w:t>元存在错误。南京鑫某公司主张的合理维权费用中与（</w:t>
      </w:r>
      <w:r>
        <w:rPr>
          <w:rFonts w:hint="default" w:ascii="Times New Roman" w:hAnsi="Times New Roman" w:eastAsia="仿宋_GB2312" w:cs="Times New Roman"/>
          <w:kern w:val="2"/>
          <w:sz w:val="32"/>
          <w:szCs w:val="32"/>
          <w:lang w:val="en-US" w:eastAsia="zh-CN" w:bidi="ar"/>
        </w:rPr>
        <w:t>2020</w:t>
      </w:r>
      <w:r>
        <w:rPr>
          <w:rFonts w:hint="eastAsia" w:ascii="仿宋_GB2312" w:hAnsi="Times New Roman" w:eastAsia="仿宋_GB2312" w:cs="仿宋_GB2312"/>
          <w:kern w:val="2"/>
          <w:sz w:val="32"/>
          <w:szCs w:val="32"/>
          <w:lang w:val="en-US" w:eastAsia="zh-CN" w:bidi="ar"/>
        </w:rPr>
        <w:t>）鲁日照德信证民字第</w:t>
      </w:r>
      <w:r>
        <w:rPr>
          <w:rFonts w:hint="default" w:ascii="Times New Roman" w:hAnsi="Times New Roman" w:eastAsia="仿宋_GB2312" w:cs="Times New Roman"/>
          <w:kern w:val="2"/>
          <w:sz w:val="32"/>
          <w:szCs w:val="32"/>
          <w:lang w:val="en-US" w:eastAsia="zh-CN" w:bidi="ar"/>
        </w:rPr>
        <w:t>3020</w:t>
      </w:r>
      <w:r>
        <w:rPr>
          <w:rFonts w:hint="eastAsia" w:ascii="仿宋_GB2312" w:hAnsi="Times New Roman" w:eastAsia="仿宋_GB2312" w:cs="仿宋_GB2312"/>
          <w:kern w:val="2"/>
          <w:sz w:val="32"/>
          <w:szCs w:val="32"/>
          <w:lang w:val="en-US" w:eastAsia="zh-CN" w:bidi="ar"/>
        </w:rPr>
        <w:t>号公证书（以下简称</w:t>
      </w:r>
      <w:r>
        <w:rPr>
          <w:rFonts w:hint="default" w:ascii="Times New Roman" w:hAnsi="Times New Roman" w:eastAsia="仿宋_GB2312" w:cs="Times New Roman"/>
          <w:kern w:val="2"/>
          <w:sz w:val="32"/>
          <w:szCs w:val="32"/>
          <w:lang w:val="en-US" w:eastAsia="zh-CN" w:bidi="ar"/>
        </w:rPr>
        <w:t>3020</w:t>
      </w:r>
      <w:r>
        <w:rPr>
          <w:rFonts w:hint="eastAsia" w:ascii="仿宋_GB2312" w:hAnsi="Times New Roman" w:eastAsia="仿宋_GB2312" w:cs="仿宋_GB2312"/>
          <w:kern w:val="2"/>
          <w:sz w:val="32"/>
          <w:szCs w:val="32"/>
          <w:lang w:val="en-US" w:eastAsia="zh-CN" w:bidi="ar"/>
        </w:rPr>
        <w:t>号公证书）所涉侵权事实有关的仅包含公证费用</w:t>
      </w:r>
      <w:r>
        <w:rPr>
          <w:rFonts w:hint="default" w:ascii="Times New Roman" w:hAnsi="Times New Roman" w:eastAsia="仿宋_GB2312" w:cs="Times New Roman"/>
          <w:kern w:val="2"/>
          <w:sz w:val="32"/>
          <w:szCs w:val="32"/>
          <w:lang w:val="en-US" w:eastAsia="zh-CN" w:bidi="ar"/>
        </w:rPr>
        <w:t>2000</w:t>
      </w:r>
      <w:r>
        <w:rPr>
          <w:rFonts w:hint="eastAsia" w:ascii="仿宋_GB2312" w:hAnsi="Times New Roman" w:eastAsia="仿宋_GB2312" w:cs="仿宋_GB2312"/>
          <w:kern w:val="2"/>
          <w:sz w:val="32"/>
          <w:szCs w:val="32"/>
          <w:lang w:val="en-US" w:eastAsia="zh-CN" w:bidi="ar"/>
        </w:rPr>
        <w:t>元及购物费</w:t>
      </w:r>
      <w:r>
        <w:rPr>
          <w:rFonts w:hint="default" w:ascii="Times New Roman" w:hAnsi="Times New Roman" w:eastAsia="仿宋_GB2312" w:cs="Times New Roman"/>
          <w:kern w:val="2"/>
          <w:sz w:val="32"/>
          <w:szCs w:val="32"/>
          <w:lang w:val="en-US" w:eastAsia="zh-CN" w:bidi="ar"/>
        </w:rPr>
        <w:t>57.92</w:t>
      </w:r>
      <w:r>
        <w:rPr>
          <w:rFonts w:hint="eastAsia" w:ascii="仿宋_GB2312" w:hAnsi="Times New Roman" w:eastAsia="仿宋_GB2312" w:cs="仿宋_GB2312"/>
          <w:kern w:val="2"/>
          <w:sz w:val="32"/>
          <w:szCs w:val="32"/>
          <w:lang w:val="en-US" w:eastAsia="zh-CN" w:bidi="ar"/>
        </w:rPr>
        <w:t>元。剔除后，法院应在南京鑫某公司主张的维权合理费用</w:t>
      </w:r>
      <w:r>
        <w:rPr>
          <w:rFonts w:hint="default" w:ascii="Times New Roman" w:hAnsi="Times New Roman" w:eastAsia="仿宋_GB2312" w:cs="Times New Roman"/>
          <w:kern w:val="2"/>
          <w:sz w:val="32"/>
          <w:szCs w:val="32"/>
          <w:lang w:val="en-US" w:eastAsia="zh-CN" w:bidi="ar"/>
        </w:rPr>
        <w:t>26857.92</w:t>
      </w:r>
      <w:r>
        <w:rPr>
          <w:rFonts w:hint="eastAsia" w:ascii="仿宋_GB2312" w:hAnsi="Times New Roman" w:eastAsia="仿宋_GB2312" w:cs="仿宋_GB2312"/>
          <w:kern w:val="2"/>
          <w:sz w:val="32"/>
          <w:szCs w:val="32"/>
          <w:lang w:val="en-US" w:eastAsia="zh-CN" w:bidi="ar"/>
        </w:rPr>
        <w:t>元（包含</w:t>
      </w:r>
      <w:r>
        <w:rPr>
          <w:rFonts w:hint="default" w:ascii="Times New Roman" w:hAnsi="Times New Roman" w:eastAsia="仿宋_GB2312" w:cs="Times New Roman"/>
          <w:kern w:val="2"/>
          <w:sz w:val="32"/>
          <w:szCs w:val="32"/>
          <w:lang w:val="en-US" w:eastAsia="zh-CN" w:bidi="ar"/>
        </w:rPr>
        <w:t>1800</w:t>
      </w:r>
      <w:r>
        <w:rPr>
          <w:rFonts w:hint="eastAsia" w:ascii="仿宋_GB2312" w:hAnsi="Times New Roman" w:eastAsia="仿宋_GB2312" w:cs="仿宋_GB2312"/>
          <w:kern w:val="2"/>
          <w:sz w:val="32"/>
          <w:szCs w:val="32"/>
          <w:lang w:val="en-US" w:eastAsia="zh-CN" w:bidi="ar"/>
        </w:rPr>
        <w:t>元公证费、</w:t>
      </w:r>
      <w:r>
        <w:rPr>
          <w:rFonts w:hint="default" w:ascii="Times New Roman" w:hAnsi="Times New Roman" w:eastAsia="仿宋_GB2312" w:cs="Times New Roman"/>
          <w:kern w:val="2"/>
          <w:sz w:val="32"/>
          <w:szCs w:val="32"/>
          <w:lang w:val="en-US" w:eastAsia="zh-CN" w:bidi="ar"/>
        </w:rPr>
        <w:t>57.92</w:t>
      </w:r>
      <w:r>
        <w:rPr>
          <w:rFonts w:hint="eastAsia" w:ascii="仿宋_GB2312" w:hAnsi="Times New Roman" w:eastAsia="仿宋_GB2312" w:cs="仿宋_GB2312"/>
          <w:kern w:val="2"/>
          <w:sz w:val="32"/>
          <w:szCs w:val="32"/>
          <w:lang w:val="en-US" w:eastAsia="zh-CN" w:bidi="ar"/>
        </w:rPr>
        <w:t>元购物费、</w:t>
      </w:r>
      <w:r>
        <w:rPr>
          <w:rFonts w:hint="default" w:ascii="Times New Roman" w:hAnsi="Times New Roman" w:eastAsia="仿宋_GB2312" w:cs="Times New Roman"/>
          <w:kern w:val="2"/>
          <w:sz w:val="32"/>
          <w:szCs w:val="32"/>
          <w:lang w:val="en-US" w:eastAsia="zh-CN" w:bidi="ar"/>
        </w:rPr>
        <w:t>25000</w:t>
      </w:r>
      <w:r>
        <w:rPr>
          <w:rFonts w:hint="eastAsia" w:ascii="仿宋_GB2312" w:hAnsi="Times New Roman" w:eastAsia="仿宋_GB2312" w:cs="仿宋_GB2312"/>
          <w:kern w:val="2"/>
          <w:sz w:val="32"/>
          <w:szCs w:val="32"/>
          <w:lang w:val="en-US" w:eastAsia="zh-CN" w:bidi="ar"/>
        </w:rPr>
        <w:t>元律师费）的基础上予以考量。</w:t>
      </w:r>
    </w:p>
    <w:p w14:paraId="46CB7582">
      <w:pPr>
        <w:keepNext w:val="0"/>
        <w:keepLines w:val="0"/>
        <w:widowControl w:val="0"/>
        <w:suppressLineNumbers w:val="0"/>
        <w:spacing w:before="0" w:beforeLines="0" w:beforeAutospacing="0" w:after="0" w:afterLines="0" w:afterAutospacing="0" w:line="59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广州跃某公司、陈某滔辩称：（一）针对被诉侵权产品，广州跃某公司、陈某滔无其他销售渠道。虽然广州跃某公司在某乙平台亦开设有店铺，但该店铺从未销售过被诉侵权产品，南京鑫某公司仅举证陈某滔经营的淘某店铺侵权，从未举证过广州跃某公司的某乙平台店铺侵权；（二）单个被诉侵权产品的纯利润不足</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元，南京鑫某公司系夸大获利；（三）即便确认被诉侵权产品的基础款价格为</w:t>
      </w:r>
      <w:r>
        <w:rPr>
          <w:rFonts w:hint="default" w:ascii="Times New Roman" w:hAnsi="Times New Roman" w:eastAsia="仿宋_GB2312" w:cs="Times New Roman"/>
          <w:kern w:val="2"/>
          <w:sz w:val="32"/>
          <w:szCs w:val="32"/>
          <w:lang w:val="en-US" w:eastAsia="zh-CN" w:bidi="ar"/>
        </w:rPr>
        <w:t>39</w:t>
      </w:r>
      <w:r>
        <w:rPr>
          <w:rFonts w:hint="eastAsia" w:ascii="仿宋_GB2312" w:hAnsi="Times New Roman" w:eastAsia="仿宋_GB2312" w:cs="仿宋_GB2312"/>
          <w:kern w:val="2"/>
          <w:sz w:val="32"/>
          <w:szCs w:val="32"/>
          <w:lang w:val="en-US" w:eastAsia="zh-CN" w:bidi="ar"/>
        </w:rPr>
        <w:t>元，但该价格中包括礼盒礼袋、快递费、人员工资、店铺运营等显性或隐性成本，故单个产品的纯利润依然无法查明，赔偿基数无法确定；（四）一审法院酌定赔偿</w:t>
      </w:r>
      <w:r>
        <w:rPr>
          <w:rFonts w:hint="default" w:ascii="Times New Roman" w:hAnsi="Times New Roman" w:eastAsia="仿宋_GB2312" w:cs="Times New Roman"/>
          <w:kern w:val="2"/>
          <w:sz w:val="32"/>
          <w:szCs w:val="32"/>
          <w:lang w:val="en-US" w:eastAsia="zh-CN" w:bidi="ar"/>
        </w:rPr>
        <w:t>20</w:t>
      </w:r>
      <w:r>
        <w:rPr>
          <w:rFonts w:hint="eastAsia" w:ascii="仿宋_GB2312" w:hAnsi="Times New Roman" w:eastAsia="仿宋_GB2312" w:cs="仿宋_GB2312"/>
          <w:kern w:val="2"/>
          <w:sz w:val="32"/>
          <w:szCs w:val="32"/>
          <w:lang w:val="en-US" w:eastAsia="zh-CN" w:bidi="ar"/>
        </w:rPr>
        <w:t>万元经济损失已是充分兼顾了惩罚恶意侵权行为和尊重双方合同合意的折中方案，实际上因时间某丁公司人员变动，一审法院认定的销量仍然存在水分；（五）因南京鑫某公司在一审中主张没有事实依据的超高标的额，产生了超额诉讼费，一审法院要求广州跃某公司、陈某滔负担</w:t>
      </w:r>
      <w:r>
        <w:rPr>
          <w:rFonts w:hint="default" w:ascii="Times New Roman" w:hAnsi="Times New Roman" w:eastAsia="仿宋_GB2312" w:cs="Times New Roman"/>
          <w:kern w:val="2"/>
          <w:sz w:val="32"/>
          <w:szCs w:val="32"/>
          <w:lang w:val="en-US" w:eastAsia="zh-CN" w:bidi="ar"/>
        </w:rPr>
        <w:t>24364</w:t>
      </w:r>
      <w:r>
        <w:rPr>
          <w:rFonts w:hint="eastAsia" w:ascii="仿宋_GB2312" w:hAnsi="Times New Roman" w:eastAsia="仿宋_GB2312" w:cs="仿宋_GB2312"/>
          <w:kern w:val="2"/>
          <w:sz w:val="32"/>
          <w:szCs w:val="32"/>
          <w:lang w:val="en-US" w:eastAsia="zh-CN" w:bidi="ar"/>
        </w:rPr>
        <w:t>元明显不公；（六）广州跃某公司、陈某滔二审中提交的新证据可以证明涉案专利为现有设计，其之所以未提起上诉，是因为该证据系上诉期满后出现。二审虽然仅围绕上诉请求审理，但《最高人民法院关于适用</w:t>
      </w:r>
      <w:r>
        <w:rPr>
          <w:rFonts w:hint="default" w:ascii="Times New Roman" w:hAnsi="Times New Roman" w:eastAsia="仿宋_GB2312" w:cs="Times New Roman"/>
          <w:kern w:val="2"/>
          <w:sz w:val="32"/>
          <w:szCs w:val="32"/>
          <w:lang w:val="en-US" w:eastAsia="zh-CN" w:bidi="ar"/>
        </w:rPr>
        <w:t>&lt;</w:t>
      </w:r>
      <w:r>
        <w:rPr>
          <w:rFonts w:hint="eastAsia" w:ascii="仿宋_GB2312" w:hAnsi="Times New Roman" w:eastAsia="仿宋_GB2312" w:cs="仿宋_GB2312"/>
          <w:kern w:val="2"/>
          <w:sz w:val="32"/>
          <w:szCs w:val="32"/>
          <w:lang w:val="en-US" w:eastAsia="zh-CN" w:bidi="ar"/>
        </w:rPr>
        <w:t>中华人民共和国民事诉讼法</w:t>
      </w:r>
      <w:r>
        <w:rPr>
          <w:rFonts w:hint="default" w:ascii="Times New Roman" w:hAnsi="Times New Roman" w:eastAsia="仿宋_GB2312" w:cs="Times New Roman"/>
          <w:kern w:val="2"/>
          <w:sz w:val="32"/>
          <w:szCs w:val="32"/>
          <w:lang w:val="en-US" w:eastAsia="zh-CN" w:bidi="ar"/>
        </w:rPr>
        <w:t>&gt;</w:t>
      </w:r>
      <w:r>
        <w:rPr>
          <w:rFonts w:hint="eastAsia" w:ascii="仿宋_GB2312" w:hAnsi="Times New Roman" w:eastAsia="仿宋_GB2312" w:cs="仿宋_GB2312"/>
          <w:kern w:val="2"/>
          <w:sz w:val="32"/>
          <w:szCs w:val="32"/>
          <w:lang w:val="en-US" w:eastAsia="zh-CN" w:bidi="ar"/>
        </w:rPr>
        <w:t>的解释》第三百二十一条规定了</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损害国家利益、社会公共利益</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的例外情形，本案符合该例外情形，故法院应依职权驳回南京鑫某公司的诉讼请求。即便二审法院仍然认为广州跃某公司、陈某滔的现有设计抗辩不能成立，一审酌定的赔偿金额也过高。</w:t>
      </w:r>
    </w:p>
    <w:p w14:paraId="417846C7">
      <w:pPr>
        <w:keepNext w:val="0"/>
        <w:keepLines w:val="0"/>
        <w:widowControl w:val="0"/>
        <w:suppressLineNumbers w:val="0"/>
        <w:spacing w:before="0" w:beforeLines="0" w:beforeAutospacing="0" w:after="0" w:afterLines="0" w:afterAutospacing="0" w:line="592" w:lineRule="exact"/>
        <w:ind w:left="0" w:right="0" w:firstLine="640" w:firstLineChars="200"/>
        <w:jc w:val="both"/>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bidi="ar"/>
        </w:rPr>
        <w:t>淘某公司</w:t>
      </w:r>
      <w:r>
        <w:rPr>
          <w:rFonts w:hint="eastAsia" w:ascii="仿宋_GB2312" w:hAnsi="Calibri" w:eastAsia="仿宋_GB2312" w:cs="仿宋_GB2312"/>
          <w:kern w:val="2"/>
          <w:sz w:val="32"/>
          <w:szCs w:val="32"/>
          <w:lang w:val="en-US" w:eastAsia="zh-CN" w:bidi="ar"/>
        </w:rPr>
        <w:t>未陈述意见。</w:t>
      </w:r>
    </w:p>
    <w:p w14:paraId="1422C0ED">
      <w:pPr>
        <w:keepNext w:val="0"/>
        <w:keepLines w:val="0"/>
        <w:widowControl w:val="0"/>
        <w:suppressLineNumbers w:val="0"/>
        <w:spacing w:before="0" w:beforeLines="0" w:beforeAutospacing="0" w:after="0" w:afterLines="0" w:afterAutospacing="0" w:line="592" w:lineRule="exact"/>
        <w:ind w:left="0" w:right="0" w:firstLine="640" w:firstLineChars="200"/>
        <w:jc w:val="both"/>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bidi="ar"/>
        </w:rPr>
        <w:t>南京鑫某公司向一审法院起诉，请求判令：1.广州跃某公司、陈某滔立即停止生产、销售、许诺销售侵害名称为“长脖鸭玩具（草帽系列）”、专利号为ZL2017****2467.8的外观设计专利权产品的行为，并销毁侵权产品的全部库存；2.淘某公司立即停止许诺销售侵害南京鑫某公司外观设计专利权的产品，删除侵权链接及相关图片；3.广州跃某公司、陈某滔共同赔偿南京鑫某公司经济损失，公证取证费、律师费等共计500万元；4.淘某公司对损害赔偿承担连带责任；5.诉讼费由广州跃某公司、陈某滔、淘某公司承担。</w:t>
      </w:r>
    </w:p>
    <w:p w14:paraId="31BFDB3D">
      <w:pPr>
        <w:keepNext w:val="0"/>
        <w:keepLines w:val="0"/>
        <w:widowControl w:val="0"/>
        <w:suppressLineNumbers w:val="0"/>
        <w:spacing w:before="0" w:beforeLines="0" w:beforeAutospacing="0" w:after="0" w:afterLines="0" w:afterAutospacing="0" w:line="59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一审法院认定事实：</w:t>
      </w:r>
      <w:r>
        <w:rPr>
          <w:rFonts w:hint="default" w:ascii="Times New Roman" w:hAnsi="Times New Roman" w:eastAsia="仿宋_GB2312" w:cs="Times New Roman"/>
          <w:kern w:val="2"/>
          <w:sz w:val="32"/>
          <w:szCs w:val="32"/>
          <w:lang w:val="en-US" w:eastAsia="zh-CN" w:bidi="ar"/>
        </w:rPr>
        <w:t>2017</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13</w:t>
      </w:r>
      <w:r>
        <w:rPr>
          <w:rFonts w:hint="eastAsia" w:ascii="仿宋_GB2312" w:hAnsi="Times New Roman" w:eastAsia="仿宋_GB2312" w:cs="仿宋_GB2312"/>
          <w:kern w:val="2"/>
          <w:sz w:val="32"/>
          <w:szCs w:val="32"/>
          <w:lang w:val="en-US" w:eastAsia="zh-CN" w:bidi="ar"/>
        </w:rPr>
        <w:t>日，王某萍向国家知识产权局申请了名为</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长脖鸭玩具（草帽系列）</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的外观设计专利，授权公告日为</w:t>
      </w:r>
      <w:r>
        <w:rPr>
          <w:rFonts w:hint="default" w:ascii="Times New Roman" w:hAnsi="Times New Roman" w:eastAsia="仿宋_GB2312" w:cs="Times New Roman"/>
          <w:kern w:val="2"/>
          <w:sz w:val="32"/>
          <w:szCs w:val="32"/>
          <w:lang w:val="en-US" w:eastAsia="zh-CN" w:bidi="ar"/>
        </w:rPr>
        <w:t>2017</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26</w:t>
      </w:r>
      <w:r>
        <w:rPr>
          <w:rFonts w:hint="eastAsia" w:ascii="仿宋_GB2312" w:hAnsi="Times New Roman" w:eastAsia="仿宋_GB2312" w:cs="仿宋_GB2312"/>
          <w:kern w:val="2"/>
          <w:sz w:val="32"/>
          <w:szCs w:val="32"/>
          <w:lang w:val="en-US" w:eastAsia="zh-CN" w:bidi="ar"/>
        </w:rPr>
        <w:t>日，专利号为</w:t>
      </w:r>
      <w:r>
        <w:rPr>
          <w:rFonts w:hint="default" w:ascii="Times New Roman" w:hAnsi="Times New Roman" w:eastAsia="仿宋_GB2312" w:cs="Times New Roman"/>
          <w:kern w:val="2"/>
          <w:sz w:val="32"/>
          <w:szCs w:val="32"/>
          <w:lang w:val="en-US" w:eastAsia="zh-CN" w:bidi="ar"/>
        </w:rPr>
        <w:t>ZL2017****2467.8</w:t>
      </w:r>
      <w:r>
        <w:rPr>
          <w:rFonts w:hint="eastAsia" w:ascii="仿宋_GB2312" w:hAnsi="Times New Roman" w:eastAsia="仿宋_GB2312" w:cs="仿宋_GB2312"/>
          <w:kern w:val="2"/>
          <w:sz w:val="32"/>
          <w:szCs w:val="32"/>
          <w:lang w:val="en-US" w:eastAsia="zh-CN" w:bidi="ar"/>
        </w:rPr>
        <w:t>，目前专利有效。简要说明记载，本外观设计专利产品用于玩具，设计要点在于形状，最能表明设计要点的图片或照片为主视图。国家知识产权局于</w:t>
      </w:r>
      <w:r>
        <w:rPr>
          <w:rFonts w:hint="default" w:ascii="Times New Roman" w:hAnsi="Times New Roman" w:eastAsia="仿宋_GB2312" w:cs="Times New Roman"/>
          <w:kern w:val="2"/>
          <w:sz w:val="32"/>
          <w:szCs w:val="32"/>
          <w:lang w:val="en-US" w:eastAsia="zh-CN" w:bidi="ar"/>
        </w:rPr>
        <w:t>2020</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19</w:t>
      </w:r>
      <w:r>
        <w:rPr>
          <w:rFonts w:hint="eastAsia" w:ascii="仿宋_GB2312" w:hAnsi="Times New Roman" w:eastAsia="仿宋_GB2312" w:cs="仿宋_GB2312"/>
          <w:kern w:val="2"/>
          <w:sz w:val="32"/>
          <w:szCs w:val="32"/>
          <w:lang w:val="en-US" w:eastAsia="zh-CN" w:bidi="ar"/>
        </w:rPr>
        <w:t>日出具的外观设计专利权评价报告显示，涉案专利全部外观设计未发现存在不符合授予专利权条件的缺陷。</w:t>
      </w:r>
    </w:p>
    <w:p w14:paraId="75CEB482">
      <w:pPr>
        <w:keepNext w:val="0"/>
        <w:keepLines w:val="0"/>
        <w:widowControl w:val="0"/>
        <w:suppressLineNumbers w:val="0"/>
        <w:spacing w:before="0" w:beforeLines="0" w:beforeAutospacing="0" w:after="0" w:afterLines="0" w:afterAutospacing="0" w:line="59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已生效的（</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）浙民终</w:t>
      </w:r>
      <w:r>
        <w:rPr>
          <w:rFonts w:hint="default" w:ascii="Times New Roman" w:hAnsi="Times New Roman" w:eastAsia="仿宋_GB2312" w:cs="Times New Roman"/>
          <w:kern w:val="2"/>
          <w:sz w:val="32"/>
          <w:szCs w:val="32"/>
          <w:lang w:val="en-US" w:eastAsia="zh-CN" w:bidi="ar"/>
        </w:rPr>
        <w:t>94</w:t>
      </w:r>
      <w:r>
        <w:rPr>
          <w:rFonts w:hint="eastAsia" w:ascii="仿宋_GB2312" w:hAnsi="Times New Roman" w:eastAsia="仿宋_GB2312" w:cs="仿宋_GB2312"/>
          <w:kern w:val="2"/>
          <w:sz w:val="32"/>
          <w:szCs w:val="32"/>
          <w:lang w:val="en-US" w:eastAsia="zh-CN" w:bidi="ar"/>
        </w:rPr>
        <w:t>号民事裁定确认如下事实：</w:t>
      </w:r>
      <w:r>
        <w:rPr>
          <w:rFonts w:hint="default" w:ascii="Times New Roman" w:hAnsi="Times New Roman" w:eastAsia="仿宋_GB2312" w:cs="Times New Roman"/>
          <w:kern w:val="2"/>
          <w:sz w:val="32"/>
          <w:szCs w:val="32"/>
          <w:lang w:val="en-US" w:eastAsia="zh-CN" w:bidi="ar"/>
        </w:rPr>
        <w:t>1.2018</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7</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日，王某萍将涉案专利独占许可给黄岛区鑫某长升玩具加工厂（以下简称黄岛鑫某公司），期限自</w:t>
      </w:r>
      <w:r>
        <w:rPr>
          <w:rFonts w:hint="default" w:ascii="Times New Roman" w:hAnsi="Times New Roman" w:eastAsia="仿宋_GB2312" w:cs="Times New Roman"/>
          <w:kern w:val="2"/>
          <w:sz w:val="32"/>
          <w:szCs w:val="32"/>
          <w:lang w:val="en-US" w:eastAsia="zh-CN" w:bidi="ar"/>
        </w:rPr>
        <w:t>2018</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7</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日至</w:t>
      </w:r>
      <w:r>
        <w:rPr>
          <w:rFonts w:hint="default" w:ascii="Times New Roman" w:hAnsi="Times New Roman" w:eastAsia="仿宋_GB2312" w:cs="Times New Roman"/>
          <w:kern w:val="2"/>
          <w:sz w:val="32"/>
          <w:szCs w:val="32"/>
          <w:lang w:val="en-US" w:eastAsia="zh-CN" w:bidi="ar"/>
        </w:rPr>
        <w:t>2028</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7</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日，使用费为每年</w:t>
      </w:r>
      <w:r>
        <w:rPr>
          <w:rFonts w:hint="default" w:ascii="Times New Roman" w:hAnsi="Times New Roman" w:eastAsia="仿宋_GB2312" w:cs="Times New Roman"/>
          <w:kern w:val="2"/>
          <w:sz w:val="32"/>
          <w:szCs w:val="32"/>
          <w:lang w:val="en-US" w:eastAsia="zh-CN" w:bidi="ar"/>
        </w:rPr>
        <w:t>30000</w:t>
      </w:r>
      <w:r>
        <w:rPr>
          <w:rFonts w:hint="eastAsia" w:ascii="仿宋_GB2312" w:hAnsi="Times New Roman" w:eastAsia="仿宋_GB2312" w:cs="仿宋_GB2312"/>
          <w:kern w:val="2"/>
          <w:sz w:val="32"/>
          <w:szCs w:val="32"/>
          <w:lang w:val="en-US" w:eastAsia="zh-CN" w:bidi="ar"/>
        </w:rPr>
        <w:t>元，双方约定黄岛鑫某公司有权在被许可使用期限、地区内对任何第三方侵犯该外观设计专利的行为以自己名义或者授权第三方进行调查取证、投诉举报、调解和向人民法院提起诉讼，通过和解或者诉讼方式所获得的赔偿费用全部归黄岛鑫某公司所有和支配。</w:t>
      </w:r>
      <w:r>
        <w:rPr>
          <w:rFonts w:hint="default" w:ascii="Times New Roman" w:hAnsi="Times New Roman" w:eastAsia="仿宋_GB2312" w:cs="Times New Roman"/>
          <w:kern w:val="2"/>
          <w:sz w:val="32"/>
          <w:szCs w:val="32"/>
          <w:lang w:val="en-US" w:eastAsia="zh-CN" w:bidi="ar"/>
        </w:rPr>
        <w:t>2.2021</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8</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16</w:t>
      </w:r>
      <w:r>
        <w:rPr>
          <w:rFonts w:hint="eastAsia" w:ascii="仿宋_GB2312" w:hAnsi="Times New Roman" w:eastAsia="仿宋_GB2312" w:cs="仿宋_GB2312"/>
          <w:kern w:val="2"/>
          <w:sz w:val="32"/>
          <w:szCs w:val="32"/>
          <w:lang w:val="en-US" w:eastAsia="zh-CN" w:bidi="ar"/>
        </w:rPr>
        <w:t>日，王某萍与南京鑫某公司签订《专利实施许可合同》，将涉案专利无偿许可给南京鑫某公司，期限自</w:t>
      </w:r>
      <w:r>
        <w:rPr>
          <w:rFonts w:hint="default" w:ascii="Times New Roman" w:hAnsi="Times New Roman" w:eastAsia="仿宋_GB2312" w:cs="Times New Roman"/>
          <w:kern w:val="2"/>
          <w:sz w:val="32"/>
          <w:szCs w:val="32"/>
          <w:lang w:val="en-US" w:eastAsia="zh-CN" w:bidi="ar"/>
        </w:rPr>
        <w:t>2021</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8</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16</w:t>
      </w:r>
      <w:r>
        <w:rPr>
          <w:rFonts w:hint="eastAsia" w:ascii="仿宋_GB2312" w:hAnsi="Times New Roman" w:eastAsia="仿宋_GB2312" w:cs="仿宋_GB2312"/>
          <w:kern w:val="2"/>
          <w:sz w:val="32"/>
          <w:szCs w:val="32"/>
          <w:lang w:val="en-US" w:eastAsia="zh-CN" w:bidi="ar"/>
        </w:rPr>
        <w:t>日至</w:t>
      </w:r>
      <w:r>
        <w:rPr>
          <w:rFonts w:hint="default" w:ascii="Times New Roman" w:hAnsi="Times New Roman" w:eastAsia="仿宋_GB2312" w:cs="Times New Roman"/>
          <w:kern w:val="2"/>
          <w:sz w:val="32"/>
          <w:szCs w:val="32"/>
          <w:lang w:val="en-US" w:eastAsia="zh-CN" w:bidi="ar"/>
        </w:rPr>
        <w:t>2026</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8</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16</w:t>
      </w:r>
      <w:r>
        <w:rPr>
          <w:rFonts w:hint="eastAsia" w:ascii="仿宋_GB2312" w:hAnsi="Times New Roman" w:eastAsia="仿宋_GB2312" w:cs="仿宋_GB2312"/>
          <w:kern w:val="2"/>
          <w:sz w:val="32"/>
          <w:szCs w:val="32"/>
          <w:lang w:val="en-US" w:eastAsia="zh-CN" w:bidi="ar"/>
        </w:rPr>
        <w:t>日，许可方式为排他实施许可。</w:t>
      </w:r>
      <w:r>
        <w:rPr>
          <w:rFonts w:hint="default" w:ascii="Times New Roman" w:hAnsi="Times New Roman" w:eastAsia="仿宋_GB2312" w:cs="Times New Roman"/>
          <w:kern w:val="2"/>
          <w:sz w:val="32"/>
          <w:szCs w:val="32"/>
          <w:lang w:val="en-US" w:eastAsia="zh-CN" w:bidi="ar"/>
        </w:rPr>
        <w:t>3.2022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11</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10</w:t>
      </w:r>
      <w:r>
        <w:rPr>
          <w:rFonts w:hint="eastAsia" w:ascii="仿宋_GB2312" w:hAnsi="Times New Roman" w:eastAsia="仿宋_GB2312" w:cs="仿宋_GB2312"/>
          <w:kern w:val="2"/>
          <w:sz w:val="32"/>
          <w:szCs w:val="32"/>
          <w:lang w:val="en-US" w:eastAsia="zh-CN" w:bidi="ar"/>
        </w:rPr>
        <w:t>日，黄岛鑫某公司出具《情况说明》：兹有黄岛鑫某公司与专利权人王某萍将其所有的专利号为</w:t>
      </w:r>
      <w:r>
        <w:rPr>
          <w:rFonts w:hint="default" w:ascii="Times New Roman" w:hAnsi="Times New Roman" w:eastAsia="仿宋_GB2312" w:cs="Times New Roman"/>
          <w:kern w:val="2"/>
          <w:sz w:val="32"/>
          <w:szCs w:val="32"/>
          <w:lang w:val="en-US" w:eastAsia="zh-CN" w:bidi="ar"/>
        </w:rPr>
        <w:t>ZL2017****2467.8</w:t>
      </w:r>
      <w:r>
        <w:rPr>
          <w:rFonts w:hint="eastAsia" w:ascii="仿宋_GB2312" w:hAnsi="Times New Roman" w:eastAsia="仿宋_GB2312" w:cs="仿宋_GB2312"/>
          <w:kern w:val="2"/>
          <w:sz w:val="32"/>
          <w:szCs w:val="32"/>
          <w:lang w:val="en-US" w:eastAsia="zh-CN" w:bidi="ar"/>
        </w:rPr>
        <w:t>外观设计专利达成过专利许可协议，然而，双方许可协议已于</w:t>
      </w:r>
      <w:r>
        <w:rPr>
          <w:rFonts w:hint="default" w:ascii="Times New Roman" w:hAnsi="Times New Roman" w:eastAsia="仿宋_GB2312" w:cs="Times New Roman"/>
          <w:kern w:val="2"/>
          <w:sz w:val="32"/>
          <w:szCs w:val="32"/>
          <w:lang w:val="en-US" w:eastAsia="zh-CN" w:bidi="ar"/>
        </w:rPr>
        <w:t>2021</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8</w:t>
      </w:r>
      <w:r>
        <w:rPr>
          <w:rFonts w:hint="eastAsia" w:ascii="仿宋_GB2312" w:hAnsi="Times New Roman" w:eastAsia="仿宋_GB2312" w:cs="仿宋_GB2312"/>
          <w:kern w:val="2"/>
          <w:sz w:val="32"/>
          <w:szCs w:val="32"/>
          <w:lang w:val="en-US" w:eastAsia="zh-CN" w:bidi="ar"/>
        </w:rPr>
        <w:t>月协商解除，黄岛鑫某公司与广州跃某公司及某乙平台、淘某</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玩意局</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间专利侵权赔偿权利可以让渡给南京鑫某公司一并主张，若在（</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）浙</w:t>
      </w:r>
      <w:r>
        <w:rPr>
          <w:rFonts w:hint="default" w:ascii="Times New Roman" w:hAnsi="Times New Roman" w:eastAsia="仿宋_GB2312" w:cs="Times New Roman"/>
          <w:kern w:val="2"/>
          <w:sz w:val="32"/>
          <w:szCs w:val="32"/>
          <w:lang w:val="en-US" w:eastAsia="zh-CN" w:bidi="ar"/>
        </w:rPr>
        <w:t>01</w:t>
      </w:r>
      <w:r>
        <w:rPr>
          <w:rFonts w:hint="eastAsia" w:ascii="仿宋_GB2312" w:hAnsi="Times New Roman" w:eastAsia="仿宋_GB2312" w:cs="仿宋_GB2312"/>
          <w:kern w:val="2"/>
          <w:sz w:val="32"/>
          <w:szCs w:val="32"/>
          <w:lang w:val="en-US" w:eastAsia="zh-CN" w:bidi="ar"/>
        </w:rPr>
        <w:t>民初</w:t>
      </w:r>
      <w:r>
        <w:rPr>
          <w:rFonts w:hint="default" w:ascii="Times New Roman" w:hAnsi="Times New Roman" w:eastAsia="仿宋_GB2312" w:cs="Times New Roman"/>
          <w:kern w:val="2"/>
          <w:sz w:val="32"/>
          <w:szCs w:val="32"/>
          <w:lang w:val="en-US" w:eastAsia="zh-CN" w:bidi="ar"/>
        </w:rPr>
        <w:t>1041</w:t>
      </w:r>
      <w:r>
        <w:rPr>
          <w:rFonts w:hint="eastAsia" w:ascii="仿宋_GB2312" w:hAnsi="Times New Roman" w:eastAsia="仿宋_GB2312" w:cs="仿宋_GB2312"/>
          <w:kern w:val="2"/>
          <w:sz w:val="32"/>
          <w:szCs w:val="32"/>
          <w:lang w:val="en-US" w:eastAsia="zh-CN" w:bidi="ar"/>
        </w:rPr>
        <w:t>号案中未明确得到支持，黄岛鑫某公司将另行主张。</w:t>
      </w:r>
      <w:r>
        <w:rPr>
          <w:rFonts w:hint="default" w:ascii="Times New Roman" w:hAnsi="Times New Roman" w:eastAsia="仿宋_GB2312" w:cs="Times New Roman"/>
          <w:kern w:val="2"/>
          <w:sz w:val="32"/>
          <w:szCs w:val="32"/>
          <w:lang w:val="en-US" w:eastAsia="zh-CN" w:bidi="ar"/>
        </w:rPr>
        <w:t>4.2023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8</w:t>
      </w:r>
      <w:r>
        <w:rPr>
          <w:rFonts w:hint="eastAsia" w:ascii="仿宋_GB2312" w:hAnsi="Times New Roman" w:eastAsia="仿宋_GB2312" w:cs="仿宋_GB2312"/>
          <w:kern w:val="2"/>
          <w:sz w:val="32"/>
          <w:szCs w:val="32"/>
          <w:lang w:val="en-US" w:eastAsia="zh-CN" w:bidi="ar"/>
        </w:rPr>
        <w:t>日，王某萍出具《情况说明》：王某萍系专利号为</w:t>
      </w:r>
      <w:r>
        <w:rPr>
          <w:rFonts w:hint="default" w:ascii="Times New Roman" w:hAnsi="Times New Roman" w:eastAsia="仿宋_GB2312" w:cs="Times New Roman"/>
          <w:kern w:val="2"/>
          <w:sz w:val="32"/>
          <w:szCs w:val="32"/>
          <w:lang w:val="en-US" w:eastAsia="zh-CN" w:bidi="ar"/>
        </w:rPr>
        <w:t>ZL2017****2467.8</w:t>
      </w:r>
      <w:r>
        <w:rPr>
          <w:rFonts w:hint="eastAsia" w:ascii="仿宋_GB2312" w:hAnsi="Times New Roman" w:eastAsia="仿宋_GB2312" w:cs="仿宋_GB2312"/>
          <w:kern w:val="2"/>
          <w:sz w:val="32"/>
          <w:szCs w:val="32"/>
          <w:lang w:val="en-US" w:eastAsia="zh-CN" w:bidi="ar"/>
        </w:rPr>
        <w:t>外观设计专利专利权人，因业务发展需要，在</w:t>
      </w:r>
      <w:r>
        <w:rPr>
          <w:rFonts w:hint="default" w:ascii="Times New Roman" w:hAnsi="Times New Roman" w:eastAsia="仿宋_GB2312" w:cs="Times New Roman"/>
          <w:kern w:val="2"/>
          <w:sz w:val="32"/>
          <w:szCs w:val="32"/>
          <w:lang w:val="en-US" w:eastAsia="zh-CN" w:bidi="ar"/>
        </w:rPr>
        <w:t>2021</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8</w:t>
      </w:r>
      <w:r>
        <w:rPr>
          <w:rFonts w:hint="eastAsia" w:ascii="仿宋_GB2312" w:hAnsi="Times New Roman" w:eastAsia="仿宋_GB2312" w:cs="仿宋_GB2312"/>
          <w:kern w:val="2"/>
          <w:sz w:val="32"/>
          <w:szCs w:val="32"/>
          <w:lang w:val="en-US" w:eastAsia="zh-CN" w:bidi="ar"/>
        </w:rPr>
        <w:t>月份解除了黄岛鑫某公司的专利许可，并于</w:t>
      </w:r>
      <w:r>
        <w:rPr>
          <w:rFonts w:hint="default" w:ascii="Times New Roman" w:hAnsi="Times New Roman" w:eastAsia="仿宋_GB2312" w:cs="Times New Roman"/>
          <w:kern w:val="2"/>
          <w:sz w:val="32"/>
          <w:szCs w:val="32"/>
          <w:lang w:val="en-US" w:eastAsia="zh-CN" w:bidi="ar"/>
        </w:rPr>
        <w:t>2021</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8</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16</w:t>
      </w:r>
      <w:r>
        <w:rPr>
          <w:rFonts w:hint="eastAsia" w:ascii="仿宋_GB2312" w:hAnsi="Times New Roman" w:eastAsia="仿宋_GB2312" w:cs="仿宋_GB2312"/>
          <w:kern w:val="2"/>
          <w:sz w:val="32"/>
          <w:szCs w:val="32"/>
          <w:lang w:val="en-US" w:eastAsia="zh-CN" w:bidi="ar"/>
        </w:rPr>
        <w:t>日，将该专利排他许可给南京鑫某公司，并在国家知识产权局进行许可备案登记。上述情况属实，特此情况说明。</w:t>
      </w:r>
    </w:p>
    <w:p w14:paraId="502C7AAF">
      <w:pPr>
        <w:keepNext w:val="0"/>
        <w:keepLines w:val="0"/>
        <w:widowControl w:val="0"/>
        <w:suppressLineNumbers w:val="0"/>
        <w:spacing w:before="0" w:beforeLines="0" w:beforeAutospacing="0" w:after="0" w:afterLines="0" w:afterAutospacing="0" w:line="592"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2020</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28</w:t>
      </w:r>
      <w:r>
        <w:rPr>
          <w:rFonts w:hint="eastAsia" w:ascii="仿宋_GB2312" w:hAnsi="Times New Roman" w:eastAsia="仿宋_GB2312" w:cs="仿宋_GB2312"/>
          <w:kern w:val="2"/>
          <w:sz w:val="32"/>
          <w:szCs w:val="32"/>
          <w:lang w:val="en-US" w:eastAsia="zh-CN" w:bidi="ar"/>
        </w:rPr>
        <w:t>日，黄岛鑫某公司的代理人从陈某滔经营的淘某店</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玩意局</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以</w:t>
      </w:r>
      <w:r>
        <w:rPr>
          <w:rFonts w:hint="default" w:ascii="Times New Roman" w:hAnsi="Times New Roman" w:eastAsia="仿宋_GB2312" w:cs="Times New Roman"/>
          <w:kern w:val="2"/>
          <w:sz w:val="32"/>
          <w:szCs w:val="32"/>
          <w:lang w:val="en-US" w:eastAsia="zh-CN" w:bidi="ar"/>
        </w:rPr>
        <w:t>57.82</w:t>
      </w:r>
      <w:r>
        <w:rPr>
          <w:rFonts w:hint="eastAsia" w:ascii="仿宋_GB2312" w:hAnsi="Times New Roman" w:eastAsia="仿宋_GB2312" w:cs="仿宋_GB2312"/>
          <w:kern w:val="2"/>
          <w:sz w:val="32"/>
          <w:szCs w:val="32"/>
          <w:lang w:val="en-US" w:eastAsia="zh-CN" w:bidi="ar"/>
        </w:rPr>
        <w:t>元的价格公证购买了颜色分类为</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复读鸭鸭</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礼盒</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的被诉侵权产品玩具鸭</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只，涉案页面显示：累计评论</w:t>
      </w:r>
      <w:r>
        <w:rPr>
          <w:rFonts w:hint="default" w:ascii="Times New Roman" w:hAnsi="Times New Roman" w:eastAsia="仿宋_GB2312" w:cs="Times New Roman"/>
          <w:kern w:val="2"/>
          <w:sz w:val="32"/>
          <w:szCs w:val="32"/>
          <w:lang w:val="en-US" w:eastAsia="zh-CN" w:bidi="ar"/>
        </w:rPr>
        <w:t>71214</w:t>
      </w:r>
      <w:r>
        <w:rPr>
          <w:rFonts w:hint="eastAsia" w:ascii="仿宋_GB2312" w:hAnsi="Times New Roman" w:eastAsia="仿宋_GB2312" w:cs="仿宋_GB2312"/>
          <w:kern w:val="2"/>
          <w:sz w:val="32"/>
          <w:szCs w:val="32"/>
          <w:lang w:val="en-US" w:eastAsia="zh-CN" w:bidi="ar"/>
        </w:rPr>
        <w:t>，交易成功</w:t>
      </w:r>
      <w:r>
        <w:rPr>
          <w:rFonts w:hint="default" w:ascii="Times New Roman" w:hAnsi="Times New Roman" w:eastAsia="仿宋_GB2312" w:cs="Times New Roman"/>
          <w:kern w:val="2"/>
          <w:sz w:val="32"/>
          <w:szCs w:val="32"/>
          <w:lang w:val="en-US" w:eastAsia="zh-CN" w:bidi="ar"/>
        </w:rPr>
        <w:t>8245</w:t>
      </w:r>
      <w:r>
        <w:rPr>
          <w:rFonts w:hint="eastAsia" w:ascii="仿宋_GB2312" w:hAnsi="Times New Roman" w:eastAsia="仿宋_GB2312" w:cs="仿宋_GB2312"/>
          <w:kern w:val="2"/>
          <w:sz w:val="32"/>
          <w:szCs w:val="32"/>
          <w:lang w:val="en-US" w:eastAsia="zh-CN" w:bidi="ar"/>
        </w:rPr>
        <w:t>，淘某价</w:t>
      </w:r>
      <w:r>
        <w:rPr>
          <w:rFonts w:hint="default" w:ascii="Times New Roman" w:hAnsi="Times New Roman" w:eastAsia="仿宋_GB2312" w:cs="Times New Roman"/>
          <w:kern w:val="2"/>
          <w:sz w:val="32"/>
          <w:szCs w:val="32"/>
          <w:lang w:val="en-US" w:eastAsia="zh-CN" w:bidi="ar"/>
        </w:rPr>
        <w:t>39-198</w:t>
      </w:r>
      <w:r>
        <w:rPr>
          <w:rFonts w:hint="eastAsia" w:ascii="仿宋_GB2312" w:hAnsi="Times New Roman" w:eastAsia="仿宋_GB2312" w:cs="仿宋_GB2312"/>
          <w:kern w:val="2"/>
          <w:sz w:val="32"/>
          <w:szCs w:val="32"/>
          <w:lang w:val="en-US" w:eastAsia="zh-CN" w:bidi="ar"/>
        </w:rPr>
        <w:t>元，库存</w:t>
      </w:r>
      <w:r>
        <w:rPr>
          <w:rFonts w:hint="default" w:ascii="Times New Roman" w:hAnsi="Times New Roman" w:eastAsia="仿宋_GB2312" w:cs="Times New Roman"/>
          <w:kern w:val="2"/>
          <w:sz w:val="32"/>
          <w:szCs w:val="32"/>
          <w:lang w:val="en-US" w:eastAsia="zh-CN" w:bidi="ar"/>
        </w:rPr>
        <w:t>40094</w:t>
      </w:r>
      <w:r>
        <w:rPr>
          <w:rFonts w:hint="eastAsia" w:ascii="仿宋_GB2312" w:hAnsi="Times New Roman" w:eastAsia="仿宋_GB2312" w:cs="仿宋_GB2312"/>
          <w:kern w:val="2"/>
          <w:sz w:val="32"/>
          <w:szCs w:val="32"/>
          <w:lang w:val="en-US" w:eastAsia="zh-CN" w:bidi="ar"/>
        </w:rPr>
        <w:t>件，颜色分类项下包含复读鸭鸭</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礼袋、复读鸭鸭</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礼盒、充电版复读鸭鸭</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礼盒、充电版复读鸭鸭</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礼袋、升级录音版复读鸭鸭</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礼盒、升级录音版复读鸭鸭</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礼袋、升级版复读鸭鸭</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机器人音响</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礼盒【女神套餐】、升级版复读鸭鸭</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游戏机</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礼盒【男神套餐】、升级版复读鸭鸭</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补水仪</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礼盒【精致套餐】等多种版本被诉侵权产品，不同版本对应不同价格。山东省日照市德信公证处对上述公证过程出具了</w:t>
      </w:r>
      <w:r>
        <w:rPr>
          <w:rFonts w:hint="default" w:ascii="Times New Roman" w:hAnsi="Times New Roman" w:eastAsia="仿宋_GB2312" w:cs="Times New Roman"/>
          <w:kern w:val="2"/>
          <w:sz w:val="32"/>
          <w:szCs w:val="32"/>
          <w:lang w:val="en-US" w:eastAsia="zh-CN" w:bidi="ar"/>
        </w:rPr>
        <w:t>3020</w:t>
      </w:r>
      <w:r>
        <w:rPr>
          <w:rFonts w:hint="eastAsia" w:ascii="仿宋_GB2312" w:hAnsi="Times New Roman" w:eastAsia="仿宋_GB2312" w:cs="仿宋_GB2312"/>
          <w:kern w:val="2"/>
          <w:sz w:val="32"/>
          <w:szCs w:val="32"/>
          <w:lang w:val="en-US" w:eastAsia="zh-CN" w:bidi="ar"/>
        </w:rPr>
        <w:t>号公证书。</w:t>
      </w:r>
    </w:p>
    <w:p w14:paraId="73EBD3AC">
      <w:pPr>
        <w:keepNext w:val="0"/>
        <w:keepLines w:val="0"/>
        <w:widowControl w:val="0"/>
        <w:suppressLineNumbers w:val="0"/>
        <w:spacing w:before="0" w:beforeLines="0" w:beforeAutospacing="0" w:after="0" w:afterLines="0" w:afterAutospacing="0" w:line="592"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2020</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29</w:t>
      </w:r>
      <w:r>
        <w:rPr>
          <w:rFonts w:hint="eastAsia" w:ascii="仿宋_GB2312" w:hAnsi="Times New Roman" w:eastAsia="仿宋_GB2312" w:cs="仿宋_GB2312"/>
          <w:kern w:val="2"/>
          <w:sz w:val="32"/>
          <w:szCs w:val="32"/>
          <w:lang w:val="en-US" w:eastAsia="zh-CN" w:bidi="ar"/>
        </w:rPr>
        <w:t>日，王某萍（甲方）与广州跃某公司（乙方）签订《合作协议》，主要内容为：甲方系外观设计专利名为</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长脖鸭玩具（草帽系列）</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、专利号为</w:t>
      </w:r>
      <w:r>
        <w:rPr>
          <w:rFonts w:hint="default" w:ascii="Times New Roman" w:hAnsi="Times New Roman" w:eastAsia="仿宋_GB2312" w:cs="Times New Roman"/>
          <w:kern w:val="2"/>
          <w:sz w:val="32"/>
          <w:szCs w:val="32"/>
          <w:lang w:val="en-US" w:eastAsia="zh-CN" w:bidi="ar"/>
        </w:rPr>
        <w:t>ZL2017****2467.8</w:t>
      </w:r>
      <w:r>
        <w:rPr>
          <w:rFonts w:hint="eastAsia" w:ascii="仿宋_GB2312" w:hAnsi="Times New Roman" w:eastAsia="仿宋_GB2312" w:cs="仿宋_GB2312"/>
          <w:kern w:val="2"/>
          <w:sz w:val="32"/>
          <w:szCs w:val="32"/>
          <w:lang w:val="en-US" w:eastAsia="zh-CN" w:bidi="ar"/>
        </w:rPr>
        <w:t>的专利权人，因乙方在淘某网站平台名为</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玩意局</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店铺销售侵犯了甲方外观设计专利权的商品</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，现甲乙双方经协商一致，达成如下协议：一、乙方承诺立即停止销售侵犯甲方外观设计专利权的商品，将所有侵犯甲方外观设计专利权的商品从该网站平台撤下</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；二、乙方在本协议签订之日从甲方处购进型号为</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草帽长脖系列</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产品共计</w:t>
      </w:r>
      <w:r>
        <w:rPr>
          <w:rFonts w:hint="default" w:ascii="Times New Roman" w:hAnsi="Times New Roman" w:eastAsia="仿宋_GB2312" w:cs="Times New Roman"/>
          <w:kern w:val="2"/>
          <w:sz w:val="32"/>
          <w:szCs w:val="32"/>
          <w:lang w:val="en-US" w:eastAsia="zh-CN" w:bidi="ar"/>
        </w:rPr>
        <w:t>10000</w:t>
      </w:r>
      <w:r>
        <w:rPr>
          <w:rFonts w:hint="eastAsia" w:ascii="仿宋_GB2312" w:hAnsi="Times New Roman" w:eastAsia="仿宋_GB2312" w:cs="仿宋_GB2312"/>
          <w:kern w:val="2"/>
          <w:sz w:val="32"/>
          <w:szCs w:val="32"/>
          <w:lang w:val="en-US" w:eastAsia="zh-CN" w:bidi="ar"/>
        </w:rPr>
        <w:t>个（分批发货），订货合同为准</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；四、乙方承诺期后只销售甲方的该系列商品，若甲方发现乙方违反约定，继续通过乙方所有、控制的平台或者线下店铺销售该系列商品的，乙方须向甲方赔偿人民币</w:t>
      </w:r>
      <w:r>
        <w:rPr>
          <w:rFonts w:hint="default" w:ascii="Times New Roman" w:hAnsi="Times New Roman" w:eastAsia="仿宋_GB2312" w:cs="Times New Roman"/>
          <w:kern w:val="2"/>
          <w:sz w:val="32"/>
          <w:szCs w:val="32"/>
          <w:lang w:val="en-US" w:eastAsia="zh-CN" w:bidi="ar"/>
        </w:rPr>
        <w:t>20</w:t>
      </w:r>
      <w:r>
        <w:rPr>
          <w:rFonts w:hint="eastAsia" w:ascii="仿宋_GB2312" w:hAnsi="Times New Roman" w:eastAsia="仿宋_GB2312" w:cs="仿宋_GB2312"/>
          <w:kern w:val="2"/>
          <w:sz w:val="32"/>
          <w:szCs w:val="32"/>
          <w:lang w:val="en-US" w:eastAsia="zh-CN" w:bidi="ar"/>
        </w:rPr>
        <w:t>万元（根据在此之前的乙方侵权行为造成的损失计算得出），并由甲方继续保留其追究乙方其他责任的权利。</w:t>
      </w:r>
    </w:p>
    <w:p w14:paraId="0948D245">
      <w:pPr>
        <w:keepNext w:val="0"/>
        <w:keepLines w:val="0"/>
        <w:widowControl w:val="0"/>
        <w:suppressLineNumbers w:val="0"/>
        <w:spacing w:before="0" w:beforeLines="0" w:beforeAutospacing="0" w:after="0" w:afterLines="0" w:afterAutospacing="0" w:line="592"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2020</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29</w:t>
      </w:r>
      <w:r>
        <w:rPr>
          <w:rFonts w:hint="eastAsia" w:ascii="仿宋_GB2312" w:hAnsi="Times New Roman" w:eastAsia="仿宋_GB2312" w:cs="仿宋_GB2312"/>
          <w:kern w:val="2"/>
          <w:sz w:val="32"/>
          <w:szCs w:val="32"/>
          <w:lang w:val="en-US" w:eastAsia="zh-CN" w:bidi="ar"/>
        </w:rPr>
        <w:t>日，黄岛鑫某公司（甲方）与广州跃某公司（乙方）签订《产品订货协议》，主要内容为：长脖鸭（草帽鸭）电池款</w:t>
      </w:r>
      <w:r>
        <w:rPr>
          <w:rFonts w:hint="default" w:ascii="Times New Roman" w:hAnsi="Times New Roman" w:eastAsia="仿宋_GB2312" w:cs="Times New Roman"/>
          <w:kern w:val="2"/>
          <w:sz w:val="32"/>
          <w:szCs w:val="32"/>
          <w:lang w:val="en-US" w:eastAsia="zh-CN" w:bidi="ar"/>
        </w:rPr>
        <w:t>2000</w:t>
      </w:r>
      <w:r>
        <w:rPr>
          <w:rFonts w:hint="eastAsia" w:ascii="仿宋_GB2312" w:hAnsi="Times New Roman" w:eastAsia="仿宋_GB2312" w:cs="仿宋_GB2312"/>
          <w:kern w:val="2"/>
          <w:sz w:val="32"/>
          <w:szCs w:val="32"/>
          <w:lang w:val="en-US" w:eastAsia="zh-CN" w:bidi="ar"/>
        </w:rPr>
        <w:t>个，单价</w:t>
      </w:r>
      <w:r>
        <w:rPr>
          <w:rFonts w:hint="default" w:ascii="Times New Roman" w:hAnsi="Times New Roman" w:eastAsia="仿宋_GB2312" w:cs="Times New Roman"/>
          <w:kern w:val="2"/>
          <w:sz w:val="32"/>
          <w:szCs w:val="32"/>
          <w:lang w:val="en-US" w:eastAsia="zh-CN" w:bidi="ar"/>
        </w:rPr>
        <w:t>25</w:t>
      </w:r>
      <w:r>
        <w:rPr>
          <w:rFonts w:hint="eastAsia" w:ascii="仿宋_GB2312" w:hAnsi="Times New Roman" w:eastAsia="仿宋_GB2312" w:cs="仿宋_GB2312"/>
          <w:kern w:val="2"/>
          <w:sz w:val="32"/>
          <w:szCs w:val="32"/>
          <w:lang w:val="en-US" w:eastAsia="zh-CN" w:bidi="ar"/>
        </w:rPr>
        <w:t>元，总价</w:t>
      </w:r>
      <w:r>
        <w:rPr>
          <w:rFonts w:hint="default" w:ascii="Times New Roman" w:hAnsi="Times New Roman" w:eastAsia="仿宋_GB2312" w:cs="Times New Roman"/>
          <w:kern w:val="2"/>
          <w:sz w:val="32"/>
          <w:szCs w:val="32"/>
          <w:lang w:val="en-US" w:eastAsia="zh-CN" w:bidi="ar"/>
        </w:rPr>
        <w:t>50000</w:t>
      </w:r>
      <w:r>
        <w:rPr>
          <w:rFonts w:hint="eastAsia" w:ascii="仿宋_GB2312" w:hAnsi="Times New Roman" w:eastAsia="仿宋_GB2312" w:cs="仿宋_GB2312"/>
          <w:kern w:val="2"/>
          <w:sz w:val="32"/>
          <w:szCs w:val="32"/>
          <w:lang w:val="en-US" w:eastAsia="zh-CN" w:bidi="ar"/>
        </w:rPr>
        <w:t>元；长脖鸭（草帽鸭）充电复读款</w:t>
      </w:r>
      <w:r>
        <w:rPr>
          <w:rFonts w:hint="default" w:ascii="Times New Roman" w:hAnsi="Times New Roman" w:eastAsia="仿宋_GB2312" w:cs="Times New Roman"/>
          <w:kern w:val="2"/>
          <w:sz w:val="32"/>
          <w:szCs w:val="32"/>
          <w:lang w:val="en-US" w:eastAsia="zh-CN" w:bidi="ar"/>
        </w:rPr>
        <w:t>3000</w:t>
      </w:r>
      <w:r>
        <w:rPr>
          <w:rFonts w:hint="eastAsia" w:ascii="仿宋_GB2312" w:hAnsi="Times New Roman" w:eastAsia="仿宋_GB2312" w:cs="仿宋_GB2312"/>
          <w:kern w:val="2"/>
          <w:sz w:val="32"/>
          <w:szCs w:val="32"/>
          <w:lang w:val="en-US" w:eastAsia="zh-CN" w:bidi="ar"/>
        </w:rPr>
        <w:t>个，单价</w:t>
      </w:r>
      <w:r>
        <w:rPr>
          <w:rFonts w:hint="default" w:ascii="Times New Roman" w:hAnsi="Times New Roman" w:eastAsia="仿宋_GB2312" w:cs="Times New Roman"/>
          <w:kern w:val="2"/>
          <w:sz w:val="32"/>
          <w:szCs w:val="32"/>
          <w:lang w:val="en-US" w:eastAsia="zh-CN" w:bidi="ar"/>
        </w:rPr>
        <w:t>28</w:t>
      </w:r>
      <w:r>
        <w:rPr>
          <w:rFonts w:hint="eastAsia" w:ascii="仿宋_GB2312" w:hAnsi="Times New Roman" w:eastAsia="仿宋_GB2312" w:cs="仿宋_GB2312"/>
          <w:kern w:val="2"/>
          <w:sz w:val="32"/>
          <w:szCs w:val="32"/>
          <w:lang w:val="en-US" w:eastAsia="zh-CN" w:bidi="ar"/>
        </w:rPr>
        <w:t>元，总价</w:t>
      </w:r>
      <w:r>
        <w:rPr>
          <w:rFonts w:hint="default" w:ascii="Times New Roman" w:hAnsi="Times New Roman" w:eastAsia="仿宋_GB2312" w:cs="Times New Roman"/>
          <w:kern w:val="2"/>
          <w:sz w:val="32"/>
          <w:szCs w:val="32"/>
          <w:lang w:val="en-US" w:eastAsia="zh-CN" w:bidi="ar"/>
        </w:rPr>
        <w:t>84000</w:t>
      </w:r>
      <w:r>
        <w:rPr>
          <w:rFonts w:hint="eastAsia" w:ascii="仿宋_GB2312" w:hAnsi="Times New Roman" w:eastAsia="仿宋_GB2312" w:cs="仿宋_GB2312"/>
          <w:kern w:val="2"/>
          <w:sz w:val="32"/>
          <w:szCs w:val="32"/>
          <w:lang w:val="en-US" w:eastAsia="zh-CN" w:bidi="ar"/>
        </w:rPr>
        <w:t>元；长脖鸭（草帽鸭）充电录音款</w:t>
      </w:r>
      <w:r>
        <w:rPr>
          <w:rFonts w:hint="default" w:ascii="Times New Roman" w:hAnsi="Times New Roman" w:eastAsia="仿宋_GB2312" w:cs="Times New Roman"/>
          <w:kern w:val="2"/>
          <w:sz w:val="32"/>
          <w:szCs w:val="32"/>
          <w:lang w:val="en-US" w:eastAsia="zh-CN" w:bidi="ar"/>
        </w:rPr>
        <w:t>5000</w:t>
      </w:r>
      <w:r>
        <w:rPr>
          <w:rFonts w:hint="eastAsia" w:ascii="仿宋_GB2312" w:hAnsi="Times New Roman" w:eastAsia="仿宋_GB2312" w:cs="仿宋_GB2312"/>
          <w:kern w:val="2"/>
          <w:sz w:val="32"/>
          <w:szCs w:val="32"/>
          <w:lang w:val="en-US" w:eastAsia="zh-CN" w:bidi="ar"/>
        </w:rPr>
        <w:t>个，单价</w:t>
      </w:r>
      <w:r>
        <w:rPr>
          <w:rFonts w:hint="default" w:ascii="Times New Roman" w:hAnsi="Times New Roman" w:eastAsia="仿宋_GB2312" w:cs="Times New Roman"/>
          <w:kern w:val="2"/>
          <w:sz w:val="32"/>
          <w:szCs w:val="32"/>
          <w:lang w:val="en-US" w:eastAsia="zh-CN" w:bidi="ar"/>
        </w:rPr>
        <w:t>29</w:t>
      </w:r>
      <w:r>
        <w:rPr>
          <w:rFonts w:hint="eastAsia" w:ascii="仿宋_GB2312" w:hAnsi="Times New Roman" w:eastAsia="仿宋_GB2312" w:cs="仿宋_GB2312"/>
          <w:kern w:val="2"/>
          <w:sz w:val="32"/>
          <w:szCs w:val="32"/>
          <w:lang w:val="en-US" w:eastAsia="zh-CN" w:bidi="ar"/>
        </w:rPr>
        <w:t>元，总价</w:t>
      </w:r>
      <w:r>
        <w:rPr>
          <w:rFonts w:hint="default" w:ascii="Times New Roman" w:hAnsi="Times New Roman" w:eastAsia="仿宋_GB2312" w:cs="Times New Roman"/>
          <w:kern w:val="2"/>
          <w:sz w:val="32"/>
          <w:szCs w:val="32"/>
          <w:lang w:val="en-US" w:eastAsia="zh-CN" w:bidi="ar"/>
        </w:rPr>
        <w:t>145000</w:t>
      </w:r>
      <w:r>
        <w:rPr>
          <w:rFonts w:hint="eastAsia" w:ascii="仿宋_GB2312" w:hAnsi="Times New Roman" w:eastAsia="仿宋_GB2312" w:cs="仿宋_GB2312"/>
          <w:kern w:val="2"/>
          <w:sz w:val="32"/>
          <w:szCs w:val="32"/>
          <w:lang w:val="en-US" w:eastAsia="zh-CN" w:bidi="ar"/>
        </w:rPr>
        <w:t>元；合计总价</w:t>
      </w:r>
      <w:r>
        <w:rPr>
          <w:rFonts w:hint="default" w:ascii="Times New Roman" w:hAnsi="Times New Roman" w:eastAsia="仿宋_GB2312" w:cs="Times New Roman"/>
          <w:kern w:val="2"/>
          <w:sz w:val="32"/>
          <w:szCs w:val="32"/>
          <w:lang w:val="en-US" w:eastAsia="zh-CN" w:bidi="ar"/>
        </w:rPr>
        <w:t>279000</w:t>
      </w:r>
      <w:r>
        <w:rPr>
          <w:rFonts w:hint="eastAsia" w:ascii="仿宋_GB2312" w:hAnsi="Times New Roman" w:eastAsia="仿宋_GB2312" w:cs="仿宋_GB2312"/>
          <w:kern w:val="2"/>
          <w:sz w:val="32"/>
          <w:szCs w:val="32"/>
          <w:lang w:val="en-US" w:eastAsia="zh-CN" w:bidi="ar"/>
        </w:rPr>
        <w:t>元。商品明细：（</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）厂商：黄岛区鑫某长升玩具加工厂</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）产品专利号：</w:t>
      </w:r>
      <w:r>
        <w:rPr>
          <w:rFonts w:hint="default" w:ascii="Times New Roman" w:hAnsi="Times New Roman" w:eastAsia="仿宋_GB2312" w:cs="Times New Roman"/>
          <w:kern w:val="2"/>
          <w:sz w:val="32"/>
          <w:szCs w:val="32"/>
          <w:lang w:val="en-US" w:eastAsia="zh-CN" w:bidi="ar"/>
        </w:rPr>
        <w:t>ZL2017****2467.8</w:t>
      </w:r>
      <w:r>
        <w:rPr>
          <w:rFonts w:hint="eastAsia" w:ascii="仿宋_GB2312" w:hAnsi="Times New Roman" w:eastAsia="仿宋_GB2312" w:cs="仿宋_GB2312"/>
          <w:kern w:val="2"/>
          <w:sz w:val="32"/>
          <w:szCs w:val="32"/>
          <w:lang w:val="en-US" w:eastAsia="zh-CN" w:bidi="ar"/>
        </w:rPr>
        <w:t>，乙方经营店铺：淘某网玩意局</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2020</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10</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日，陈某滔向王继龙转账上述货款。</w:t>
      </w:r>
    </w:p>
    <w:p w14:paraId="55AAAB40">
      <w:pPr>
        <w:keepNext w:val="0"/>
        <w:keepLines w:val="0"/>
        <w:widowControl w:val="0"/>
        <w:suppressLineNumbers w:val="0"/>
        <w:spacing w:before="0" w:beforeLines="0" w:beforeAutospacing="0" w:after="0" w:afterLines="0" w:afterAutospacing="0" w:line="59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一审庭审中，南京鑫某公司与广州跃某公司、陈某滔均确认就</w:t>
      </w:r>
      <w:r>
        <w:rPr>
          <w:rFonts w:hint="default" w:ascii="Times New Roman" w:hAnsi="Times New Roman" w:eastAsia="仿宋_GB2312" w:cs="Times New Roman"/>
          <w:kern w:val="2"/>
          <w:sz w:val="32"/>
          <w:szCs w:val="32"/>
          <w:lang w:val="en-US" w:eastAsia="zh-CN" w:bidi="ar"/>
        </w:rPr>
        <w:t>3020</w:t>
      </w:r>
      <w:r>
        <w:rPr>
          <w:rFonts w:hint="eastAsia" w:ascii="仿宋_GB2312" w:hAnsi="Times New Roman" w:eastAsia="仿宋_GB2312" w:cs="仿宋_GB2312"/>
          <w:kern w:val="2"/>
          <w:sz w:val="32"/>
          <w:szCs w:val="32"/>
          <w:lang w:val="en-US" w:eastAsia="zh-CN" w:bidi="ar"/>
        </w:rPr>
        <w:t>号公证书所涉被诉侵权事实，双方已达成协议，广州跃某公司、陈某滔亦已依约履行完毕。关于陈某滔经营的</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玩意局</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店铺所涉侵权事宜为何由广州跃某公司与专利权利人一方签署协议，且在协议中记载广州跃某公司为该店铺经营者，广州跃某公司称是因为专利权人一方要求双方签署的协议要有公章，且陈某滔与广州跃某公司的法定代表人陈展峰为亲戚关系。</w:t>
      </w:r>
    </w:p>
    <w:p w14:paraId="6F1515C2">
      <w:pPr>
        <w:keepNext w:val="0"/>
        <w:keepLines w:val="0"/>
        <w:widowControl w:val="0"/>
        <w:suppressLineNumbers w:val="0"/>
        <w:spacing w:before="0" w:beforeLines="0" w:beforeAutospacing="0" w:after="0" w:afterLines="0" w:afterAutospacing="0" w:line="592"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2021</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8</w:t>
      </w:r>
      <w:r>
        <w:rPr>
          <w:rFonts w:hint="eastAsia" w:ascii="仿宋_GB2312" w:hAnsi="Times New Roman" w:eastAsia="仿宋_GB2312" w:cs="仿宋_GB2312"/>
          <w:kern w:val="2"/>
          <w:sz w:val="32"/>
          <w:szCs w:val="32"/>
          <w:lang w:val="en-US" w:eastAsia="zh-CN" w:bidi="ar"/>
        </w:rPr>
        <w:t>日，南京鑫某公司代理人从陈某滔经营的淘某店</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玩意局</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以</w:t>
      </w:r>
      <w:r>
        <w:rPr>
          <w:rFonts w:hint="default" w:ascii="Times New Roman" w:hAnsi="Times New Roman" w:eastAsia="仿宋_GB2312" w:cs="Times New Roman"/>
          <w:kern w:val="2"/>
          <w:sz w:val="32"/>
          <w:szCs w:val="32"/>
          <w:lang w:val="en-US" w:eastAsia="zh-CN" w:bidi="ar"/>
        </w:rPr>
        <w:t>57.82</w:t>
      </w:r>
      <w:r>
        <w:rPr>
          <w:rFonts w:hint="eastAsia" w:ascii="仿宋_GB2312" w:hAnsi="Times New Roman" w:eastAsia="仿宋_GB2312" w:cs="仿宋_GB2312"/>
          <w:kern w:val="2"/>
          <w:sz w:val="32"/>
          <w:szCs w:val="32"/>
          <w:lang w:val="en-US" w:eastAsia="zh-CN" w:bidi="ar"/>
        </w:rPr>
        <w:t>元的价格公证购买了颜色分类为</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复读鸭鸭</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礼盒</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的被诉侵权产品玩具鸭</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只，涉案页面显示：累计评论</w:t>
      </w:r>
      <w:r>
        <w:rPr>
          <w:rFonts w:hint="default" w:ascii="Times New Roman" w:hAnsi="Times New Roman" w:eastAsia="仿宋_GB2312" w:cs="Times New Roman"/>
          <w:kern w:val="2"/>
          <w:sz w:val="32"/>
          <w:szCs w:val="32"/>
          <w:lang w:val="en-US" w:eastAsia="zh-CN" w:bidi="ar"/>
        </w:rPr>
        <w:t>20954</w:t>
      </w:r>
      <w:r>
        <w:rPr>
          <w:rFonts w:hint="eastAsia" w:ascii="仿宋_GB2312" w:hAnsi="Times New Roman" w:eastAsia="仿宋_GB2312" w:cs="仿宋_GB2312"/>
          <w:kern w:val="2"/>
          <w:sz w:val="32"/>
          <w:szCs w:val="32"/>
          <w:lang w:val="en-US" w:eastAsia="zh-CN" w:bidi="ar"/>
        </w:rPr>
        <w:t>，交易成功</w:t>
      </w:r>
      <w:r>
        <w:rPr>
          <w:rFonts w:hint="default" w:ascii="Times New Roman" w:hAnsi="Times New Roman" w:eastAsia="仿宋_GB2312" w:cs="Times New Roman"/>
          <w:kern w:val="2"/>
          <w:sz w:val="32"/>
          <w:szCs w:val="32"/>
          <w:lang w:val="en-US" w:eastAsia="zh-CN" w:bidi="ar"/>
        </w:rPr>
        <w:t>1778</w:t>
      </w:r>
      <w:r>
        <w:rPr>
          <w:rFonts w:hint="eastAsia" w:ascii="仿宋_GB2312" w:hAnsi="Times New Roman" w:eastAsia="仿宋_GB2312" w:cs="仿宋_GB2312"/>
          <w:kern w:val="2"/>
          <w:sz w:val="32"/>
          <w:szCs w:val="32"/>
          <w:lang w:val="en-US" w:eastAsia="zh-CN" w:bidi="ar"/>
        </w:rPr>
        <w:t>，淘某价</w:t>
      </w:r>
      <w:r>
        <w:rPr>
          <w:rFonts w:hint="default" w:ascii="Times New Roman" w:hAnsi="Times New Roman" w:eastAsia="仿宋_GB2312" w:cs="Times New Roman"/>
          <w:kern w:val="2"/>
          <w:sz w:val="32"/>
          <w:szCs w:val="32"/>
          <w:lang w:val="en-US" w:eastAsia="zh-CN" w:bidi="ar"/>
        </w:rPr>
        <w:t>39-198</w:t>
      </w:r>
      <w:r>
        <w:rPr>
          <w:rFonts w:hint="eastAsia" w:ascii="仿宋_GB2312" w:hAnsi="Times New Roman" w:eastAsia="仿宋_GB2312" w:cs="仿宋_GB2312"/>
          <w:kern w:val="2"/>
          <w:sz w:val="32"/>
          <w:szCs w:val="32"/>
          <w:lang w:val="en-US" w:eastAsia="zh-CN" w:bidi="ar"/>
        </w:rPr>
        <w:t>元，库存</w:t>
      </w:r>
      <w:r>
        <w:rPr>
          <w:rFonts w:hint="default" w:ascii="Times New Roman" w:hAnsi="Times New Roman" w:eastAsia="仿宋_GB2312" w:cs="Times New Roman"/>
          <w:kern w:val="2"/>
          <w:sz w:val="32"/>
          <w:szCs w:val="32"/>
          <w:lang w:val="en-US" w:eastAsia="zh-CN" w:bidi="ar"/>
        </w:rPr>
        <w:t>54170</w:t>
      </w:r>
      <w:r>
        <w:rPr>
          <w:rFonts w:hint="eastAsia" w:ascii="仿宋_GB2312" w:hAnsi="Times New Roman" w:eastAsia="仿宋_GB2312" w:cs="仿宋_GB2312"/>
          <w:kern w:val="2"/>
          <w:sz w:val="32"/>
          <w:szCs w:val="32"/>
          <w:lang w:val="en-US" w:eastAsia="zh-CN" w:bidi="ar"/>
        </w:rPr>
        <w:t>件，颜色分类项下包含多种版本被诉侵权产品，不同版本对应不同价格。福建省厦门市云尚公证处对上述公证过程出具了（</w:t>
      </w:r>
      <w:r>
        <w:rPr>
          <w:rFonts w:hint="default" w:ascii="Times New Roman" w:hAnsi="Times New Roman" w:eastAsia="仿宋_GB2312" w:cs="Times New Roman"/>
          <w:kern w:val="2"/>
          <w:sz w:val="32"/>
          <w:szCs w:val="32"/>
          <w:lang w:val="en-US" w:eastAsia="zh-CN" w:bidi="ar"/>
        </w:rPr>
        <w:t>2021</w:t>
      </w:r>
      <w:r>
        <w:rPr>
          <w:rFonts w:hint="eastAsia" w:ascii="仿宋_GB2312" w:hAnsi="Times New Roman" w:eastAsia="仿宋_GB2312" w:cs="仿宋_GB2312"/>
          <w:kern w:val="2"/>
          <w:sz w:val="32"/>
          <w:szCs w:val="32"/>
          <w:lang w:val="en-US" w:eastAsia="zh-CN" w:bidi="ar"/>
        </w:rPr>
        <w:t>）闽厦云证字第</w:t>
      </w:r>
      <w:r>
        <w:rPr>
          <w:rFonts w:hint="default" w:ascii="Times New Roman" w:hAnsi="Times New Roman" w:eastAsia="仿宋_GB2312" w:cs="Times New Roman"/>
          <w:kern w:val="2"/>
          <w:sz w:val="32"/>
          <w:szCs w:val="32"/>
          <w:lang w:val="en-US" w:eastAsia="zh-CN" w:bidi="ar"/>
        </w:rPr>
        <w:t>30086</w:t>
      </w:r>
      <w:r>
        <w:rPr>
          <w:rFonts w:hint="eastAsia" w:ascii="仿宋_GB2312" w:hAnsi="Times New Roman" w:eastAsia="仿宋_GB2312" w:cs="仿宋_GB2312"/>
          <w:kern w:val="2"/>
          <w:sz w:val="32"/>
          <w:szCs w:val="32"/>
          <w:lang w:val="en-US" w:eastAsia="zh-CN" w:bidi="ar"/>
        </w:rPr>
        <w:t>号公证书（以下简称</w:t>
      </w:r>
      <w:r>
        <w:rPr>
          <w:rFonts w:hint="default" w:ascii="Times New Roman" w:hAnsi="Times New Roman" w:eastAsia="仿宋_GB2312" w:cs="Times New Roman"/>
          <w:kern w:val="2"/>
          <w:sz w:val="32"/>
          <w:szCs w:val="32"/>
          <w:lang w:val="en-US" w:eastAsia="zh-CN" w:bidi="ar"/>
        </w:rPr>
        <w:t>30086</w:t>
      </w:r>
      <w:r>
        <w:rPr>
          <w:rFonts w:hint="eastAsia" w:ascii="仿宋_GB2312" w:hAnsi="Times New Roman" w:eastAsia="仿宋_GB2312" w:cs="仿宋_GB2312"/>
          <w:kern w:val="2"/>
          <w:sz w:val="32"/>
          <w:szCs w:val="32"/>
          <w:lang w:val="en-US" w:eastAsia="zh-CN" w:bidi="ar"/>
        </w:rPr>
        <w:t>号公证书）。</w:t>
      </w:r>
    </w:p>
    <w:p w14:paraId="1D9A5A11">
      <w:pPr>
        <w:keepNext w:val="0"/>
        <w:keepLines w:val="0"/>
        <w:widowControl w:val="0"/>
        <w:suppressLineNumbers w:val="0"/>
        <w:spacing w:before="0" w:beforeLines="0" w:beforeAutospacing="0" w:after="0" w:afterLines="0" w:afterAutospacing="0" w:line="59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一审当庭拆开</w:t>
      </w:r>
      <w:r>
        <w:rPr>
          <w:rFonts w:hint="default" w:ascii="Times New Roman" w:hAnsi="Times New Roman" w:eastAsia="仿宋_GB2312" w:cs="Times New Roman"/>
          <w:kern w:val="2"/>
          <w:sz w:val="32"/>
          <w:szCs w:val="32"/>
          <w:lang w:val="en-US" w:eastAsia="zh-CN" w:bidi="ar"/>
        </w:rPr>
        <w:t>30086</w:t>
      </w:r>
      <w:r>
        <w:rPr>
          <w:rFonts w:hint="eastAsia" w:ascii="仿宋_GB2312" w:hAnsi="Times New Roman" w:eastAsia="仿宋_GB2312" w:cs="仿宋_GB2312"/>
          <w:kern w:val="2"/>
          <w:sz w:val="32"/>
          <w:szCs w:val="32"/>
          <w:lang w:val="en-US" w:eastAsia="zh-CN" w:bidi="ar"/>
        </w:rPr>
        <w:t>号公证实物，内装被诉侵权产品玩具鸭</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只。陈某滔认可被诉侵权产品系其销售、许诺销售，否认系其制造。广州跃某公司否认被诉侵权产品由其制造、销售、许诺销售。经庭审比对，南京鑫某公司认为被诉侵权产品与涉案专利构成相同设计，广州跃某公司、陈某滔、淘某公司认为二者构成近似，区别点在于：被诉侵权产品翅膀向躯干两侧外展，涉案专利则平放搭于躯干；被诉侵权产品脚部为一体设计，涉案专利脚部有内凹三个脚趾。</w:t>
      </w:r>
    </w:p>
    <w:p w14:paraId="0255AA7F">
      <w:pPr>
        <w:keepNext w:val="0"/>
        <w:keepLines w:val="0"/>
        <w:widowControl w:val="0"/>
        <w:suppressLineNumbers w:val="0"/>
        <w:spacing w:before="0" w:beforeLines="0" w:beforeAutospacing="0" w:after="0" w:afterLines="0" w:afterAutospacing="0" w:line="59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经南京鑫某公司申请，该院向淘某公司调取了涉案链接项下被诉侵权产品自上架之日起至下架之日止的全部销售数据。各方确认被诉侵权产品销售数据如下：</w:t>
      </w:r>
      <w:r>
        <w:rPr>
          <w:rFonts w:hint="default" w:ascii="Times New Roman" w:hAnsi="Times New Roman" w:eastAsia="仿宋_GB2312" w:cs="Times New Roman"/>
          <w:kern w:val="2"/>
          <w:sz w:val="32"/>
          <w:szCs w:val="32"/>
          <w:lang w:val="en-US" w:eastAsia="zh-CN" w:bidi="ar"/>
        </w:rPr>
        <w:t>1.2020</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7</w:t>
      </w:r>
      <w:r>
        <w:rPr>
          <w:rFonts w:hint="eastAsia" w:ascii="仿宋_GB2312" w:hAnsi="Times New Roman" w:eastAsia="仿宋_GB2312" w:cs="仿宋_GB2312"/>
          <w:kern w:val="2"/>
          <w:sz w:val="32"/>
          <w:szCs w:val="32"/>
          <w:lang w:val="en-US" w:eastAsia="zh-CN" w:bidi="ar"/>
        </w:rPr>
        <w:t>日至</w:t>
      </w:r>
      <w:r>
        <w:rPr>
          <w:rFonts w:hint="default" w:ascii="Times New Roman" w:hAnsi="Times New Roman" w:eastAsia="仿宋_GB2312" w:cs="Times New Roman"/>
          <w:kern w:val="2"/>
          <w:sz w:val="32"/>
          <w:szCs w:val="32"/>
          <w:lang w:val="en-US" w:eastAsia="zh-CN" w:bidi="ar"/>
        </w:rPr>
        <w:t>2020</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28</w:t>
      </w:r>
      <w:r>
        <w:rPr>
          <w:rFonts w:hint="eastAsia" w:ascii="仿宋_GB2312" w:hAnsi="Times New Roman" w:eastAsia="仿宋_GB2312" w:cs="仿宋_GB2312"/>
          <w:kern w:val="2"/>
          <w:sz w:val="32"/>
          <w:szCs w:val="32"/>
          <w:lang w:val="en-US" w:eastAsia="zh-CN" w:bidi="ar"/>
        </w:rPr>
        <w:t>日，被诉侵权产品交易成功</w:t>
      </w:r>
      <w:r>
        <w:rPr>
          <w:rFonts w:hint="default" w:ascii="Times New Roman" w:hAnsi="Times New Roman" w:eastAsia="仿宋_GB2312" w:cs="Times New Roman"/>
          <w:kern w:val="2"/>
          <w:sz w:val="32"/>
          <w:szCs w:val="32"/>
          <w:lang w:val="en-US" w:eastAsia="zh-CN" w:bidi="ar"/>
        </w:rPr>
        <w:t>7862</w:t>
      </w:r>
      <w:r>
        <w:rPr>
          <w:rFonts w:hint="eastAsia" w:ascii="仿宋_GB2312" w:hAnsi="Times New Roman" w:eastAsia="仿宋_GB2312" w:cs="仿宋_GB2312"/>
          <w:kern w:val="2"/>
          <w:sz w:val="32"/>
          <w:szCs w:val="32"/>
          <w:lang w:val="en-US" w:eastAsia="zh-CN" w:bidi="ar"/>
        </w:rPr>
        <w:t>个，成交金额共计</w:t>
      </w:r>
      <w:r>
        <w:rPr>
          <w:rFonts w:hint="default" w:ascii="Times New Roman" w:hAnsi="Times New Roman" w:eastAsia="仿宋_GB2312" w:cs="Times New Roman"/>
          <w:kern w:val="2"/>
          <w:sz w:val="32"/>
          <w:szCs w:val="32"/>
          <w:lang w:val="en-US" w:eastAsia="zh-CN" w:bidi="ar"/>
        </w:rPr>
        <w:t>411144.32</w:t>
      </w:r>
      <w:r>
        <w:rPr>
          <w:rFonts w:hint="eastAsia" w:ascii="仿宋_GB2312" w:hAnsi="Times New Roman" w:eastAsia="仿宋_GB2312" w:cs="仿宋_GB2312"/>
          <w:kern w:val="2"/>
          <w:sz w:val="32"/>
          <w:szCs w:val="32"/>
          <w:lang w:val="en-US" w:eastAsia="zh-CN" w:bidi="ar"/>
        </w:rPr>
        <w:t>元；</w:t>
      </w:r>
      <w:r>
        <w:rPr>
          <w:rFonts w:hint="default" w:ascii="Times New Roman" w:hAnsi="Times New Roman" w:eastAsia="仿宋_GB2312" w:cs="Times New Roman"/>
          <w:kern w:val="2"/>
          <w:sz w:val="32"/>
          <w:szCs w:val="32"/>
          <w:lang w:val="en-US" w:eastAsia="zh-CN" w:bidi="ar"/>
        </w:rPr>
        <w:t>2.2020</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29</w:t>
      </w:r>
      <w:r>
        <w:rPr>
          <w:rFonts w:hint="eastAsia" w:ascii="仿宋_GB2312" w:hAnsi="Times New Roman" w:eastAsia="仿宋_GB2312" w:cs="仿宋_GB2312"/>
          <w:kern w:val="2"/>
          <w:sz w:val="32"/>
          <w:szCs w:val="32"/>
          <w:lang w:val="en-US" w:eastAsia="zh-CN" w:bidi="ar"/>
        </w:rPr>
        <w:t>日至</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11</w:t>
      </w:r>
      <w:r>
        <w:rPr>
          <w:rFonts w:hint="eastAsia" w:ascii="仿宋_GB2312" w:hAnsi="Times New Roman" w:eastAsia="仿宋_GB2312" w:cs="仿宋_GB2312"/>
          <w:kern w:val="2"/>
          <w:sz w:val="32"/>
          <w:szCs w:val="32"/>
          <w:lang w:val="en-US" w:eastAsia="zh-CN" w:bidi="ar"/>
        </w:rPr>
        <w:t>日，被诉侵权产品交易成功</w:t>
      </w:r>
      <w:r>
        <w:rPr>
          <w:rFonts w:hint="default" w:ascii="Times New Roman" w:hAnsi="Times New Roman" w:eastAsia="仿宋_GB2312" w:cs="Times New Roman"/>
          <w:kern w:val="2"/>
          <w:sz w:val="32"/>
          <w:szCs w:val="32"/>
          <w:lang w:val="en-US" w:eastAsia="zh-CN" w:bidi="ar"/>
        </w:rPr>
        <w:t>76864</w:t>
      </w:r>
      <w:r>
        <w:rPr>
          <w:rFonts w:hint="eastAsia" w:ascii="仿宋_GB2312" w:hAnsi="Times New Roman" w:eastAsia="仿宋_GB2312" w:cs="仿宋_GB2312"/>
          <w:kern w:val="2"/>
          <w:sz w:val="32"/>
          <w:szCs w:val="32"/>
          <w:lang w:val="en-US" w:eastAsia="zh-CN" w:bidi="ar"/>
        </w:rPr>
        <w:t>个，成交金额共计</w:t>
      </w:r>
      <w:r>
        <w:rPr>
          <w:rFonts w:hint="default" w:ascii="Times New Roman" w:hAnsi="Times New Roman" w:eastAsia="仿宋_GB2312" w:cs="Times New Roman"/>
          <w:kern w:val="2"/>
          <w:sz w:val="32"/>
          <w:szCs w:val="32"/>
          <w:lang w:val="en-US" w:eastAsia="zh-CN" w:bidi="ar"/>
        </w:rPr>
        <w:t>3831929.53</w:t>
      </w:r>
      <w:r>
        <w:rPr>
          <w:rFonts w:hint="eastAsia" w:ascii="仿宋_GB2312" w:hAnsi="Times New Roman" w:eastAsia="仿宋_GB2312" w:cs="仿宋_GB2312"/>
          <w:kern w:val="2"/>
          <w:sz w:val="32"/>
          <w:szCs w:val="32"/>
          <w:lang w:val="en-US" w:eastAsia="zh-CN" w:bidi="ar"/>
        </w:rPr>
        <w:t>元。广州跃某公司、陈某滔认为：</w:t>
      </w:r>
      <w:r>
        <w:rPr>
          <w:rFonts w:hint="default" w:ascii="Times New Roman" w:hAnsi="Times New Roman" w:eastAsia="仿宋_GB2312" w:cs="Times New Roman"/>
          <w:kern w:val="2"/>
          <w:sz w:val="32"/>
          <w:szCs w:val="32"/>
          <w:lang w:val="en-US" w:eastAsia="zh-CN" w:bidi="ar"/>
        </w:rPr>
        <w:t>1.2020</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28</w:t>
      </w:r>
      <w:r>
        <w:rPr>
          <w:rFonts w:hint="eastAsia" w:ascii="仿宋_GB2312" w:hAnsi="Times New Roman" w:eastAsia="仿宋_GB2312" w:cs="仿宋_GB2312"/>
          <w:kern w:val="2"/>
          <w:sz w:val="32"/>
          <w:szCs w:val="32"/>
          <w:lang w:val="en-US" w:eastAsia="zh-CN" w:bidi="ar"/>
        </w:rPr>
        <w:t>日前发生的侵权事实双方已达成协议且已履行完毕，该期间的被诉侵权产品销量应予扣除，南京鑫某公司无权再次主张赔偿；</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广州跃某公司、陈某滔曾向专利权一方采购专利产品</w:t>
      </w:r>
      <w:r>
        <w:rPr>
          <w:rFonts w:hint="default" w:ascii="Times New Roman" w:hAnsi="Times New Roman" w:eastAsia="仿宋_GB2312" w:cs="Times New Roman"/>
          <w:kern w:val="2"/>
          <w:sz w:val="32"/>
          <w:szCs w:val="32"/>
          <w:lang w:val="en-US" w:eastAsia="zh-CN" w:bidi="ar"/>
        </w:rPr>
        <w:t>40000</w:t>
      </w:r>
      <w:r>
        <w:rPr>
          <w:rFonts w:hint="eastAsia" w:ascii="仿宋_GB2312" w:hAnsi="Times New Roman" w:eastAsia="仿宋_GB2312" w:cs="仿宋_GB2312"/>
          <w:kern w:val="2"/>
          <w:sz w:val="32"/>
          <w:szCs w:val="32"/>
          <w:lang w:val="en-US" w:eastAsia="zh-CN" w:bidi="ar"/>
        </w:rPr>
        <w:t>个，该部分数量应在被诉侵权产品销量中予以扣除；</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被诉侵权产品的销售价格中还包含了音响、游戏机、补水仪、礼盒等配套产品的价格，故前述成交金额并不全然为被诉侵权产品的成交金额，不具有参考性。</w:t>
      </w:r>
    </w:p>
    <w:p w14:paraId="1EBB51C3">
      <w:pPr>
        <w:keepNext w:val="0"/>
        <w:keepLines w:val="0"/>
        <w:widowControl w:val="0"/>
        <w:suppressLineNumbers w:val="0"/>
        <w:spacing w:before="0" w:beforeLines="0" w:beforeAutospacing="0" w:after="0" w:afterLines="0" w:afterAutospacing="0" w:line="59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广州跃某公司、陈某滔为支持其现有设计抗辩，向该院提交了如下对比文件：</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标示日期为</w:t>
      </w:r>
      <w:r>
        <w:rPr>
          <w:rFonts w:hint="default" w:ascii="Times New Roman" w:hAnsi="Times New Roman" w:eastAsia="仿宋_GB2312" w:cs="Times New Roman"/>
          <w:kern w:val="2"/>
          <w:sz w:val="32"/>
          <w:szCs w:val="32"/>
          <w:lang w:val="en-US" w:eastAsia="zh-CN" w:bidi="ar"/>
        </w:rPr>
        <w:t>2016</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25</w:t>
      </w:r>
      <w:r>
        <w:rPr>
          <w:rFonts w:hint="eastAsia" w:ascii="仿宋_GB2312" w:hAnsi="Times New Roman" w:eastAsia="仿宋_GB2312" w:cs="仿宋_GB2312"/>
          <w:kern w:val="2"/>
          <w:sz w:val="32"/>
          <w:szCs w:val="32"/>
          <w:lang w:val="en-US" w:eastAsia="zh-CN" w:bidi="ar"/>
        </w:rPr>
        <w:t>日的</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逸乐宠物之家</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网站所展示的图片（以下简称对比设计</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）。经查询，该网站无经营许可证编号或备案编号，无主办单位。经庭审比对，广州跃某公司、陈某滔认为对比设计</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与被诉侵权产品外观设计相同，南京鑫某公司、淘某公司对此无异议。</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标示日期为</w:t>
      </w:r>
      <w:r>
        <w:rPr>
          <w:rFonts w:hint="default" w:ascii="Times New Roman" w:hAnsi="Times New Roman" w:eastAsia="仿宋_GB2312" w:cs="Times New Roman"/>
          <w:kern w:val="2"/>
          <w:sz w:val="32"/>
          <w:szCs w:val="32"/>
          <w:lang w:val="en-US" w:eastAsia="zh-CN" w:bidi="ar"/>
        </w:rPr>
        <w:t>2016</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11</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11</w:t>
      </w:r>
      <w:r>
        <w:rPr>
          <w:rFonts w:hint="eastAsia" w:ascii="仿宋_GB2312" w:hAnsi="Times New Roman" w:eastAsia="仿宋_GB2312" w:cs="仿宋_GB2312"/>
          <w:kern w:val="2"/>
          <w:sz w:val="32"/>
          <w:szCs w:val="32"/>
          <w:lang w:val="en-US" w:eastAsia="zh-CN" w:bidi="ar"/>
        </w:rPr>
        <w:t>日的</w:t>
      </w:r>
      <w:r>
        <w:rPr>
          <w:rFonts w:hint="default" w:ascii="Times New Roman" w:hAnsi="Times New Roman" w:eastAsia="仿宋_GB2312" w:cs="Times New Roman"/>
          <w:kern w:val="2"/>
          <w:sz w:val="32"/>
          <w:szCs w:val="32"/>
          <w:lang w:val="en-US" w:eastAsia="zh-CN" w:bidi="ar"/>
        </w:rPr>
        <w:t>“https//huaban.com/pins/916750669”</w:t>
      </w:r>
      <w:r>
        <w:rPr>
          <w:rFonts w:hint="eastAsia" w:ascii="仿宋_GB2312" w:hAnsi="Times New Roman" w:eastAsia="仿宋_GB2312" w:cs="仿宋_GB2312"/>
          <w:kern w:val="2"/>
          <w:sz w:val="32"/>
          <w:szCs w:val="32"/>
          <w:lang w:val="en-US" w:eastAsia="zh-CN" w:bidi="ar"/>
        </w:rPr>
        <w:t>网页所展示的图片（以下简称对比设计</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）。南京鑫某公司认为该网页标示的时间可以任意更改，但未提供证据予以证明。经庭审比对，广州跃某公司、陈某滔认为对比设计</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与被诉侵权产品外观设计无实质性差异，淘某公司对此无异议，南京鑫某公司认为二者存在实质性差异。</w:t>
      </w:r>
    </w:p>
    <w:p w14:paraId="21BE0765">
      <w:pPr>
        <w:keepNext w:val="0"/>
        <w:keepLines w:val="0"/>
        <w:widowControl w:val="0"/>
        <w:suppressLineNumbers w:val="0"/>
        <w:spacing w:before="0" w:beforeLines="0" w:beforeAutospacing="0" w:after="0" w:afterLines="0" w:afterAutospacing="0" w:line="59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广州跃某公司、陈某滔为支持其合法来源抗辩，向该院提交了被诉侵权产品的订单详情，显示：</w:t>
      </w:r>
      <w:r>
        <w:rPr>
          <w:rFonts w:hint="default" w:ascii="Times New Roman" w:hAnsi="Times New Roman" w:eastAsia="仿宋_GB2312" w:cs="Times New Roman"/>
          <w:kern w:val="2"/>
          <w:sz w:val="32"/>
          <w:szCs w:val="32"/>
          <w:lang w:val="en-US" w:eastAsia="zh-CN" w:bidi="ar"/>
        </w:rPr>
        <w:t>2021</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8</w:t>
      </w:r>
      <w:r>
        <w:rPr>
          <w:rFonts w:hint="eastAsia" w:ascii="仿宋_GB2312" w:hAnsi="Times New Roman" w:eastAsia="仿宋_GB2312" w:cs="仿宋_GB2312"/>
          <w:kern w:val="2"/>
          <w:sz w:val="32"/>
          <w:szCs w:val="32"/>
          <w:lang w:val="en-US" w:eastAsia="zh-CN" w:bidi="ar"/>
        </w:rPr>
        <w:t>日、</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日，陈某滔从网店义乌市念居日用百货有限公司共采购复读鸭</w:t>
      </w:r>
      <w:r>
        <w:rPr>
          <w:rFonts w:hint="default" w:ascii="Times New Roman" w:hAnsi="Times New Roman" w:eastAsia="仿宋_GB2312" w:cs="Times New Roman"/>
          <w:kern w:val="2"/>
          <w:sz w:val="32"/>
          <w:szCs w:val="32"/>
          <w:lang w:val="en-US" w:eastAsia="zh-CN" w:bidi="ar"/>
        </w:rPr>
        <w:t>2500</w:t>
      </w:r>
      <w:r>
        <w:rPr>
          <w:rFonts w:hint="eastAsia" w:ascii="仿宋_GB2312" w:hAnsi="Times New Roman" w:eastAsia="仿宋_GB2312" w:cs="仿宋_GB2312"/>
          <w:kern w:val="2"/>
          <w:sz w:val="32"/>
          <w:szCs w:val="32"/>
          <w:lang w:val="en-US" w:eastAsia="zh-CN" w:bidi="ar"/>
        </w:rPr>
        <w:t>个，支付货款</w:t>
      </w:r>
      <w:r>
        <w:rPr>
          <w:rFonts w:hint="default" w:ascii="Times New Roman" w:hAnsi="Times New Roman" w:eastAsia="仿宋_GB2312" w:cs="Times New Roman"/>
          <w:kern w:val="2"/>
          <w:sz w:val="32"/>
          <w:szCs w:val="32"/>
          <w:lang w:val="en-US" w:eastAsia="zh-CN" w:bidi="ar"/>
        </w:rPr>
        <w:t>55215</w:t>
      </w:r>
      <w:r>
        <w:rPr>
          <w:rFonts w:hint="eastAsia" w:ascii="仿宋_GB2312" w:hAnsi="Times New Roman" w:eastAsia="仿宋_GB2312" w:cs="仿宋_GB2312"/>
          <w:kern w:val="2"/>
          <w:sz w:val="32"/>
          <w:szCs w:val="32"/>
          <w:lang w:val="en-US" w:eastAsia="zh-CN" w:bidi="ar"/>
        </w:rPr>
        <w:t>元（含运费</w:t>
      </w:r>
      <w:r>
        <w:rPr>
          <w:rFonts w:hint="default" w:ascii="Times New Roman" w:hAnsi="Times New Roman" w:eastAsia="仿宋_GB2312" w:cs="Times New Roman"/>
          <w:kern w:val="2"/>
          <w:sz w:val="32"/>
          <w:szCs w:val="32"/>
          <w:lang w:val="en-US" w:eastAsia="zh-CN" w:bidi="ar"/>
        </w:rPr>
        <w:t>1300</w:t>
      </w:r>
      <w:r>
        <w:rPr>
          <w:rFonts w:hint="eastAsia" w:ascii="仿宋_GB2312" w:hAnsi="Times New Roman" w:eastAsia="仿宋_GB2312" w:cs="仿宋_GB2312"/>
          <w:kern w:val="2"/>
          <w:sz w:val="32"/>
          <w:szCs w:val="32"/>
          <w:lang w:val="en-US" w:eastAsia="zh-CN" w:bidi="ar"/>
        </w:rPr>
        <w:t>元）。</w:t>
      </w:r>
    </w:p>
    <w:p w14:paraId="1F824426">
      <w:pPr>
        <w:keepNext w:val="0"/>
        <w:keepLines w:val="0"/>
        <w:widowControl w:val="0"/>
        <w:suppressLineNumbers w:val="0"/>
        <w:spacing w:before="0" w:beforeLines="0" w:beforeAutospacing="0" w:after="0" w:afterLines="0" w:afterAutospacing="0" w:line="59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广州跃某公司、陈某滔向涉案专利权人方采购专利产品情况除前述《产品订货协议》所载内容外，还包括：</w:t>
      </w:r>
      <w:r>
        <w:rPr>
          <w:rFonts w:hint="default" w:ascii="Times New Roman" w:hAnsi="Times New Roman" w:eastAsia="仿宋_GB2312" w:cs="Times New Roman"/>
          <w:kern w:val="2"/>
          <w:sz w:val="32"/>
          <w:szCs w:val="32"/>
          <w:lang w:val="en-US" w:eastAsia="zh-CN" w:bidi="ar"/>
        </w:rPr>
        <w:t>1.2020</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8</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14</w:t>
      </w:r>
      <w:r>
        <w:rPr>
          <w:rFonts w:hint="eastAsia" w:ascii="仿宋_GB2312" w:hAnsi="Times New Roman" w:eastAsia="仿宋_GB2312" w:cs="仿宋_GB2312"/>
          <w:kern w:val="2"/>
          <w:sz w:val="32"/>
          <w:szCs w:val="32"/>
          <w:lang w:val="en-US" w:eastAsia="zh-CN" w:bidi="ar"/>
        </w:rPr>
        <w:t>日进货</w:t>
      </w:r>
      <w:r>
        <w:rPr>
          <w:rFonts w:hint="default" w:ascii="Times New Roman" w:hAnsi="Times New Roman" w:eastAsia="仿宋_GB2312" w:cs="Times New Roman"/>
          <w:kern w:val="2"/>
          <w:sz w:val="32"/>
          <w:szCs w:val="32"/>
          <w:lang w:val="en-US" w:eastAsia="zh-CN" w:bidi="ar"/>
        </w:rPr>
        <w:t>10000</w:t>
      </w:r>
      <w:r>
        <w:rPr>
          <w:rFonts w:hint="eastAsia" w:ascii="仿宋_GB2312" w:hAnsi="Times New Roman" w:eastAsia="仿宋_GB2312" w:cs="仿宋_GB2312"/>
          <w:kern w:val="2"/>
          <w:sz w:val="32"/>
          <w:szCs w:val="32"/>
          <w:lang w:val="en-US" w:eastAsia="zh-CN" w:bidi="ar"/>
        </w:rPr>
        <w:t>个，金额</w:t>
      </w:r>
      <w:r>
        <w:rPr>
          <w:rFonts w:hint="default" w:ascii="Times New Roman" w:hAnsi="Times New Roman" w:eastAsia="仿宋_GB2312" w:cs="Times New Roman"/>
          <w:kern w:val="2"/>
          <w:sz w:val="32"/>
          <w:szCs w:val="32"/>
          <w:lang w:val="en-US" w:eastAsia="zh-CN" w:bidi="ar"/>
        </w:rPr>
        <w:t>140000</w:t>
      </w:r>
      <w:r>
        <w:rPr>
          <w:rFonts w:hint="eastAsia" w:ascii="仿宋_GB2312" w:hAnsi="Times New Roman" w:eastAsia="仿宋_GB2312" w:cs="仿宋_GB2312"/>
          <w:kern w:val="2"/>
          <w:sz w:val="32"/>
          <w:szCs w:val="32"/>
          <w:lang w:val="en-US" w:eastAsia="zh-CN" w:bidi="ar"/>
        </w:rPr>
        <w:t>元；</w:t>
      </w:r>
      <w:r>
        <w:rPr>
          <w:rFonts w:hint="default" w:ascii="Times New Roman" w:hAnsi="Times New Roman" w:eastAsia="仿宋_GB2312" w:cs="Times New Roman"/>
          <w:kern w:val="2"/>
          <w:sz w:val="32"/>
          <w:szCs w:val="32"/>
          <w:lang w:val="en-US" w:eastAsia="zh-CN" w:bidi="ar"/>
        </w:rPr>
        <w:t>2.2020</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11</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27</w:t>
      </w:r>
      <w:r>
        <w:rPr>
          <w:rFonts w:hint="eastAsia" w:ascii="仿宋_GB2312" w:hAnsi="Times New Roman" w:eastAsia="仿宋_GB2312" w:cs="仿宋_GB2312"/>
          <w:kern w:val="2"/>
          <w:sz w:val="32"/>
          <w:szCs w:val="32"/>
          <w:lang w:val="en-US" w:eastAsia="zh-CN" w:bidi="ar"/>
        </w:rPr>
        <w:t>日进货</w:t>
      </w:r>
      <w:r>
        <w:rPr>
          <w:rFonts w:hint="default" w:ascii="Times New Roman" w:hAnsi="Times New Roman" w:eastAsia="仿宋_GB2312" w:cs="Times New Roman"/>
          <w:kern w:val="2"/>
          <w:sz w:val="32"/>
          <w:szCs w:val="32"/>
          <w:lang w:val="en-US" w:eastAsia="zh-CN" w:bidi="ar"/>
        </w:rPr>
        <w:t>2000</w:t>
      </w:r>
      <w:r>
        <w:rPr>
          <w:rFonts w:hint="eastAsia" w:ascii="仿宋_GB2312" w:hAnsi="Times New Roman" w:eastAsia="仿宋_GB2312" w:cs="仿宋_GB2312"/>
          <w:kern w:val="2"/>
          <w:sz w:val="32"/>
          <w:szCs w:val="32"/>
          <w:lang w:val="en-US" w:eastAsia="zh-CN" w:bidi="ar"/>
        </w:rPr>
        <w:t>个，金额</w:t>
      </w:r>
      <w:r>
        <w:rPr>
          <w:rFonts w:hint="default" w:ascii="Times New Roman" w:hAnsi="Times New Roman" w:eastAsia="仿宋_GB2312" w:cs="Times New Roman"/>
          <w:kern w:val="2"/>
          <w:sz w:val="32"/>
          <w:szCs w:val="32"/>
          <w:lang w:val="en-US" w:eastAsia="zh-CN" w:bidi="ar"/>
        </w:rPr>
        <w:t>50000</w:t>
      </w:r>
      <w:r>
        <w:rPr>
          <w:rFonts w:hint="eastAsia" w:ascii="仿宋_GB2312" w:hAnsi="Times New Roman" w:eastAsia="仿宋_GB2312" w:cs="仿宋_GB2312"/>
          <w:kern w:val="2"/>
          <w:sz w:val="32"/>
          <w:szCs w:val="32"/>
          <w:lang w:val="en-US" w:eastAsia="zh-CN" w:bidi="ar"/>
        </w:rPr>
        <w:t>元；</w:t>
      </w:r>
      <w:r>
        <w:rPr>
          <w:rFonts w:hint="default" w:ascii="Times New Roman" w:hAnsi="Times New Roman" w:eastAsia="仿宋_GB2312" w:cs="Times New Roman"/>
          <w:kern w:val="2"/>
          <w:sz w:val="32"/>
          <w:szCs w:val="32"/>
          <w:lang w:val="en-US" w:eastAsia="zh-CN" w:bidi="ar"/>
        </w:rPr>
        <w:t>3.2020</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12</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14</w:t>
      </w:r>
      <w:r>
        <w:rPr>
          <w:rFonts w:hint="eastAsia" w:ascii="仿宋_GB2312" w:hAnsi="Times New Roman" w:eastAsia="仿宋_GB2312" w:cs="仿宋_GB2312"/>
          <w:kern w:val="2"/>
          <w:sz w:val="32"/>
          <w:szCs w:val="32"/>
          <w:lang w:val="en-US" w:eastAsia="zh-CN" w:bidi="ar"/>
        </w:rPr>
        <w:t>日进货</w:t>
      </w:r>
      <w:r>
        <w:rPr>
          <w:rFonts w:hint="default" w:ascii="Times New Roman" w:hAnsi="Times New Roman" w:eastAsia="仿宋_GB2312" w:cs="Times New Roman"/>
          <w:kern w:val="2"/>
          <w:sz w:val="32"/>
          <w:szCs w:val="32"/>
          <w:lang w:val="en-US" w:eastAsia="zh-CN" w:bidi="ar"/>
        </w:rPr>
        <w:t>3000</w:t>
      </w:r>
      <w:r>
        <w:rPr>
          <w:rFonts w:hint="eastAsia" w:ascii="仿宋_GB2312" w:hAnsi="Times New Roman" w:eastAsia="仿宋_GB2312" w:cs="仿宋_GB2312"/>
          <w:kern w:val="2"/>
          <w:sz w:val="32"/>
          <w:szCs w:val="32"/>
          <w:lang w:val="en-US" w:eastAsia="zh-CN" w:bidi="ar"/>
        </w:rPr>
        <w:t>个，金额</w:t>
      </w:r>
      <w:r>
        <w:rPr>
          <w:rFonts w:hint="default" w:ascii="Times New Roman" w:hAnsi="Times New Roman" w:eastAsia="仿宋_GB2312" w:cs="Times New Roman"/>
          <w:kern w:val="2"/>
          <w:sz w:val="32"/>
          <w:szCs w:val="32"/>
          <w:lang w:val="en-US" w:eastAsia="zh-CN" w:bidi="ar"/>
        </w:rPr>
        <w:t>82000</w:t>
      </w:r>
      <w:r>
        <w:rPr>
          <w:rFonts w:hint="eastAsia" w:ascii="仿宋_GB2312" w:hAnsi="Times New Roman" w:eastAsia="仿宋_GB2312" w:cs="仿宋_GB2312"/>
          <w:kern w:val="2"/>
          <w:sz w:val="32"/>
          <w:szCs w:val="32"/>
          <w:lang w:val="en-US" w:eastAsia="zh-CN" w:bidi="ar"/>
        </w:rPr>
        <w:t>元；</w:t>
      </w:r>
      <w:r>
        <w:rPr>
          <w:rFonts w:hint="default" w:ascii="Times New Roman" w:hAnsi="Times New Roman" w:eastAsia="仿宋_GB2312" w:cs="Times New Roman"/>
          <w:kern w:val="2"/>
          <w:sz w:val="32"/>
          <w:szCs w:val="32"/>
          <w:lang w:val="en-US" w:eastAsia="zh-CN" w:bidi="ar"/>
        </w:rPr>
        <w:t>4.2021</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日进货</w:t>
      </w:r>
      <w:r>
        <w:rPr>
          <w:rFonts w:hint="default" w:ascii="Times New Roman" w:hAnsi="Times New Roman" w:eastAsia="仿宋_GB2312" w:cs="Times New Roman"/>
          <w:kern w:val="2"/>
          <w:sz w:val="32"/>
          <w:szCs w:val="32"/>
          <w:lang w:val="en-US" w:eastAsia="zh-CN" w:bidi="ar"/>
        </w:rPr>
        <w:t>2000</w:t>
      </w:r>
      <w:r>
        <w:rPr>
          <w:rFonts w:hint="eastAsia" w:ascii="仿宋_GB2312" w:hAnsi="Times New Roman" w:eastAsia="仿宋_GB2312" w:cs="仿宋_GB2312"/>
          <w:kern w:val="2"/>
          <w:sz w:val="32"/>
          <w:szCs w:val="32"/>
          <w:lang w:val="en-US" w:eastAsia="zh-CN" w:bidi="ar"/>
        </w:rPr>
        <w:t>个，金额</w:t>
      </w:r>
      <w:r>
        <w:rPr>
          <w:rFonts w:hint="default" w:ascii="Times New Roman" w:hAnsi="Times New Roman" w:eastAsia="仿宋_GB2312" w:cs="Times New Roman"/>
          <w:kern w:val="2"/>
          <w:sz w:val="32"/>
          <w:szCs w:val="32"/>
          <w:lang w:val="en-US" w:eastAsia="zh-CN" w:bidi="ar"/>
        </w:rPr>
        <w:t>58050</w:t>
      </w:r>
      <w:r>
        <w:rPr>
          <w:rFonts w:hint="eastAsia" w:ascii="仿宋_GB2312" w:hAnsi="Times New Roman" w:eastAsia="仿宋_GB2312" w:cs="仿宋_GB2312"/>
          <w:kern w:val="2"/>
          <w:sz w:val="32"/>
          <w:szCs w:val="32"/>
          <w:lang w:val="en-US" w:eastAsia="zh-CN" w:bidi="ar"/>
        </w:rPr>
        <w:t>元；</w:t>
      </w:r>
      <w:r>
        <w:rPr>
          <w:rFonts w:hint="default" w:ascii="Times New Roman" w:hAnsi="Times New Roman" w:eastAsia="仿宋_GB2312" w:cs="Times New Roman"/>
          <w:kern w:val="2"/>
          <w:sz w:val="32"/>
          <w:szCs w:val="32"/>
          <w:lang w:val="en-US" w:eastAsia="zh-CN" w:bidi="ar"/>
        </w:rPr>
        <w:t>5.2021</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13</w:t>
      </w:r>
      <w:r>
        <w:rPr>
          <w:rFonts w:hint="eastAsia" w:ascii="仿宋_GB2312" w:hAnsi="Times New Roman" w:eastAsia="仿宋_GB2312" w:cs="仿宋_GB2312"/>
          <w:kern w:val="2"/>
          <w:sz w:val="32"/>
          <w:szCs w:val="32"/>
          <w:lang w:val="en-US" w:eastAsia="zh-CN" w:bidi="ar"/>
        </w:rPr>
        <w:t>日进货</w:t>
      </w:r>
      <w:r>
        <w:rPr>
          <w:rFonts w:hint="default" w:ascii="Times New Roman" w:hAnsi="Times New Roman" w:eastAsia="仿宋_GB2312" w:cs="Times New Roman"/>
          <w:kern w:val="2"/>
          <w:sz w:val="32"/>
          <w:szCs w:val="32"/>
          <w:lang w:val="en-US" w:eastAsia="zh-CN" w:bidi="ar"/>
        </w:rPr>
        <w:t>5000</w:t>
      </w:r>
      <w:r>
        <w:rPr>
          <w:rFonts w:hint="eastAsia" w:ascii="仿宋_GB2312" w:hAnsi="Times New Roman" w:eastAsia="仿宋_GB2312" w:cs="仿宋_GB2312"/>
          <w:kern w:val="2"/>
          <w:sz w:val="32"/>
          <w:szCs w:val="32"/>
          <w:lang w:val="en-US" w:eastAsia="zh-CN" w:bidi="ar"/>
        </w:rPr>
        <w:t>个，金额</w:t>
      </w:r>
      <w:r>
        <w:rPr>
          <w:rFonts w:hint="default" w:ascii="Times New Roman" w:hAnsi="Times New Roman" w:eastAsia="仿宋_GB2312" w:cs="Times New Roman"/>
          <w:kern w:val="2"/>
          <w:sz w:val="32"/>
          <w:szCs w:val="32"/>
          <w:lang w:val="en-US" w:eastAsia="zh-CN" w:bidi="ar"/>
        </w:rPr>
        <w:t>132000</w:t>
      </w:r>
      <w:r>
        <w:rPr>
          <w:rFonts w:hint="eastAsia" w:ascii="仿宋_GB2312" w:hAnsi="Times New Roman" w:eastAsia="仿宋_GB2312" w:cs="仿宋_GB2312"/>
          <w:kern w:val="2"/>
          <w:sz w:val="32"/>
          <w:szCs w:val="32"/>
          <w:lang w:val="en-US" w:eastAsia="zh-CN" w:bidi="ar"/>
        </w:rPr>
        <w:t>元；</w:t>
      </w:r>
      <w:r>
        <w:rPr>
          <w:rFonts w:hint="default" w:ascii="Times New Roman" w:hAnsi="Times New Roman" w:eastAsia="仿宋_GB2312" w:cs="Times New Roman"/>
          <w:kern w:val="2"/>
          <w:sz w:val="32"/>
          <w:szCs w:val="32"/>
          <w:lang w:val="en-US" w:eastAsia="zh-CN" w:bidi="ar"/>
        </w:rPr>
        <w:t>6.2021</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日进货</w:t>
      </w:r>
      <w:r>
        <w:rPr>
          <w:rFonts w:hint="default" w:ascii="Times New Roman" w:hAnsi="Times New Roman" w:eastAsia="仿宋_GB2312" w:cs="Times New Roman"/>
          <w:kern w:val="2"/>
          <w:sz w:val="32"/>
          <w:szCs w:val="32"/>
          <w:lang w:val="en-US" w:eastAsia="zh-CN" w:bidi="ar"/>
        </w:rPr>
        <w:t>3000</w:t>
      </w:r>
      <w:r>
        <w:rPr>
          <w:rFonts w:hint="eastAsia" w:ascii="仿宋_GB2312" w:hAnsi="Times New Roman" w:eastAsia="仿宋_GB2312" w:cs="仿宋_GB2312"/>
          <w:kern w:val="2"/>
          <w:sz w:val="32"/>
          <w:szCs w:val="32"/>
          <w:lang w:val="en-US" w:eastAsia="zh-CN" w:bidi="ar"/>
        </w:rPr>
        <w:t>个，金额</w:t>
      </w:r>
      <w:r>
        <w:rPr>
          <w:rFonts w:hint="default" w:ascii="Times New Roman" w:hAnsi="Times New Roman" w:eastAsia="仿宋_GB2312" w:cs="Times New Roman"/>
          <w:kern w:val="2"/>
          <w:sz w:val="32"/>
          <w:szCs w:val="32"/>
          <w:lang w:val="en-US" w:eastAsia="zh-CN" w:bidi="ar"/>
        </w:rPr>
        <w:t>83600</w:t>
      </w:r>
      <w:r>
        <w:rPr>
          <w:rFonts w:hint="eastAsia" w:ascii="仿宋_GB2312" w:hAnsi="Times New Roman" w:eastAsia="仿宋_GB2312" w:cs="仿宋_GB2312"/>
          <w:kern w:val="2"/>
          <w:sz w:val="32"/>
          <w:szCs w:val="32"/>
          <w:lang w:val="en-US" w:eastAsia="zh-CN" w:bidi="ar"/>
        </w:rPr>
        <w:t>元；</w:t>
      </w:r>
      <w:r>
        <w:rPr>
          <w:rFonts w:hint="default" w:ascii="Times New Roman" w:hAnsi="Times New Roman" w:eastAsia="仿宋_GB2312" w:cs="Times New Roman"/>
          <w:kern w:val="2"/>
          <w:sz w:val="32"/>
          <w:szCs w:val="32"/>
          <w:lang w:val="en-US" w:eastAsia="zh-CN" w:bidi="ar"/>
        </w:rPr>
        <w:t>7.2021</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8</w:t>
      </w:r>
      <w:r>
        <w:rPr>
          <w:rFonts w:hint="eastAsia" w:ascii="仿宋_GB2312" w:hAnsi="Times New Roman" w:eastAsia="仿宋_GB2312" w:cs="仿宋_GB2312"/>
          <w:kern w:val="2"/>
          <w:sz w:val="32"/>
          <w:szCs w:val="32"/>
          <w:lang w:val="en-US" w:eastAsia="zh-CN" w:bidi="ar"/>
        </w:rPr>
        <w:t>日进货</w:t>
      </w:r>
      <w:r>
        <w:rPr>
          <w:rFonts w:hint="default" w:ascii="Times New Roman" w:hAnsi="Times New Roman" w:eastAsia="仿宋_GB2312" w:cs="Times New Roman"/>
          <w:kern w:val="2"/>
          <w:sz w:val="32"/>
          <w:szCs w:val="32"/>
          <w:lang w:val="en-US" w:eastAsia="zh-CN" w:bidi="ar"/>
        </w:rPr>
        <w:t>5000</w:t>
      </w:r>
      <w:r>
        <w:rPr>
          <w:rFonts w:hint="eastAsia" w:ascii="仿宋_GB2312" w:hAnsi="Times New Roman" w:eastAsia="仿宋_GB2312" w:cs="仿宋_GB2312"/>
          <w:kern w:val="2"/>
          <w:sz w:val="32"/>
          <w:szCs w:val="32"/>
          <w:lang w:val="en-US" w:eastAsia="zh-CN" w:bidi="ar"/>
        </w:rPr>
        <w:t>个，金额</w:t>
      </w:r>
      <w:r>
        <w:rPr>
          <w:rFonts w:hint="default" w:ascii="Times New Roman" w:hAnsi="Times New Roman" w:eastAsia="仿宋_GB2312" w:cs="Times New Roman"/>
          <w:kern w:val="2"/>
          <w:sz w:val="32"/>
          <w:szCs w:val="32"/>
          <w:lang w:val="en-US" w:eastAsia="zh-CN" w:bidi="ar"/>
        </w:rPr>
        <w:t>131600</w:t>
      </w:r>
      <w:r>
        <w:rPr>
          <w:rFonts w:hint="eastAsia" w:ascii="仿宋_GB2312" w:hAnsi="Times New Roman" w:eastAsia="仿宋_GB2312" w:cs="仿宋_GB2312"/>
          <w:kern w:val="2"/>
          <w:sz w:val="32"/>
          <w:szCs w:val="32"/>
          <w:lang w:val="en-US" w:eastAsia="zh-CN" w:bidi="ar"/>
        </w:rPr>
        <w:t>元。南京鑫某公司除了认为第</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项中尚有</w:t>
      </w:r>
      <w:r>
        <w:rPr>
          <w:rFonts w:hint="default" w:ascii="Times New Roman" w:hAnsi="Times New Roman" w:eastAsia="仿宋_GB2312" w:cs="Times New Roman"/>
          <w:kern w:val="2"/>
          <w:sz w:val="32"/>
          <w:szCs w:val="32"/>
          <w:lang w:val="en-US" w:eastAsia="zh-CN" w:bidi="ar"/>
        </w:rPr>
        <w:t>1050</w:t>
      </w:r>
      <w:r>
        <w:rPr>
          <w:rFonts w:hint="eastAsia" w:ascii="仿宋_GB2312" w:hAnsi="Times New Roman" w:eastAsia="仿宋_GB2312" w:cs="仿宋_GB2312"/>
          <w:kern w:val="2"/>
          <w:sz w:val="32"/>
          <w:szCs w:val="32"/>
          <w:lang w:val="en-US" w:eastAsia="zh-CN" w:bidi="ar"/>
        </w:rPr>
        <w:t>元货款未支付外，对其他交易情况予以确认。</w:t>
      </w:r>
    </w:p>
    <w:p w14:paraId="7224C199">
      <w:pPr>
        <w:keepNext w:val="0"/>
        <w:keepLines w:val="0"/>
        <w:widowControl w:val="0"/>
        <w:suppressLineNumbers w:val="0"/>
        <w:spacing w:before="0" w:beforeLines="0" w:beforeAutospacing="0" w:after="0" w:afterLines="0" w:afterAutospacing="0" w:line="59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淘某公司持有增值电信业务经营许可证，其在服务协议中要求用户不得发布侵犯他人知识产权的信息。淘某公司确认，会员名为</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口口口口、</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、店铺名称为</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玩意局</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淘某店铺登记的经营者为陈某滔；淘某店铺中显示的累计评论数统计周期为</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个月；</w:t>
      </w:r>
      <w:r>
        <w:rPr>
          <w:rFonts w:hint="default" w:ascii="Times New Roman" w:hAnsi="Times New Roman" w:eastAsia="仿宋_GB2312" w:cs="Times New Roman"/>
          <w:kern w:val="2"/>
          <w:sz w:val="32"/>
          <w:szCs w:val="32"/>
          <w:lang w:val="en-US" w:eastAsia="zh-CN" w:bidi="ar"/>
        </w:rPr>
        <w:t>3020</w:t>
      </w:r>
      <w:r>
        <w:rPr>
          <w:rFonts w:hint="eastAsia" w:ascii="仿宋_GB2312" w:hAnsi="Times New Roman" w:eastAsia="仿宋_GB2312" w:cs="仿宋_GB2312"/>
          <w:kern w:val="2"/>
          <w:sz w:val="32"/>
          <w:szCs w:val="32"/>
          <w:lang w:val="en-US" w:eastAsia="zh-CN" w:bidi="ar"/>
        </w:rPr>
        <w:t>号公证书与</w:t>
      </w:r>
      <w:r>
        <w:rPr>
          <w:rFonts w:hint="default" w:ascii="Times New Roman" w:hAnsi="Times New Roman" w:eastAsia="仿宋_GB2312" w:cs="Times New Roman"/>
          <w:kern w:val="2"/>
          <w:sz w:val="32"/>
          <w:szCs w:val="32"/>
          <w:lang w:val="en-US" w:eastAsia="zh-CN" w:bidi="ar"/>
        </w:rPr>
        <w:t>30086</w:t>
      </w:r>
      <w:r>
        <w:rPr>
          <w:rFonts w:hint="eastAsia" w:ascii="仿宋_GB2312" w:hAnsi="Times New Roman" w:eastAsia="仿宋_GB2312" w:cs="仿宋_GB2312"/>
          <w:kern w:val="2"/>
          <w:sz w:val="32"/>
          <w:szCs w:val="32"/>
          <w:lang w:val="en-US" w:eastAsia="zh-CN" w:bidi="ar"/>
        </w:rPr>
        <w:t>号公证书所载被诉侵权链接为同一链接，该链接已于</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14</w:t>
      </w:r>
      <w:r>
        <w:rPr>
          <w:rFonts w:hint="eastAsia" w:ascii="仿宋_GB2312" w:hAnsi="Times New Roman" w:eastAsia="仿宋_GB2312" w:cs="仿宋_GB2312"/>
          <w:kern w:val="2"/>
          <w:sz w:val="32"/>
          <w:szCs w:val="32"/>
          <w:lang w:val="en-US" w:eastAsia="zh-CN" w:bidi="ar"/>
        </w:rPr>
        <w:t>日被删除，南京鑫某公司对此无异议。</w:t>
      </w:r>
    </w:p>
    <w:p w14:paraId="2CE904C1">
      <w:pPr>
        <w:keepNext w:val="0"/>
        <w:keepLines w:val="0"/>
        <w:widowControl w:val="0"/>
        <w:suppressLineNumbers w:val="0"/>
        <w:spacing w:before="0" w:beforeLines="0" w:beforeAutospacing="0" w:after="0" w:afterLines="0" w:afterAutospacing="0" w:line="59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一审另查明，广州跃某公司成立于</w:t>
      </w:r>
      <w:r>
        <w:rPr>
          <w:rFonts w:hint="default" w:ascii="Times New Roman" w:hAnsi="Times New Roman" w:eastAsia="仿宋_GB2312" w:cs="Times New Roman"/>
          <w:kern w:val="2"/>
          <w:sz w:val="32"/>
          <w:szCs w:val="32"/>
          <w:lang w:val="en-US" w:eastAsia="zh-CN" w:bidi="ar"/>
        </w:rPr>
        <w:t>2018</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10</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25</w:t>
      </w:r>
      <w:r>
        <w:rPr>
          <w:rFonts w:hint="eastAsia" w:ascii="仿宋_GB2312" w:hAnsi="Times New Roman" w:eastAsia="仿宋_GB2312" w:cs="仿宋_GB2312"/>
          <w:kern w:val="2"/>
          <w:sz w:val="32"/>
          <w:szCs w:val="32"/>
          <w:lang w:val="en-US" w:eastAsia="zh-CN" w:bidi="ar"/>
        </w:rPr>
        <w:t>日，注册资本</w:t>
      </w:r>
      <w:r>
        <w:rPr>
          <w:rFonts w:hint="default" w:ascii="Times New Roman" w:hAnsi="Times New Roman" w:eastAsia="仿宋_GB2312" w:cs="Times New Roman"/>
          <w:kern w:val="2"/>
          <w:sz w:val="32"/>
          <w:szCs w:val="32"/>
          <w:lang w:val="en-US" w:eastAsia="zh-CN" w:bidi="ar"/>
        </w:rPr>
        <w:t>110</w:t>
      </w:r>
      <w:r>
        <w:rPr>
          <w:rFonts w:hint="eastAsia" w:ascii="仿宋_GB2312" w:hAnsi="Times New Roman" w:eastAsia="仿宋_GB2312" w:cs="仿宋_GB2312"/>
          <w:kern w:val="2"/>
          <w:sz w:val="32"/>
          <w:szCs w:val="32"/>
          <w:lang w:val="en-US" w:eastAsia="zh-CN" w:bidi="ar"/>
        </w:rPr>
        <w:t>万元，经营范围包括软件批发；软件零售；软件开发；软件服务；软件技术推广服务；科技信息咨询服务；通信信号技术的研究</w:t>
      </w:r>
      <w:r>
        <w:rPr>
          <w:rFonts w:hint="default" w:ascii="Times New Roman" w:hAnsi="Times New Roman" w:eastAsia="仿宋_GB2312" w:cs="Times New Roman"/>
          <w:kern w:val="2"/>
          <w:sz w:val="32"/>
          <w:szCs w:val="32"/>
          <w:lang w:val="en-US" w:eastAsia="zh-CN" w:bidi="ar"/>
        </w:rPr>
        <w:t>……</w:t>
      </w:r>
      <w:r>
        <w:rPr>
          <w:rFonts w:hint="eastAsia" w:ascii="仿宋_GB2312" w:hAnsi="Times New Roman" w:eastAsia="仿宋_GB2312" w:cs="仿宋_GB2312"/>
          <w:kern w:val="2"/>
          <w:sz w:val="32"/>
          <w:szCs w:val="32"/>
          <w:lang w:val="en-US" w:eastAsia="zh-CN" w:bidi="ar"/>
        </w:rPr>
        <w:t>；商品批发贸易；商品零售贸易；互联网商品销售；互联网商品零售等。淘某公司成立于</w:t>
      </w:r>
      <w:r>
        <w:rPr>
          <w:rFonts w:hint="default" w:ascii="Times New Roman" w:hAnsi="Times New Roman" w:eastAsia="仿宋_GB2312" w:cs="Times New Roman"/>
          <w:kern w:val="2"/>
          <w:sz w:val="32"/>
          <w:szCs w:val="32"/>
          <w:lang w:val="en-US" w:eastAsia="zh-CN" w:bidi="ar"/>
        </w:rPr>
        <w:t>2003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9</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日，注册资本</w:t>
      </w:r>
      <w:r>
        <w:rPr>
          <w:rFonts w:hint="default" w:ascii="Times New Roman" w:hAnsi="Times New Roman" w:eastAsia="仿宋_GB2312" w:cs="Times New Roman"/>
          <w:kern w:val="2"/>
          <w:sz w:val="32"/>
          <w:szCs w:val="32"/>
          <w:lang w:val="en-US" w:eastAsia="zh-CN" w:bidi="ar"/>
        </w:rPr>
        <w:t>6500</w:t>
      </w:r>
      <w:r>
        <w:rPr>
          <w:rFonts w:hint="eastAsia" w:ascii="仿宋_GB2312" w:hAnsi="Times New Roman" w:eastAsia="仿宋_GB2312" w:cs="仿宋_GB2312"/>
          <w:kern w:val="2"/>
          <w:sz w:val="32"/>
          <w:szCs w:val="32"/>
          <w:lang w:val="en-US" w:eastAsia="zh-CN" w:bidi="ar"/>
        </w:rPr>
        <w:t>万元，经营范围包括利用信息网络进行网络游戏虚拟货币交易，举办演出剧（节）目、表演；经营演出及经纪业务；增值电信业务服务；制作、复制、发行：专题、专栏、综艺等。</w:t>
      </w:r>
    </w:p>
    <w:p w14:paraId="6F30138B">
      <w:pPr>
        <w:keepNext w:val="0"/>
        <w:keepLines w:val="0"/>
        <w:widowControl w:val="0"/>
        <w:suppressLineNumbers w:val="0"/>
        <w:spacing w:before="0" w:beforeLines="0" w:beforeAutospacing="0" w:after="0" w:afterLines="0" w:afterAutospacing="0" w:line="59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一审再查明，南京鑫某公司、黄岛鑫某公司就涉案专利维权在全国提起</w:t>
      </w:r>
      <w:r>
        <w:rPr>
          <w:rFonts w:hint="default" w:ascii="Times New Roman" w:hAnsi="Times New Roman" w:eastAsia="仿宋_GB2312" w:cs="Times New Roman"/>
          <w:kern w:val="2"/>
          <w:sz w:val="32"/>
          <w:szCs w:val="32"/>
          <w:lang w:val="en-US" w:eastAsia="zh-CN" w:bidi="ar"/>
        </w:rPr>
        <w:t>40</w:t>
      </w:r>
      <w:r>
        <w:rPr>
          <w:rFonts w:hint="eastAsia" w:ascii="仿宋_GB2312" w:hAnsi="Times New Roman" w:eastAsia="仿宋_GB2312" w:cs="仿宋_GB2312"/>
          <w:kern w:val="2"/>
          <w:sz w:val="32"/>
          <w:szCs w:val="32"/>
          <w:lang w:val="en-US" w:eastAsia="zh-CN" w:bidi="ar"/>
        </w:rPr>
        <w:t>余起诉讼。南京鑫某公司为本案维权进行了公证，并聘请律师出庭，支出了一定的人力财力。</w:t>
      </w:r>
    </w:p>
    <w:p w14:paraId="6ECEEE89">
      <w:pPr>
        <w:keepNext w:val="0"/>
        <w:keepLines w:val="0"/>
        <w:widowControl w:val="0"/>
        <w:suppressLineNumbers w:val="0"/>
        <w:spacing w:before="0" w:beforeLines="0" w:beforeAutospacing="0" w:after="0" w:afterLines="0" w:afterAutospacing="0" w:line="592" w:lineRule="exact"/>
        <w:ind w:left="0" w:right="0" w:firstLine="640" w:firstLineChars="200"/>
        <w:jc w:val="both"/>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bidi="ar"/>
        </w:rPr>
        <w:t>一审法院认为，王某萍系ZL2017****2467.8号“长脖鸭玩具（草帽系列）”外观设计专利的权利人，专利申请日为2017年4月13日，授权公告日为同年9月26日。该专利尚处有效期内，应受法律保护。该案争议焦点在于：1.南京鑫某公司就该案是否享有诉权；2.被诉侵权设计是否落入涉案专利权的保护范围；3.广州跃某公司、陈某滔的现有设计抗辩能否成立；4.若侵权成立，广州跃某公司、陈某滔、淘某公司应承担的民事责任（包括广州跃某公司、陈某滔主张的合法来源抗辩是否成立，本案是否适用惩罚性赔偿）。</w:t>
      </w:r>
    </w:p>
    <w:p w14:paraId="131DEEEA">
      <w:pPr>
        <w:keepNext w:val="0"/>
        <w:keepLines w:val="0"/>
        <w:widowControl w:val="0"/>
        <w:suppressLineNumbers w:val="0"/>
        <w:spacing w:before="0" w:beforeLines="0" w:beforeAutospacing="0" w:after="0" w:afterLines="0" w:afterAutospacing="0" w:line="592" w:lineRule="exact"/>
        <w:ind w:left="0" w:right="0" w:firstLine="640" w:firstLineChars="200"/>
        <w:jc w:val="both"/>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bidi="ar"/>
        </w:rPr>
        <w:t>对于第一个争议焦点。该院认为，虽然涉案专利权人王某萍与南京鑫某公司签订《专利实施许可合同》中排他许可的期限（2021年8月16日至2026年8月16日）与王某萍将涉案专利独占许可给黄岛鑫某公司的期限（2018年7月1日至2028年7月1日）有部分时间存在重合，但黄岛鑫某公司出具《情况说明》明确其与王某萍之间的独占许可协议已于2021年8月协商解除，王某萍出具的《情况说明》亦对其与黄岛鑫某公司于2021年8月解除专利独占许可的事实予以确认。故可以认定王某萍与黄岛鑫某公司的涉案专利独占许可协议已于2021年8月解除。对于南京鑫某公司获得排他许可之后的侵权行为，王某萍与南京鑫某公司在《专利实施许可合同》第八条约定合同双方任何一方发现第三方侵犯许可方的专利权时，许可方或被许可方均有权向人民法院提起诉讼，故南京鑫某公司作为利害关系人有权提起该案诉讼。对于南京鑫某公司获得排他许可之前的侵权行为，黄岛鑫某公司在其出具的《情况说明》中明确将其与广州跃某公司及某乙平台、淘某“玩意局”店铺间专利侵权赔偿权利让渡给南京鑫某公司一并主张，故南京鑫某公司享有该案诉权。对广州跃某公司、陈某滔所提南京鑫某公司不具有该案诉权的相关抗辩意见，该院不予采纳。</w:t>
      </w:r>
    </w:p>
    <w:p w14:paraId="68575296">
      <w:pPr>
        <w:keepNext w:val="0"/>
        <w:keepLines w:val="0"/>
        <w:widowControl w:val="0"/>
        <w:suppressLineNumbers w:val="0"/>
        <w:spacing w:before="0" w:beforeLines="0" w:beforeAutospacing="0" w:after="0" w:afterLines="0" w:afterAutospacing="0" w:line="592" w:lineRule="exact"/>
        <w:ind w:left="0" w:right="0" w:firstLine="640" w:firstLineChars="200"/>
        <w:jc w:val="both"/>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bidi="ar"/>
        </w:rPr>
        <w:t>对于第二个争议焦点。《中华人民共和国专利法》第六十四条第二款规定：“外观设计专利权的保护范围以表示在图片或者照片中的该产品的外观设计为准，简要说明可以用于解释图片或者照片所表示的该产品的外观设计。”《最高人民法院关于审理侵犯专利权纠纷案件应用法律若干问题的解释》第十条规定：“人民法院应当以外观设计专利产品的一般消费者的知识水平和认知能力，判断外观设计是否相同或者近似”；第十一条规定：“人民法院认定外观设计是否相同或者近似时，应当根据授权外观设计、被诉侵权设计的设计特征，以外观设计的整体视觉效果进行综合判断；对于主要由技术功能决定的设计特征以及对整体视觉效果不产生影响的产品的材料、内部结构等特征，应当不予考虑。下列情形，通常对外观设计的整体视觉效果更具有影响：（一）产品正常使用时容易被直接观察到的部位相对于其他部位；（二）授权外观设计区别于现有设计的设计特征相对于授权外观设计的其他设计特征。被诉侵权设计与授权外观设计在整体视觉效果上无差异的，人民法院应当认定两者相同；在整体视觉效果上无实质性差异的，应当认定两者近似。”对此，判断外观设计是否相同或者近似时，应当按照一般消费者的知识水平和认知能力，遵循全面观察设计特征、综合判断整体效果的基本原则，对所保护的外观设计专利与被诉侵权产品进行比对。经审查，被诉侵权产品与涉案专利产品均为玩具鸭，属于相同种类产品，南京鑫某公司认为被诉侵权设计与涉案专利构成相同，广州跃某公司、陈某滔、淘某公司认为二者构成近似。经庭审比对，被诉侵权设计与涉案专利区别点在于：1.被诉侵权设计翅膀向躯干两侧外展，涉案专利平放搭于躯干；2.被诉侵权设计脚部为一体设计，涉案专利脚部有内凹三个脚趾；3.被诉侵权设计短马甲前襟敞开，涉案专利短马甲前襟合拢。该院认为，被诉侵权设计与涉案专利在整体造型、比例、各部分的形状、图案及布局等设计特征上基本一致，前述区别点均属于局部细微差异，且在整体设计中所占比例较小，不会对整体视觉效果产生实质性影响。故两者构成近似，被诉侵权设计均已落入涉案专利权的保护范围。</w:t>
      </w:r>
    </w:p>
    <w:p w14:paraId="2F8A7A4F">
      <w:pPr>
        <w:keepNext w:val="0"/>
        <w:keepLines w:val="0"/>
        <w:widowControl w:val="0"/>
        <w:suppressLineNumbers w:val="0"/>
        <w:spacing w:before="0" w:beforeLines="0" w:beforeAutospacing="0" w:after="0" w:afterLines="0" w:afterAutospacing="0" w:line="592" w:lineRule="exact"/>
        <w:ind w:left="0" w:right="0" w:firstLine="640" w:firstLineChars="200"/>
        <w:jc w:val="both"/>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bidi="ar"/>
        </w:rPr>
        <w:t>对于第三个争议焦点。为支持其现有设计抗辩，广州跃某公司、陈某滔提交了两项对比设计。关于对比设计1，经查询，“逸乐宠物之家”网站无经营许可证编号或备案编号，无主办单位，未进行备案，涉案图片上传时间的真实性无法确定，故对比设计1不能作为本案现有设计抗辩的依据。关于对比设计2，经当庭核验，其所标示的时间早于涉案专利的申请日，可以作为现有设计抗辩的对比文件。南京鑫某公司虽辩称该网页标示的时间可以任意更改，但未提供证据予以证明，该院对该抗辩不予采纳。经审查，对比设计2与被诉侵权产品均为玩具鸭，属于相同种类产品。经比对，对比设计2与被诉侵权产品在整体造型、比例以及礼服帽、穿着衣服、嘴巴、翅膀、脚部等各部分的形状和图案设计上存在诸多区别，根据一般消费者的认知能力，上述区别易对整体视觉效果产生显著影响，从而导致对比设计2与被诉侵权产品存在实质性差异。故广州跃某公司、陈某滔的现有设计抗辩不成立。</w:t>
      </w:r>
    </w:p>
    <w:p w14:paraId="73160F5D">
      <w:pPr>
        <w:keepNext w:val="0"/>
        <w:keepLines w:val="0"/>
        <w:widowControl w:val="0"/>
        <w:suppressLineNumbers w:val="0"/>
        <w:spacing w:before="0" w:beforeLines="0" w:beforeAutospacing="0" w:after="0" w:afterLines="0" w:afterAutospacing="0" w:line="592" w:lineRule="exact"/>
        <w:ind w:left="0" w:right="0" w:firstLine="640" w:firstLineChars="200"/>
        <w:jc w:val="both"/>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bidi="ar"/>
        </w:rPr>
        <w:t>对于第四个争议焦点。《中华人民共和国专利法》第十一条第二款规定：“外观设计专利权被授予后，任何单位或者个人未经专利权人许可，都不得实施其专利，即不得为生产经营目的制造、许诺销售、销售、进口其外观设计专利产品。”《中华人民共和国民法典》第一千一百六十八条规定：“二人以上共同实施侵权行为，造成他人损害的，应当承担连带责任。”该案中，南京鑫某公司主张广州跃某公司、陈某滔共同实施了制造、销售、许诺销售侵权产品的行为，应承担连带赔偿责任。对此，该院认为，首先，3020号公证书与30086号公证书均显示陈某滔经营的“玩意局”店铺展示、销售了侵权产品。其次，就3020号公证书所涉侵权赔偿事宜由广州跃某公司与专利权方签署协议，并在协议中记载广州跃某公司为“玩意局”店铺的经营者，享有合同权利，承担合同义务，而后又由陈某滔履行该协议中的付款义务，作为市场经营主体的广州跃某公司、陈某滔理应知晓其上述行为的法律意义。再次，广州跃某公司在庭审中陈述其法定代表人陈展峰与陈某滔为亲戚关系。综合上述事实，广州跃某公司、陈某滔的销售、许诺销售行为在客观上相互关联，相互合作，在主观上对于损害结果的发生具有共同的认识或者共同的追求，二者构成共同销售、许诺销售侵权。对于广州跃某公司所称其就涉案店铺侵权事宜代表陈某滔签署协议是源于专利权人要求协议需盖公章，其实际并未实施侵权行为的抗辩意见，因与该案查明的事实不符，该院不予采纳。在案证据尚不能证明广州跃某公司、陈某滔共同实施了制造侵权产品的行为，故该院对南京鑫某公司的该诉讼请求不予支持。综上，广州跃某公司、陈某滔未经许可，为生产经营目的共同销售、许诺销售侵权产品，侵害了涉案专利权，且鉴于涉案店铺页面显示侵权产品尚有库存，南京鑫某公司据此要求广州跃某公司、陈某滔停止侵权、销毁库存侵权产品及承担连带赔偿责任的诉讼请求，于法有据，该院予以支持。</w:t>
      </w:r>
    </w:p>
    <w:p w14:paraId="65F4B4CB">
      <w:pPr>
        <w:keepNext w:val="0"/>
        <w:keepLines w:val="0"/>
        <w:widowControl w:val="0"/>
        <w:suppressLineNumbers w:val="0"/>
        <w:spacing w:before="0" w:beforeLines="0" w:beforeAutospacing="0" w:after="0" w:afterLines="0" w:afterAutospacing="0" w:line="592" w:lineRule="exact"/>
        <w:ind w:left="0" w:right="0" w:firstLine="640" w:firstLineChars="200"/>
        <w:jc w:val="both"/>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bidi="ar"/>
        </w:rPr>
        <w:t>鉴于侵权产品链接已被删除，南京鑫某公司要求淘某公司删除侵权产品链接及图片的诉请已经实现，该院不再予以评判。</w:t>
      </w:r>
    </w:p>
    <w:p w14:paraId="31D73274">
      <w:pPr>
        <w:keepNext w:val="0"/>
        <w:keepLines w:val="0"/>
        <w:widowControl w:val="0"/>
        <w:suppressLineNumbers w:val="0"/>
        <w:spacing w:before="0" w:beforeLines="0" w:beforeAutospacing="0" w:after="0" w:afterLines="0" w:afterAutospacing="0" w:line="592" w:lineRule="exact"/>
        <w:ind w:left="0" w:right="0" w:firstLine="640" w:firstLineChars="200"/>
        <w:jc w:val="both"/>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bidi="ar"/>
        </w:rPr>
        <w:t>关于广州跃某公司、陈某滔提出的合法来源抗辩。《中华人民共和国专利法》第七十七条规定：“为生产经营目的使用、许诺销售或者销售不知道是未经专利权人许可而制造并售出的专利侵权产品，能证明该产品合法来源的，不承担赔偿责任。”依照上述规定，在侵害专利权纠纷中，销售者主张合法来源抗辩，需要同时满足被诉侵权产品具有合法来源这一客观要件和销售者无过错这一主观要件。该案中，广州跃某公司与专利权人一方于2020年9月29日就3020号公证书所载侵权事实签订了《合作协议》及《产品订货协议》，广州跃某公司并承诺期后不再实施侵权行为，故广州跃某公司、陈某滔在2021年9月8日之时已明知其产品侵害了涉案专利权，却仍然进行销售，存在侵权的主观故意，不符合适用合法来源抗辩的条件，故该院对广州跃某公司、陈某滔提出的合法来源抗辩不予采纳。</w:t>
      </w:r>
    </w:p>
    <w:p w14:paraId="098731F6">
      <w:pPr>
        <w:keepNext w:val="0"/>
        <w:keepLines w:val="0"/>
        <w:widowControl w:val="0"/>
        <w:suppressLineNumbers w:val="0"/>
        <w:spacing w:before="0" w:beforeLines="0" w:beforeAutospacing="0" w:after="0" w:afterLines="0" w:afterAutospacing="0" w:line="592" w:lineRule="exact"/>
        <w:ind w:left="0" w:right="0" w:firstLine="640" w:firstLineChars="200"/>
        <w:jc w:val="both"/>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bidi="ar"/>
        </w:rPr>
        <w:t>关于淘某公司是否侵害涉案专利权。该院认为，首先，淘某公司作为网络信息发布平台的服务提供方，其网站商品的相关信息均系会员自行发布，淘某公司并未参与；其次，淘某公司对网络店铺经营者身份进行审查，在服务协议中明确提醒用户不得侵犯他人知识产权，淘某公司已尽到其作为网络信息平台服务提供者的合理提示义务；再次，淘某公司在收到南京鑫某公司起诉材料后就对侵权产品链接进行核查，确认侵权产品链接已被删除，淘某公司已尽到其作为网络信息平台服务提供者的合理注意义务。南京鑫某公司不能证明淘某公司实施了直接或间接的侵权行为，亦不能证明淘某公司与广州跃某公司、陈某滔之间存在共同侵权或其他应承担连带责任的情形。因此，南京鑫某公司对淘某公司所提诉讼请求没有事实和法律依据，该院不予支持。</w:t>
      </w:r>
    </w:p>
    <w:p w14:paraId="272EFB5E">
      <w:pPr>
        <w:keepNext w:val="0"/>
        <w:keepLines w:val="0"/>
        <w:widowControl w:val="0"/>
        <w:suppressLineNumbers w:val="0"/>
        <w:spacing w:before="0" w:beforeLines="0" w:beforeAutospacing="0" w:after="0" w:afterLines="0" w:afterAutospacing="0" w:line="592" w:lineRule="exact"/>
        <w:ind w:left="0" w:right="0" w:firstLine="640" w:firstLineChars="200"/>
        <w:jc w:val="both"/>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bidi="ar"/>
        </w:rPr>
        <w:t>关于该案侵权产品的销量及成交金额问题，该院分析如下：1.在案证据显示南京鑫某公司与广州跃某公司、陈某滔就3020号公证书所涉的发生在2020年9月28日前的侵权事实，双方已达成协议且已实际履行，南京鑫某公司对此也予以认可，故2020年9月7日至2020年9月28日期间的侵权产品销量7862个，不应再纳入广州跃某公司、陈某滔的赔偿责任范围，南京鑫某公司就3020号公证书所涉侵权事实再次主张赔偿，缺乏法律依据，该院难以支持。2.对于广州跃某公司、陈某滔向权利人采购的40000个专利产品，该院认为，于2020年9月28日之后购进的30000个专利产品系双方之间发生的真实交易数据，应在侵权产品的销量中剔除，但对于2020年8月14日购进的10000个专利产品，如前所述，发生在2020年9月28日前的侵权事实已被双方达成的协议所评价涵盖，相应产品已被剔除，广州跃某公司、陈某滔不能再次主张将其在侵权产品的销量中予以剔除。故结合前项所述，本案侵权产品的销量应认定为46864个。3.涉案店铺显示侵权产品的价格包含了音响、游戏机、补水仪、礼盒、礼袋等配套产品的价格，不同版本的侵权产品对应不同的价格，故该案侵权产品的实际成交金额难以确定。</w:t>
      </w:r>
    </w:p>
    <w:p w14:paraId="7A13EDE8">
      <w:pPr>
        <w:keepNext w:val="0"/>
        <w:keepLines w:val="0"/>
        <w:widowControl w:val="0"/>
        <w:suppressLineNumbers w:val="0"/>
        <w:spacing w:before="0" w:beforeLines="0" w:beforeAutospacing="0" w:after="0" w:afterLines="0" w:afterAutospacing="0" w:line="592" w:lineRule="exact"/>
        <w:ind w:left="0" w:right="0" w:firstLine="640" w:firstLineChars="200"/>
        <w:jc w:val="both"/>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bidi="ar"/>
        </w:rPr>
        <w:t>关于南京鑫某公司主张的赔偿数额问题。本案中，南京鑫某公司主张的赔偿数额分为两部分，一部分主张按广州跃某公司、陈某滔因侵权所获得的利益确定，另一部分请求对2020年9月29日至2021年9月28日期间的侵权行为以广州跃某公司、陈某滔的获利为基数并要求不低于该3倍基数适用惩罚性赔偿。并就其主张的赔偿数额计算方式说明如下：1.2020年9月28日取证的侵权产品的累计评论数为71214条，根据淘某店铺累计评论数统计周期6个月，该累计评论数实际为2020年3月29日至2020年9月28日侵权产品的评论数，同理2021年9月28日取证的侵权产品的累计评论数20954条实际为2021年3月29日至2021年9月28日侵权产品的评论数，那么2020年9月29日至2021年3月28日期间未显示的侵权产品累计评论数以前述两个时间段的累计评论数的平均值推算得出为46084条。根据淘某店铺1个评论数相当于3、4个产品交易数，推算2020年3月29日至2021年9月28日的侵权产品销量为414756个。按侵权产品公证购买价格57.82元、行业利润率30%、涉案专利贡献度60%计算，推算广州跃某公司、陈某滔共获利4316614.55元。2.2020年9月29日至2021年9月28日为南京鑫某公司请求适用惩罚性赔偿的计算期间，按前项中的计算方式推算出惩罚性赔偿金额为6279342.18元。3.综合前两项赔偿金额及本案维权合理费用28915.64元，合计10624872.37元，据此，南京鑫某公司诉请赔偿金额5000000元。对此，该院认为：首先，如前所述，发生在2020年9月28日前的侵权产品不应再纳入广州跃某公司、陈某滔的赔偿责任范围，南京鑫某公司无权就此再次主张赔偿，且淘某公司提交的销售数据显示，侵权产品在2020年9月28日前的销量为7862个，而非南京鑫某公司主张的213642个（即71214个*3）。其次，南京鑫某公司主张的2020年9月29日至2021年3月28日期间的侵权产品累计评论数为46084条、淘某店铺1个评论数相当于3、4个产品交易数以及涉案专利贡献度为60%，并无充分证据支持，同时，在案证据也不能证明侵权产品行业利润率为30%。故南京鑫某公司主张的赔偿数额计算方式，其中的多个数据缺乏事实基础，存在重复计算、不实计算、推算错误等问题，计算结果不足为信。第三，广州跃某公司、陈某滔在与专利权人一方就2020年9月28日之前发生的侵权事实与专利权人达成协议后再次实施侵权，虽然主观上存在侵权故意，侵权情节严重，但如前所述，因南京鑫某公司所主张的惩罚性赔偿基数计算依据及方式不当，导致赔偿基数无法确定，故本案无法适用惩罚性赔偿。</w:t>
      </w:r>
    </w:p>
    <w:p w14:paraId="2529F8E1">
      <w:pPr>
        <w:keepNext w:val="0"/>
        <w:keepLines w:val="0"/>
        <w:widowControl w:val="0"/>
        <w:suppressLineNumbers w:val="0"/>
        <w:spacing w:before="0" w:beforeLines="0" w:beforeAutospacing="0" w:after="0" w:afterLines="0" w:afterAutospacing="0" w:line="592" w:lineRule="exact"/>
        <w:ind w:left="0" w:right="0" w:firstLine="640" w:firstLineChars="200"/>
        <w:jc w:val="both"/>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bidi="ar"/>
        </w:rPr>
        <w:t>关于该案赔偿数额的确定。《中华人民共和国专利法》第七十一条第一款、第二款、第三款规定：“侵犯专利权的赔偿数额按照权利人因被侵权所受到的实际损失或者侵权人因侵权所获得的利益确定；权利人的损失或者侵权人获得的利益难以确定的，参照该专利许可使用费的倍数合理确定。对故意侵犯专利权，情节严重的，可以在按照上述方法确定数额的一倍以上五倍以下确定赔偿数额。权利人的损失、侵权人获得的利益和专利许可使用费均难以确定的，人民法院可以根据专利权的类型、侵权行为的性质和情节等因素，确定给予三万元以上五百万元以下的赔偿。该案中，南京鑫某公司没有向该院提供有效证据证明其在被侵权期间因侵权所受到的具体损失或广州跃某公司、陈某滔在侵权期间所获得的具体利益，或可以参照的有效专利许可使用费，南京鑫某公司亦明确若该院经审理认为该案无法适用惩罚性赔偿，则要求适用法定赔偿，故该院将综合考虑侵权产品的销售规模、范围，侵权行为的性质及影响，涉案专利的授权时间、类型、创新程度，南京鑫某公司为制止侵权所支出的合理费用等因素，按照法定赔偿的方式，酌情确定赔偿数额。同时该院注意到以下事实：1.涉案专利为外观设计专利，申请日为2017年4月13日，授权公告日为2017年9月26日；2.包含配套产品在内的侵权产品价格为39-198元，销量46864个；3.广州跃某公司、陈某滔共同实施了销售、许诺销售侵权行为，具有重复侵权的主观故意；4.广州跃某公司成立于2018年10月25日，注册资本110万元；5.广州跃某公司承诺若再次实施侵权行为，则赔偿权利人20万元；6.南京鑫某公司、黄岛鑫某公司就涉案专利维权在全国提起多起诉讼，该案为批量维权；7.南京鑫某公司为本案维权进行了公证取证，并聘请律师出庭，支出了一定的人力财力，但南京鑫某公司在明知3020号公证书所涉侵权事实双方已经和解且已履行的情况下，仍然在该案中再次起诉要求赔偿，造成了不必要的司法资源的浪费，由此产生的维权支出不应予以支持（本案酌定维权合理费用为6000元）。</w:t>
      </w:r>
    </w:p>
    <w:p w14:paraId="70FDF615">
      <w:pPr>
        <w:keepNext w:val="0"/>
        <w:keepLines w:val="0"/>
        <w:widowControl w:val="0"/>
        <w:suppressLineNumbers w:val="0"/>
        <w:spacing w:before="0" w:beforeLines="0" w:beforeAutospacing="0" w:after="0" w:afterLines="0" w:afterAutospacing="0" w:line="592" w:lineRule="exact"/>
        <w:ind w:left="0" w:right="0" w:firstLine="640" w:firstLineChars="200"/>
        <w:jc w:val="both"/>
        <w:rPr>
          <w:rFonts w:hint="eastAsia" w:ascii="仿宋_GB2312"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综上，一审法院依照《中华人民共和国民法典》第一千一百六十八条，《中华人民共和国专利法》第十一条第二款、第六十四条第二款、第七十一条第一款、第二款、第三款，《最高人民法院关于审理侵犯专利权纠纷案件应用法律若干问题的解释》第八条、第十条、第十一条，《中华人民共和国民事诉讼法》（2021年修正）第六十七条第一款之规定，于2023年10月27日判决：一、广州跃某公司、陈某滔立即停止销售、许诺销售落入专利号为ZL2017****2467.8的“长脖鸭玩具（草帽系列）”外观设计专利权保护范围的产品，并销毁库存侵权产品；二、广州跃某公司、陈某滔于判决生效之日起十日内连带赔偿南京鑫某公司经济损失及为制止侵权所支付的合理费用共计206000元；三、驳回南京鑫某公司的其他诉讼请求。如果未按判决指定的期间履行给付金钱义务，应当依照《中华人民共和国民事诉讼法》第二百六十条之规定，加倍支付迟延履行期间的债务利息。一审案件受理费46800元，由南京鑫某动漫产业有公司负担22436元，广州跃某公司、陈某滔负担24364元。</w:t>
      </w:r>
    </w:p>
    <w:p w14:paraId="7AD5E123">
      <w:pPr>
        <w:keepNext w:val="0"/>
        <w:keepLines w:val="0"/>
        <w:widowControl w:val="0"/>
        <w:suppressLineNumbers w:val="0"/>
        <w:spacing w:before="0" w:beforeLines="0" w:beforeAutospacing="0" w:after="0" w:afterLines="0" w:afterAutospacing="0" w:line="592" w:lineRule="exact"/>
        <w:ind w:left="0" w:right="0" w:firstLine="640" w:firstLineChars="200"/>
        <w:jc w:val="both"/>
        <w:rPr>
          <w:rFonts w:hint="eastAsia" w:ascii="仿宋_GB2312"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二审期间，南京鑫某公司未向本院提交新证据。广州跃某公司、陈某滔向本院提交了四份证据：1.两份区块链存证证书，拟证明涉案专利形象早在2016年12月25日已在网站“逸乐宠物之家”公开，属于现有设计。2.第955139205007151105号区块链存证证书，拟证明2019年6月6日黄岛鑫某公司官方新浪某丙平台发布某丙平台，内容是王某萍以涉案专利形象申请的作品登记证书、样本页以及设计说明。3.（2021）京73民初1293、1295号判决书及开庭公告，拟证明针对同一个专利，有两个权利人在同一时间段的不同侵权诉讼中主张权利，南京鑫某公司、王某萍、黄岛鑫某公司在本案中出具的情况说明内容虚假，与客观事实不符。4.（2022）最高法知民终2947号民事判决书，拟证明如果权利人提起批量诉讼，要避免损害赔偿叠加导致权利人多重获利。</w:t>
      </w:r>
    </w:p>
    <w:p w14:paraId="0C9F70BA">
      <w:pPr>
        <w:keepNext w:val="0"/>
        <w:keepLines w:val="0"/>
        <w:widowControl w:val="0"/>
        <w:suppressLineNumbers w:val="0"/>
        <w:spacing w:before="0" w:beforeLines="0" w:beforeAutospacing="0" w:after="0" w:afterLines="0" w:afterAutospacing="0" w:line="592" w:lineRule="exact"/>
        <w:ind w:left="0" w:right="0" w:firstLine="640" w:firstLineChars="200"/>
        <w:jc w:val="both"/>
        <w:rPr>
          <w:rFonts w:hint="eastAsia" w:ascii="仿宋_GB2312"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南京鑫某公司质证认为：证据1在一审中已经提交，不属于二审新证据。对证据2的内容真实性及证明目的不予认可。广州跃某公司、陈某滔仅凭该证据无法证明作品登记证书上记载图样的首次发表时间为2012年8月8日。对证据3的真实性予以认可，对关联性及证明目的不予认可，黄岛鑫某公司与专利权人王某萍自愿解除专利许可协议，王某萍有权自由处分其专利权给南京鑫某公司。对证据4的真实性予以认可，对关联性及证明目的不予认可：首先，该份判决书中的基本事实与本案无关，不能作为本案的参考依据；其次，南京鑫某公司在杭州地区除本案外没有其他与本案有关的案件，不存在损害赔偿叠加的情形。</w:t>
      </w:r>
    </w:p>
    <w:p w14:paraId="1C013A48">
      <w:pPr>
        <w:keepNext w:val="0"/>
        <w:keepLines w:val="0"/>
        <w:widowControl w:val="0"/>
        <w:suppressLineNumbers w:val="0"/>
        <w:spacing w:before="0" w:beforeLines="0" w:beforeAutospacing="0" w:after="0" w:afterLines="0" w:afterAutospacing="0" w:line="592" w:lineRule="exact"/>
        <w:ind w:left="0" w:right="0" w:firstLine="640" w:firstLineChars="200"/>
        <w:jc w:val="both"/>
        <w:rPr>
          <w:rFonts w:hint="eastAsia" w:ascii="仿宋_GB2312"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院经审查认为：证据1已在一审提交，不属于二审新证据；证据2系关于现有设计抗辩是否成立的证据，根据《最高人民法院关于适用&lt;中华人民共和国民事诉讼法&gt;的解释》第三百二十一条的规定，广州跃某公司、陈某滔对于其未提出上诉的现有设计抗辩问题不属本案二审审理范围，对该证据不予评述；证据3不足以否定南京鑫某公司本案中提交的权利基础的证据，不予认定；证据4与本案争议事实无关，对其关联性不予确认。</w:t>
      </w:r>
    </w:p>
    <w:p w14:paraId="181B6C92">
      <w:pPr>
        <w:keepNext w:val="0"/>
        <w:keepLines w:val="0"/>
        <w:widowControl w:val="0"/>
        <w:suppressLineNumbers w:val="0"/>
        <w:spacing w:before="0" w:beforeLines="0" w:beforeAutospacing="0" w:after="0" w:afterLines="0" w:afterAutospacing="0" w:line="592" w:lineRule="exact"/>
        <w:ind w:left="0" w:right="0" w:firstLine="640" w:firstLineChars="200"/>
        <w:jc w:val="both"/>
        <w:rPr>
          <w:rFonts w:hint="eastAsia" w:ascii="仿宋_GB2312"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本院二审查明的事实与一审判决认定的一致。</w:t>
      </w:r>
    </w:p>
    <w:p w14:paraId="5EEE4FBA">
      <w:pPr>
        <w:keepNext w:val="0"/>
        <w:keepLines w:val="0"/>
        <w:widowControl w:val="0"/>
        <w:suppressLineNumbers w:val="0"/>
        <w:spacing w:before="0" w:beforeLines="0" w:beforeAutospacing="0" w:after="0" w:afterLines="0" w:afterAutospacing="0" w:line="592" w:lineRule="exact"/>
        <w:ind w:left="0" w:right="0" w:firstLine="640" w:firstLineChars="200"/>
        <w:jc w:val="both"/>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bidi="ar"/>
        </w:rPr>
        <w:t>本院认为，根据南京鑫某公司的上诉请求和理由，以及广州跃某公司、陈某滔的答辩意见，本案二审的争议焦点在于：一审确定的赔偿方式及赔偿数额是否合理。对此，分述如下：</w:t>
      </w:r>
    </w:p>
    <w:p w14:paraId="54472BC2">
      <w:pPr>
        <w:keepNext w:val="0"/>
        <w:keepLines w:val="0"/>
        <w:widowControl w:val="0"/>
        <w:suppressLineNumbers w:val="0"/>
        <w:spacing w:before="0" w:beforeLines="0" w:beforeAutospacing="0" w:after="0" w:afterLines="0" w:afterAutospacing="0" w:line="592" w:lineRule="exact"/>
        <w:ind w:left="0" w:right="0" w:firstLine="640" w:firstLineChars="200"/>
        <w:jc w:val="both"/>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bidi="ar"/>
        </w:rPr>
        <w:t>首先，关于赔偿方式的问题。南京鑫某公司主张对本案以惩罚性赔偿的方式确定赔偿数额。《中华人民共和国专利法》第七十一条第一款规定，侵犯专利权的赔偿数额按照权利人因被侵权所受到的实际损失或者侵权人因侵权所获得的利益确定；权利人的损失或者侵权人获得的利益难以确定的，参照该专利许可使用费的倍数合理确定。对故意侵犯专利权，情节严重的，可以在按照上述方法确定数额的一倍以上五倍以下确定赔偿数额。据此，“故意侵犯专利权”和“情节严重”是适用惩罚性赔偿的主观要件和客观要件。</w:t>
      </w:r>
    </w:p>
    <w:p w14:paraId="772D1F7A">
      <w:pPr>
        <w:keepNext w:val="0"/>
        <w:keepLines w:val="0"/>
        <w:widowControl w:val="0"/>
        <w:suppressLineNumbers w:val="0"/>
        <w:spacing w:before="0" w:beforeLines="0" w:beforeAutospacing="0" w:after="0" w:afterLines="0" w:afterAutospacing="0" w:line="592" w:lineRule="exact"/>
        <w:ind w:left="0" w:right="0" w:firstLine="640" w:firstLineChars="200"/>
        <w:jc w:val="both"/>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bidi="ar"/>
        </w:rPr>
        <w:t>关于“故意”要件，《最高人民法院关于审理侵害知识产权民事案件适用惩罚性赔偿的解释》第三条规定，对于侵害知识产权的故意的认定，人民法院应当综合考虑被侵害知识产权客体类型、权利状态和相关产品知名度、被告与原告或者利害关系人之间的关系等因素。本案中，王某萍（甲方）与广州跃某公司（乙方）曾于第一次侵权行为发生后签订《合作协议》，明确约定“乙方承诺立即停止销售侵犯甲方外观设计专利权的商品，将所有侵犯甲方外观设计专利权的商品从该网站平台撤下”，据此，在协议签订后，广州跃某公司、陈某滔对其销售的产品系侵权产品主观状态系明知，其违反约定以真假掺卖的方式再次销售侵权产品，属于重复侵权，侵权故意尤为明显。</w:t>
      </w:r>
    </w:p>
    <w:p w14:paraId="23835024">
      <w:pPr>
        <w:keepNext w:val="0"/>
        <w:keepLines w:val="0"/>
        <w:widowControl w:val="0"/>
        <w:suppressLineNumbers w:val="0"/>
        <w:spacing w:before="0" w:beforeLines="0" w:beforeAutospacing="0" w:after="0" w:afterLines="0" w:afterAutospacing="0" w:line="592" w:lineRule="exact"/>
        <w:ind w:left="0" w:right="0" w:firstLine="640" w:firstLineChars="200"/>
        <w:jc w:val="both"/>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bidi="ar"/>
        </w:rPr>
        <w:t>关于“情节严重”要件。《最高人民法院关于审理侵害知识产权民事案件适用惩罚性赔偿的解释》第四条规定，对于侵害知识产权情节严重的认定，人民法院应当综合考虑侵权手段、次数，侵权行为的持续时间、地域范围、规模、后果，侵权人在诉讼中的行为等因素。鉴于本案中的以下事实：1.被诉侵权产品上架、下架时间分别为2020年9月与2022年9月，侵权行为持续时间较长；2.签订《合作协议》与第二次侵权行为被发现之间相隔不超过一年；3.2020年9月7日至2020年9月28日，被诉侵权产品交易成功7862个，成交金额共计411144.32元，2020年9月29日至2022年9月11日，被诉侵权产品交易成功76864个，成交金额共计3831929.53元。扣除从专利权人一方采购的专利产品数量30000个，被诉侵权产品的销售数量仍达46864个、成交金额巨大，本案符合前述司法解释所规定的侵害知识产权情节严重的要件。</w:t>
      </w:r>
    </w:p>
    <w:p w14:paraId="50ADEC32">
      <w:pPr>
        <w:keepNext w:val="0"/>
        <w:keepLines w:val="0"/>
        <w:widowControl w:val="0"/>
        <w:suppressLineNumbers w:val="0"/>
        <w:spacing w:before="0" w:beforeLines="0" w:beforeAutospacing="0" w:after="0" w:afterLines="0" w:afterAutospacing="0" w:line="592" w:lineRule="exact"/>
        <w:ind w:left="0" w:right="0" w:firstLine="640" w:firstLineChars="200"/>
        <w:jc w:val="both"/>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bidi="ar"/>
        </w:rPr>
        <w:t>综上，因广州跃某公司、陈某滔侵权故意明显，且情节严重，符合《中华人民共和国专利法》第七十一条规定的适用惩罚性赔偿的基本条件。</w:t>
      </w:r>
    </w:p>
    <w:p w14:paraId="4F6AE3A4">
      <w:pPr>
        <w:keepNext w:val="0"/>
        <w:keepLines w:val="0"/>
        <w:widowControl w:val="0"/>
        <w:suppressLineNumbers w:val="0"/>
        <w:spacing w:before="0" w:beforeLines="0" w:beforeAutospacing="0" w:after="0" w:afterLines="0" w:afterAutospacing="0" w:line="592" w:lineRule="exact"/>
        <w:ind w:left="0" w:right="0" w:firstLine="640" w:firstLineChars="200"/>
        <w:jc w:val="both"/>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bidi="ar"/>
        </w:rPr>
        <w:t>其次，关于惩罚性赔偿基数的确定问题。对于销量问题，根据一审法院向淘某公司调取的被诉侵权产品销售数据，2020年9月29日签订《合作协议》后，被诉侵权产品交易成功76864个。广州跃某公司、陈某滔于2020年9月28日向权利人购进的30000个专利产品，系双方之间发生的真实交易数据，应在侵权产品的销量中剔除。一审法院认定本案侵权产品的销量为46864个，并无不当。</w:t>
      </w:r>
    </w:p>
    <w:p w14:paraId="08250205">
      <w:pPr>
        <w:keepNext w:val="0"/>
        <w:keepLines w:val="0"/>
        <w:widowControl w:val="0"/>
        <w:suppressLineNumbers w:val="0"/>
        <w:spacing w:before="0" w:beforeLines="0" w:beforeAutospacing="0" w:after="0" w:afterLines="0" w:afterAutospacing="0" w:line="592" w:lineRule="exact"/>
        <w:ind w:left="0" w:right="0" w:firstLine="640" w:firstLineChars="200"/>
        <w:jc w:val="both"/>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bidi="ar"/>
        </w:rPr>
        <w:t>关于销售单价问题，被诉侵权产品链接下包含复读鸭鸭+礼袋、复读鸭鸭+机器人音响+礼盒、复读鸭鸭+游戏机+礼盒、复读鸭鸭+补水仪+礼盒等多种版本。在案证据显示，被诉侵权产品的基础款至包含配套产品在内的侵权产品的价格区间为39-198元，广州跃某公司、陈某滔提交的做货单显示其礼袋的购买价格为1.65元/个，其在1688平台的付款凭证显示“厂家定做礼品包装盒定制天地盖高档精装礼品盒定做印刷LOGO纸盒”价格为1元/个。据此，可认定未搭售音响、游戏机、补水仪、礼盒、礼袋等配套产品的单个被诉侵权产品价格至少为37.35元。</w:t>
      </w:r>
    </w:p>
    <w:p w14:paraId="719895AE">
      <w:pPr>
        <w:keepNext w:val="0"/>
        <w:keepLines w:val="0"/>
        <w:widowControl w:val="0"/>
        <w:suppressLineNumbers w:val="0"/>
        <w:spacing w:before="0" w:beforeLines="0" w:beforeAutospacing="0" w:after="0" w:afterLines="0" w:afterAutospacing="0" w:line="592" w:lineRule="exact"/>
        <w:ind w:left="0" w:right="0" w:firstLine="640" w:firstLineChars="200"/>
        <w:jc w:val="both"/>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bidi="ar"/>
        </w:rPr>
        <w:t>关于利润率问题，根据《最高人民法院关于审理专利纠纷案件适用法律问题的若干规定》第十四条第二款规定，侵权人因侵权所获得的利益一般按照侵权人的营业利润计算，对于完全以侵权为业的侵权人，可以按照销售利润计算。鉴于本案并无证据证明广州跃某公司、陈某滔以侵权为业，故本案侵权获利应按照侵权人的营业利润计算。本案中，南京鑫某公司主张的利润率为30%。</w:t>
      </w:r>
    </w:p>
    <w:p w14:paraId="55174D30">
      <w:pPr>
        <w:keepNext w:val="0"/>
        <w:keepLines w:val="0"/>
        <w:widowControl w:val="0"/>
        <w:suppressLineNumbers w:val="0"/>
        <w:spacing w:before="0" w:beforeLines="0" w:beforeAutospacing="0" w:after="0" w:afterLines="0" w:afterAutospacing="0" w:line="592" w:lineRule="exact"/>
        <w:ind w:left="0" w:right="0" w:firstLine="0" w:firstLineChars="0"/>
        <w:jc w:val="both"/>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bidi="ar"/>
        </w:rPr>
        <w:t>从陈某滔2021年5月8日、6月12日分别向义乌市念家日用百货有限公司采购被诉侵权产品的情况看，陈某滔向非专利权人采购的侵权产品单价在22元/个左右。根据前述销售价格与采购成本相减，侵权产品的销售利润远高于30%。尽管广州跃某公司、陈某滔提交了2022年4月—9月的销售额及推广成本的自制表格，并辩称运营推广成本约为18%，但该表格的真实性无法核实，且该运营推广成本系店铺的整体数据，无法具体到某个产品或某项链接，故根据该材料无法证明被诉侵权产品的实际运营推广成本为18%。</w:t>
      </w:r>
    </w:p>
    <w:p w14:paraId="04D43EA6">
      <w:pPr>
        <w:keepNext w:val="0"/>
        <w:keepLines w:val="0"/>
        <w:widowControl w:val="0"/>
        <w:suppressLineNumbers w:val="0"/>
        <w:spacing w:before="0" w:beforeLines="0" w:beforeAutospacing="0" w:after="0" w:afterLines="0" w:afterAutospacing="0" w:line="592" w:lineRule="exact"/>
        <w:ind w:left="0" w:right="0" w:firstLine="0" w:firstLineChars="0"/>
        <w:jc w:val="both"/>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bidi="ar"/>
        </w:rPr>
        <w:t>综合考虑被诉侵权产品的实际销售价格显然要高于37.35元/个，结合《合作协议》签订时被诉侵权产品的实际交易数量及金额，以及《合作协议》明确约定根据在此之前的乙方侵权行为造成的损失计算得出乙方须向甲方赔偿的金额为20万元，南京鑫某公司主张被诉侵权产品的营业利润为30%，较为合理，本院予以采信。</w:t>
      </w:r>
    </w:p>
    <w:p w14:paraId="4B898FAB">
      <w:pPr>
        <w:keepNext w:val="0"/>
        <w:keepLines w:val="0"/>
        <w:widowControl w:val="0"/>
        <w:suppressLineNumbers w:val="0"/>
        <w:spacing w:before="0" w:beforeLines="0" w:beforeAutospacing="0" w:after="0" w:afterLines="0" w:afterAutospacing="0" w:line="592" w:lineRule="exact"/>
        <w:ind w:left="0" w:right="0" w:firstLine="620"/>
        <w:jc w:val="both"/>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bidi="ar"/>
        </w:rPr>
        <w:t>关于外观设计贡献率的问题。作为一款毛绒玩具，其外观设计对于吸引消费具有极高的贡献度，但同时考虑到该链接项下还包括升级录音版等其他版本，本院将本案外观设计</w:t>
      </w:r>
      <w:r>
        <w:rPr>
          <w:rFonts w:hint="eastAsia" w:ascii="仿宋_GB2312" w:hAnsi="Calibri" w:eastAsia="仿宋_GB2312" w:cs="仿宋_GB2312"/>
          <w:kern w:val="2"/>
          <w:sz w:val="32"/>
          <w:szCs w:val="32"/>
          <w:lang w:val="en-US" w:eastAsia="zh-CN" w:bidi="ar"/>
        </w:rPr>
        <w:t>对销售价格的</w:t>
      </w:r>
      <w:r>
        <w:rPr>
          <w:rFonts w:hint="eastAsia" w:ascii="仿宋_GB2312" w:hAnsi="Times New Roman" w:eastAsia="仿宋_GB2312" w:cs="仿宋_GB2312"/>
          <w:kern w:val="2"/>
          <w:sz w:val="32"/>
          <w:szCs w:val="32"/>
          <w:lang w:val="en-US" w:eastAsia="zh-CN" w:bidi="ar"/>
        </w:rPr>
        <w:t>贡献率酌定为60%。</w:t>
      </w:r>
    </w:p>
    <w:p w14:paraId="46DF8F7F">
      <w:pPr>
        <w:pStyle w:val="2"/>
        <w:widowControl/>
        <w:spacing w:before="0" w:beforeLines="0" w:beforeAutospacing="0" w:after="0" w:afterLines="0" w:afterAutospacing="0" w:line="592" w:lineRule="exact"/>
        <w:ind w:left="0" w:right="0" w:firstLine="640" w:firstLineChars="200"/>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rPr>
        <w:t>最后，关于惩罚性赔偿倍数的确定问题。《最高人民法院关于审理侵害知识产权民事案件适用惩罚性赔偿的解释》第六条第一款规定，人民法院依法确定惩罚性赔偿的倍数时，应当综合考虑被告主观过错程度、侵权行为的情节严重程度等因素。本案中，广州跃某公司、陈某滔在签订协议后一年内再次实施被诉侵权行为，属于典型的恶意侵权，且销售数量及金额极大，给南京鑫某公司造成了较大损害。南京鑫某公司在赔偿基数的基础上主张2倍惩罚性赔偿，具有事实和法律依据，应予支持。据此，本院确定本案损害赔偿总额为：销售数量46864个×销售单价37.35元/个×利润率30%×外观设计贡献率60%×3=945200元。</w:t>
      </w:r>
    </w:p>
    <w:p w14:paraId="58FE6182">
      <w:pPr>
        <w:pStyle w:val="2"/>
        <w:widowControl/>
        <w:spacing w:before="0" w:beforeLines="0" w:beforeAutospacing="0" w:after="0" w:afterLines="0" w:afterAutospacing="0" w:line="592" w:lineRule="exact"/>
        <w:ind w:left="0" w:right="0" w:firstLine="620"/>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rPr>
        <w:t>关于合理维权费用，鉴于双方当事人已就发生在2020年9月28日前的侵权事实达成合作协议，故就南京鑫某公司在3020号公证书所涉的发生在2020年9月28日前的侵权事实支出的维权费用开支，本院不予支持。就南京鑫某公司对（2021）闽厦云证字第30086号公证书支出的公证费1800元、购物费57.82元以及律师费25000元，依法可予支持。综上，本院确定南京鑫某公司合理维权费用总计26858元。</w:t>
      </w:r>
    </w:p>
    <w:p w14:paraId="15004284">
      <w:pPr>
        <w:pStyle w:val="2"/>
        <w:widowControl/>
        <w:spacing w:before="0" w:beforeLines="0" w:beforeAutospacing="0" w:after="0" w:afterLines="0" w:afterAutospacing="0" w:line="592" w:lineRule="exact"/>
        <w:ind w:left="0" w:right="0" w:firstLine="640" w:firstLineChars="200"/>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rPr>
        <w:t>需要指出的是，虽然惩罚性赔偿需要以确定的赔偿基数为前提，但是对于赔偿基数的计算精度不宜作过于严苛的要求，可以根据现有证据裁量确定合理的赔偿基数。一审判决对权利人的惩罚性赔偿请求的举证责任苛责过高，不利于对专利权人的充分保护。此外，当事人之间对再次侵权赔偿责任的约定，系对侵权人再次侵权的一种惩罚性措施。在一方当事人事后再次侵权且侵权获利明显高于双方约定的赔偿数额的情况下，若仍按双方之前约定的标准确定赔偿责任，无异于变相鼓励侵权人再次侵权，也有悖于双方约定时的根本目的，不利于打击重复恶意侵权行为。</w:t>
      </w:r>
    </w:p>
    <w:p w14:paraId="07F5B513">
      <w:pPr>
        <w:keepNext w:val="0"/>
        <w:keepLines w:val="0"/>
        <w:widowControl w:val="0"/>
        <w:suppressLineNumbers w:val="0"/>
        <w:spacing w:before="0" w:beforeLines="0" w:beforeAutospacing="0" w:after="0" w:afterLines="0" w:afterAutospacing="0" w:line="592" w:lineRule="exact"/>
        <w:ind w:left="0" w:right="0" w:firstLine="640" w:firstLineChars="200"/>
        <w:jc w:val="both"/>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bidi="ar"/>
        </w:rPr>
        <w:t>综上，南京鑫某公司的上诉请求</w:t>
      </w:r>
      <w:r>
        <w:rPr>
          <w:rFonts w:hint="eastAsia" w:ascii="仿宋_GB2312" w:hAnsi="Calibri" w:eastAsia="仿宋_GB2312" w:cs="仿宋_GB2312"/>
          <w:kern w:val="2"/>
          <w:sz w:val="32"/>
          <w:szCs w:val="32"/>
          <w:lang w:val="en-US" w:eastAsia="zh-CN" w:bidi="ar"/>
        </w:rPr>
        <w:t>部分</w:t>
      </w:r>
      <w:r>
        <w:rPr>
          <w:rFonts w:hint="eastAsia" w:ascii="仿宋_GB2312" w:hAnsi="Times New Roman" w:eastAsia="仿宋_GB2312" w:cs="仿宋_GB2312"/>
          <w:kern w:val="2"/>
          <w:sz w:val="32"/>
          <w:szCs w:val="32"/>
          <w:lang w:val="en-US" w:eastAsia="zh-CN" w:bidi="ar"/>
        </w:rPr>
        <w:t>成立，</w:t>
      </w:r>
      <w:r>
        <w:rPr>
          <w:rFonts w:hint="eastAsia" w:ascii="仿宋_GB2312" w:hAnsi="Calibri" w:eastAsia="仿宋_GB2312" w:cs="仿宋_GB2312"/>
          <w:kern w:val="2"/>
          <w:sz w:val="32"/>
          <w:szCs w:val="32"/>
          <w:lang w:val="en-US" w:eastAsia="zh-CN" w:bidi="ar"/>
        </w:rPr>
        <w:t>应</w:t>
      </w:r>
      <w:r>
        <w:rPr>
          <w:rFonts w:hint="eastAsia" w:ascii="仿宋_GB2312" w:hAnsi="Times New Roman" w:eastAsia="仿宋_GB2312" w:cs="仿宋_GB2312"/>
          <w:kern w:val="2"/>
          <w:sz w:val="32"/>
          <w:szCs w:val="32"/>
          <w:lang w:val="en-US" w:eastAsia="zh-CN" w:bidi="ar"/>
        </w:rPr>
        <w:t>予支持。一审判决认定基本事实清楚，但在是否适用惩罚性赔偿问题上存在不当</w:t>
      </w:r>
      <w:r>
        <w:rPr>
          <w:rFonts w:hint="eastAsia" w:ascii="仿宋_GB2312" w:hAnsi="Calibri" w:eastAsia="仿宋_GB2312" w:cs="仿宋_GB2312"/>
          <w:kern w:val="2"/>
          <w:sz w:val="32"/>
          <w:szCs w:val="32"/>
          <w:lang w:val="en-US" w:eastAsia="zh-CN" w:bidi="ar"/>
        </w:rPr>
        <w:t>，应予改判。</w:t>
      </w:r>
      <w:r>
        <w:rPr>
          <w:rFonts w:hint="eastAsia" w:ascii="仿宋_GB2312" w:hAnsi="Times New Roman" w:eastAsia="仿宋_GB2312" w:cs="仿宋_GB2312"/>
          <w:kern w:val="2"/>
          <w:sz w:val="32"/>
          <w:szCs w:val="32"/>
          <w:lang w:val="en-US" w:eastAsia="zh-CN" w:bidi="ar"/>
        </w:rPr>
        <w:t>依照《中华人民共和国专利法》第七十一条第一款、《最高人民法院关于审理侵害知识产权民事案件适用惩罚性赔偿的解释》第三条、第四条、第六条第一款，《中华人民共和国民事诉讼法》第一百七十七条第一款第二项规定，判决</w:t>
      </w:r>
      <w:r>
        <w:rPr>
          <w:rFonts w:hint="eastAsia" w:ascii="仿宋_GB2312" w:hAnsi="Calibri" w:eastAsia="仿宋_GB2312" w:cs="仿宋_GB2312"/>
          <w:kern w:val="2"/>
          <w:sz w:val="32"/>
          <w:szCs w:val="32"/>
          <w:lang w:val="en-US" w:eastAsia="zh-CN" w:bidi="ar"/>
        </w:rPr>
        <w:t>如下</w:t>
      </w:r>
      <w:r>
        <w:rPr>
          <w:rFonts w:hint="eastAsia" w:ascii="仿宋_GB2312" w:hAnsi="Times New Roman" w:eastAsia="仿宋_GB2312" w:cs="仿宋_GB2312"/>
          <w:kern w:val="2"/>
          <w:sz w:val="32"/>
          <w:szCs w:val="32"/>
          <w:lang w:val="en-US" w:eastAsia="zh-CN" w:bidi="ar"/>
        </w:rPr>
        <w:t>：</w:t>
      </w:r>
    </w:p>
    <w:p w14:paraId="5BABDF49">
      <w:pPr>
        <w:pStyle w:val="2"/>
        <w:widowControl/>
        <w:numPr>
          <w:ilvl w:val="0"/>
          <w:numId w:val="1"/>
        </w:numPr>
        <w:spacing w:before="0" w:beforeLines="0" w:beforeAutospacing="0" w:after="0" w:afterLines="0" w:afterAutospacing="0" w:line="592" w:lineRule="exact"/>
        <w:ind w:left="0" w:right="0"/>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rPr>
        <w:t>维持浙江省杭州市中级人民法院（2023）浙01民初519号民事判决第一项；</w:t>
      </w:r>
    </w:p>
    <w:p w14:paraId="4DDF90D0">
      <w:pPr>
        <w:pStyle w:val="2"/>
        <w:widowControl/>
        <w:numPr>
          <w:ilvl w:val="0"/>
          <w:numId w:val="1"/>
        </w:numPr>
        <w:spacing w:before="0" w:beforeLines="0" w:beforeAutospacing="0" w:after="0" w:afterLines="0" w:afterAutospacing="0" w:line="592" w:lineRule="exact"/>
        <w:ind w:left="0" w:right="0"/>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rPr>
        <w:t>撤销浙江省杭州市中级人民法院（2023）浙01民初519号民事判决第二项；</w:t>
      </w:r>
    </w:p>
    <w:p w14:paraId="5E0F4E89">
      <w:pPr>
        <w:pStyle w:val="2"/>
        <w:widowControl/>
        <w:numPr>
          <w:ilvl w:val="0"/>
          <w:numId w:val="1"/>
        </w:numPr>
        <w:spacing w:before="0" w:beforeLines="0" w:beforeAutospacing="0" w:after="0" w:afterLines="0" w:afterAutospacing="0" w:line="592" w:lineRule="exact"/>
        <w:ind w:left="0" w:right="0"/>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rPr>
        <w:t>撤销浙江省杭州市中级人民法院（2023）浙01民初519号民事判决第三项；</w:t>
      </w:r>
    </w:p>
    <w:p w14:paraId="41B18EA6">
      <w:pPr>
        <w:pStyle w:val="2"/>
        <w:widowControl/>
        <w:numPr>
          <w:ilvl w:val="0"/>
          <w:numId w:val="1"/>
        </w:numPr>
        <w:spacing w:before="0" w:beforeLines="0" w:beforeAutospacing="0" w:after="0" w:afterLines="0" w:afterAutospacing="0" w:line="592" w:lineRule="exact"/>
        <w:ind w:left="0" w:right="0"/>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rPr>
        <w:t>广州跃某信息科技有限公司、陈某滔于本判决送达后十日内连带赔偿南京鑫某动漫产业有限公司经济损失945200元；</w:t>
      </w:r>
    </w:p>
    <w:p w14:paraId="45D941A9">
      <w:pPr>
        <w:pStyle w:val="2"/>
        <w:widowControl/>
        <w:spacing w:before="0" w:beforeLines="0" w:beforeAutospacing="0" w:after="0" w:afterLines="0" w:afterAutospacing="0" w:line="592" w:lineRule="exact"/>
        <w:ind w:left="0" w:right="0" w:firstLine="640" w:firstLineChars="200"/>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rPr>
        <w:t>五、广州跃某信息科技有限公司、陈某滔于本判决送达后十日内连带赔偿南京鑫某动漫产业有限公司合理维权费用26858元；</w:t>
      </w:r>
    </w:p>
    <w:p w14:paraId="63EF9D81">
      <w:pPr>
        <w:pStyle w:val="2"/>
        <w:widowControl/>
        <w:spacing w:before="0" w:beforeLines="0" w:beforeAutospacing="0" w:after="0" w:afterLines="0" w:afterAutospacing="0" w:line="592" w:lineRule="exact"/>
        <w:ind w:left="0" w:right="0"/>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rPr>
        <w:t>六、驳回南京鑫某动漫产业有限公司的其他诉讼请求。</w:t>
      </w:r>
    </w:p>
    <w:p w14:paraId="6CDFE28F">
      <w:pPr>
        <w:pStyle w:val="2"/>
        <w:widowControl/>
        <w:spacing w:before="0" w:beforeLines="0" w:beforeAutospacing="0" w:after="0" w:afterLines="0" w:afterAutospacing="0" w:line="592" w:lineRule="exact"/>
        <w:ind w:left="0" w:right="0"/>
        <w:rPr>
          <w:rFonts w:hint="eastAsia" w:ascii="仿宋_GB2312" w:hAnsi="Times New Roman" w:eastAsia="仿宋_GB2312" w:cs="仿宋_GB2312"/>
          <w:kern w:val="2"/>
          <w:sz w:val="32"/>
          <w:szCs w:val="32"/>
        </w:rPr>
      </w:pPr>
      <w:r>
        <w:rPr>
          <w:rFonts w:hint="eastAsia" w:ascii="仿宋_GB2312" w:hAnsi="Times New Roman" w:eastAsia="仿宋_GB2312" w:cs="仿宋_GB2312"/>
          <w:kern w:val="2"/>
          <w:sz w:val="32"/>
          <w:szCs w:val="32"/>
        </w:rPr>
        <w:t>如果未按本判决指定的期间履行给付金钱义务，应当依照《中华人民共和国民事诉讼法》第二百六十四条之规定，加倍支付迟延履行期间的债务利息。</w:t>
      </w:r>
    </w:p>
    <w:p w14:paraId="5859D696">
      <w:pPr>
        <w:pStyle w:val="2"/>
        <w:widowControl/>
        <w:spacing w:before="0" w:beforeLines="0" w:beforeAutospacing="0" w:after="0" w:afterLines="0" w:afterAutospacing="0" w:line="592" w:lineRule="exact"/>
        <w:ind w:left="0" w:right="0"/>
        <w:rPr>
          <w:rFonts w:hint="eastAsia" w:ascii="仿宋_GB2312" w:hAnsi="Times New Roman" w:eastAsia="仿宋_GB2312" w:cs="仿宋_GB2312"/>
          <w:kern w:val="2"/>
          <w:sz w:val="32"/>
          <w:szCs w:val="32"/>
        </w:rPr>
      </w:pPr>
      <w:r>
        <w:rPr>
          <w:rFonts w:hint="eastAsia" w:ascii="仿宋_GB2312" w:hAnsi="宋体" w:eastAsia="仿宋_GB2312" w:cs="仿宋_GB2312"/>
          <w:kern w:val="2"/>
          <w:sz w:val="32"/>
          <w:szCs w:val="32"/>
        </w:rPr>
        <w:t>一审案件受理费46800元，由南京鑫某动漫产业有限公司负担15052元，广州跃某信息科技有限公司、陈某滔负担31748元；</w:t>
      </w:r>
      <w:r>
        <w:rPr>
          <w:rFonts w:hint="eastAsia" w:ascii="仿宋_GB2312" w:hAnsi="Times New Roman" w:eastAsia="仿宋_GB2312" w:cs="仿宋_GB2312"/>
          <w:kern w:val="2"/>
          <w:sz w:val="32"/>
          <w:szCs w:val="32"/>
        </w:rPr>
        <w:t>二审案件</w:t>
      </w:r>
      <w:r>
        <w:rPr>
          <w:rFonts w:hint="eastAsia" w:ascii="仿宋_GB2312" w:hAnsi="宋体" w:eastAsia="仿宋_GB2312" w:cs="仿宋_GB2312"/>
          <w:kern w:val="2"/>
          <w:sz w:val="32"/>
          <w:szCs w:val="32"/>
        </w:rPr>
        <w:t>受理费28598元，由南京鑫某动漫产业有限公司</w:t>
      </w:r>
      <w:r>
        <w:rPr>
          <w:rFonts w:hint="eastAsia" w:ascii="仿宋_GB2312" w:hAnsi="Times New Roman" w:eastAsia="仿宋_GB2312" w:cs="仿宋_GB2312"/>
          <w:kern w:val="2"/>
          <w:sz w:val="32"/>
          <w:szCs w:val="32"/>
        </w:rPr>
        <w:t>负担9198元，由广州跃某信息科技有限公司、陈某滔负担19400元。</w:t>
      </w:r>
    </w:p>
    <w:p w14:paraId="6747EB52">
      <w:pPr>
        <w:keepNext w:val="0"/>
        <w:keepLines w:val="0"/>
        <w:widowControl w:val="0"/>
        <w:suppressLineNumbers w:val="0"/>
        <w:spacing w:before="0" w:beforeLines="0" w:beforeAutospacing="0" w:after="0" w:afterLines="0" w:afterAutospacing="0" w:line="592" w:lineRule="exac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本判决为终审判决。</w:t>
      </w:r>
    </w:p>
    <w:p w14:paraId="2AE36A11">
      <w:pPr>
        <w:pStyle w:val="2"/>
        <w:widowControl/>
        <w:spacing w:before="0" w:beforeLines="0" w:beforeAutospacing="0" w:after="0" w:afterLines="0" w:afterAutospacing="0"/>
        <w:ind w:left="0" w:right="0" w:firstLine="0" w:firstLineChars="0"/>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 xml:space="preserve"> </w:t>
      </w:r>
    </w:p>
    <w:p w14:paraId="43BA4932">
      <w:pPr>
        <w:pStyle w:val="2"/>
        <w:widowControl/>
        <w:spacing w:before="0" w:beforeLines="0" w:beforeAutospacing="0" w:after="0" w:afterLines="0" w:afterAutospacing="0"/>
        <w:ind w:left="0" w:right="0"/>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 xml:space="preserve"> </w:t>
      </w:r>
    </w:p>
    <w:p w14:paraId="1DD900CF">
      <w:pPr>
        <w:pStyle w:val="2"/>
        <w:widowControl/>
        <w:spacing w:before="0" w:beforeLines="0" w:beforeAutospacing="0" w:after="0" w:afterLines="0" w:afterAutospacing="0"/>
        <w:ind w:left="0" w:right="0"/>
        <w:rPr>
          <w:rFonts w:hint="default" w:ascii="Times New Roman" w:hAnsi="Times New Roman" w:eastAsia="仿宋_GB2312" w:cs="Times New Roman"/>
          <w:kern w:val="2"/>
          <w:sz w:val="32"/>
          <w:szCs w:val="32"/>
        </w:rPr>
      </w:pPr>
    </w:p>
    <w:p w14:paraId="5D2171EF">
      <w:pPr>
        <w:pStyle w:val="2"/>
        <w:widowControl/>
        <w:spacing w:before="0" w:beforeLines="0" w:beforeAutospacing="0" w:after="0" w:afterLines="0" w:afterAutospacing="0"/>
        <w:ind w:left="0" w:right="0"/>
        <w:rPr>
          <w:rFonts w:hint="default" w:ascii="Times New Roman" w:hAnsi="Times New Roman" w:eastAsia="仿宋_GB2312" w:cs="Times New Roman"/>
          <w:kern w:val="2"/>
          <w:sz w:val="32"/>
          <w:szCs w:val="32"/>
        </w:rPr>
      </w:pPr>
    </w:p>
    <w:p w14:paraId="60FF9B68">
      <w:pPr>
        <w:pStyle w:val="2"/>
        <w:widowControl/>
        <w:spacing w:before="0" w:beforeLines="0" w:beforeAutospacing="0" w:after="0" w:afterLines="0" w:afterAutospacing="0"/>
        <w:ind w:left="0" w:right="0"/>
        <w:rPr>
          <w:rFonts w:hint="default" w:ascii="Times New Roman" w:hAnsi="Times New Roman" w:eastAsia="仿宋_GB2312" w:cs="Times New Roman"/>
          <w:kern w:val="2"/>
          <w:sz w:val="32"/>
          <w:szCs w:val="32"/>
        </w:rPr>
      </w:pPr>
    </w:p>
    <w:p w14:paraId="6DD80C23">
      <w:pPr>
        <w:pStyle w:val="2"/>
        <w:widowControl/>
        <w:spacing w:before="0" w:beforeLines="0" w:beforeAutospacing="0" w:after="0" w:afterLines="0" w:afterAutospacing="0"/>
        <w:ind w:left="0" w:right="0"/>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 xml:space="preserve"> </w:t>
      </w:r>
    </w:p>
    <w:p w14:paraId="64507157">
      <w:pPr>
        <w:keepNext w:val="0"/>
        <w:keepLines w:val="0"/>
        <w:widowControl w:val="0"/>
        <w:suppressLineNumbers w:val="0"/>
        <w:overflowPunct w:val="0"/>
        <w:autoSpaceDE w:val="0"/>
        <w:autoSpaceDN w:val="0"/>
        <w:spacing w:before="0" w:beforeLines="0" w:beforeAutospacing="0" w:after="0" w:afterLines="0" w:afterAutospacing="0" w:line="560" w:lineRule="exact"/>
        <w:ind w:left="0" w:right="0" w:firstLine="640" w:firstLineChars="200"/>
        <w:jc w:val="right"/>
        <w:rPr>
          <w:rFonts w:hint="eastAsia" w:ascii="Times New Roman"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bidi="ar"/>
        </w:rPr>
        <w:t>审</w:t>
      </w:r>
      <w:r>
        <w:rPr>
          <w:rFonts w:hint="eastAsia" w:ascii="Times New Roman" w:hAnsi="Times New Roman" w:eastAsia="仿宋_GB2312" w:cs="仿宋_GB2312"/>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判</w:t>
      </w:r>
      <w:r>
        <w:rPr>
          <w:rFonts w:hint="eastAsia" w:ascii="Times New Roman" w:hAnsi="Times New Roman" w:eastAsia="仿宋_GB2312" w:cs="仿宋_GB2312"/>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长</w:t>
      </w:r>
      <w:r>
        <w:rPr>
          <w:rFonts w:hint="eastAsia" w:ascii="Times New Roman" w:hAnsi="Times New Roman" w:eastAsia="仿宋_GB2312" w:cs="仿宋_GB2312"/>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黄</w:t>
      </w:r>
      <w:r>
        <w:rPr>
          <w:rFonts w:hint="eastAsia" w:ascii="Times New Roman" w:hAnsi="Times New Roman" w:eastAsia="仿宋_GB2312" w:cs="仿宋_GB2312"/>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金</w:t>
      </w:r>
      <w:r>
        <w:rPr>
          <w:rFonts w:hint="eastAsia" w:ascii="Times New Roman" w:hAnsi="Times New Roman" w:eastAsia="仿宋_GB2312" w:cs="仿宋_GB2312"/>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富</w:t>
      </w:r>
    </w:p>
    <w:p w14:paraId="677123AE">
      <w:pPr>
        <w:keepNext w:val="0"/>
        <w:keepLines w:val="0"/>
        <w:widowControl w:val="0"/>
        <w:suppressLineNumbers w:val="0"/>
        <w:overflowPunct w:val="0"/>
        <w:autoSpaceDE w:val="0"/>
        <w:autoSpaceDN w:val="0"/>
        <w:spacing w:before="0" w:beforeLines="0" w:beforeAutospacing="0" w:after="0" w:afterLines="0" w:afterAutospacing="0" w:line="560" w:lineRule="exact"/>
        <w:ind w:left="0" w:right="0" w:firstLine="640" w:firstLineChars="200"/>
        <w:jc w:val="right"/>
        <w:rPr>
          <w:rFonts w:hint="eastAsia" w:ascii="Times New Roman"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bidi="ar"/>
        </w:rPr>
        <w:t>审</w:t>
      </w:r>
      <w:r>
        <w:rPr>
          <w:rFonts w:hint="eastAsia" w:ascii="Times New Roman" w:hAnsi="Times New Roman" w:eastAsia="仿宋_GB2312" w:cs="仿宋_GB2312"/>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判</w:t>
      </w:r>
      <w:r>
        <w:rPr>
          <w:rFonts w:hint="eastAsia" w:ascii="Times New Roman" w:hAnsi="Times New Roman" w:eastAsia="仿宋_GB2312" w:cs="仿宋_GB2312"/>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员</w:t>
      </w:r>
      <w:r>
        <w:rPr>
          <w:rFonts w:hint="eastAsia" w:ascii="Times New Roman" w:hAnsi="Times New Roman" w:eastAsia="仿宋_GB2312" w:cs="仿宋_GB2312"/>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周</w:t>
      </w:r>
      <w:r>
        <w:rPr>
          <w:rFonts w:hint="eastAsia" w:ascii="Times New Roman" w:hAnsi="Times New Roman" w:eastAsia="仿宋_GB2312" w:cs="仿宋_GB2312"/>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平</w:t>
      </w:r>
    </w:p>
    <w:p w14:paraId="3152E1A5">
      <w:pPr>
        <w:keepNext w:val="0"/>
        <w:keepLines w:val="0"/>
        <w:widowControl w:val="0"/>
        <w:suppressLineNumbers w:val="0"/>
        <w:overflowPunct w:val="0"/>
        <w:autoSpaceDE w:val="0"/>
        <w:autoSpaceDN w:val="0"/>
        <w:spacing w:before="0" w:beforeLines="0" w:beforeAutospacing="0" w:after="0" w:afterLines="0" w:afterAutospacing="0" w:line="560" w:lineRule="exact"/>
        <w:ind w:left="0" w:right="0" w:firstLine="640" w:firstLineChars="200"/>
        <w:jc w:val="right"/>
        <w:rPr>
          <w:rFonts w:hint="eastAsia" w:ascii="Times New Roman"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bidi="ar"/>
        </w:rPr>
        <w:t>审</w:t>
      </w:r>
      <w:r>
        <w:rPr>
          <w:rFonts w:hint="eastAsia" w:ascii="Times New Roman" w:hAnsi="Times New Roman" w:eastAsia="仿宋_GB2312" w:cs="仿宋_GB2312"/>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判</w:t>
      </w:r>
      <w:r>
        <w:rPr>
          <w:rFonts w:hint="eastAsia" w:ascii="Times New Roman" w:hAnsi="Times New Roman" w:eastAsia="仿宋_GB2312" w:cs="仿宋_GB2312"/>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员</w:t>
      </w:r>
      <w:r>
        <w:rPr>
          <w:rFonts w:hint="eastAsia" w:ascii="Times New Roman" w:hAnsi="Times New Roman" w:eastAsia="仿宋_GB2312" w:cs="仿宋_GB2312"/>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郭</w:t>
      </w:r>
      <w:r>
        <w:rPr>
          <w:rFonts w:hint="eastAsia" w:ascii="Times New Roman" w:hAnsi="Times New Roman" w:eastAsia="仿宋_GB2312" w:cs="仿宋_GB2312"/>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剑</w:t>
      </w:r>
      <w:r>
        <w:rPr>
          <w:rFonts w:hint="eastAsia" w:ascii="Times New Roman" w:hAnsi="Times New Roman" w:eastAsia="仿宋_GB2312" w:cs="仿宋_GB2312"/>
          <w:kern w:val="2"/>
          <w:sz w:val="32"/>
          <w:szCs w:val="32"/>
          <w:lang w:val="en-US" w:eastAsia="zh-CN" w:bidi="ar"/>
        </w:rPr>
        <w:t xml:space="preserve">  </w:t>
      </w:r>
      <w:r>
        <w:rPr>
          <w:rFonts w:hint="eastAsia" w:ascii="仿宋_GB2312" w:hAnsi="Times New Roman" w:eastAsia="仿宋_GB2312" w:cs="仿宋_GB2312"/>
          <w:kern w:val="2"/>
          <w:sz w:val="32"/>
          <w:szCs w:val="32"/>
          <w:lang w:val="en-US" w:eastAsia="zh-CN" w:bidi="ar"/>
        </w:rPr>
        <w:t>霞</w:t>
      </w:r>
      <w:r>
        <w:rPr>
          <w:rFonts w:hint="eastAsia" w:ascii="Times New Roman" w:hAnsi="Times New Roman" w:eastAsia="仿宋_GB2312" w:cs="仿宋_GB2312"/>
          <w:kern w:val="2"/>
          <w:sz w:val="32"/>
          <w:szCs w:val="32"/>
          <w:lang w:val="en-US" w:eastAsia="zh-CN" w:bidi="ar"/>
        </w:rPr>
        <w:t xml:space="preserve">   </w:t>
      </w:r>
    </w:p>
    <w:p w14:paraId="6FEE2F47">
      <w:pPr>
        <w:keepNext w:val="0"/>
        <w:keepLines w:val="0"/>
        <w:widowControl w:val="0"/>
        <w:suppressLineNumbers w:val="0"/>
        <w:overflowPunct w:val="0"/>
        <w:autoSpaceDE w:val="0"/>
        <w:autoSpaceDN w:val="0"/>
        <w:spacing w:before="0" w:beforeLines="0" w:beforeAutospacing="0" w:after="0" w:afterLines="0" w:afterAutospacing="0" w:line="560" w:lineRule="exact"/>
        <w:ind w:left="0" w:right="0" w:firstLine="640" w:firstLineChars="200"/>
        <w:jc w:val="both"/>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lang w:val="en-US" w:eastAsia="zh-CN" w:bidi="ar"/>
        </w:rPr>
        <w:t xml:space="preserve"> </w:t>
      </w:r>
    </w:p>
    <w:p w14:paraId="7619B243">
      <w:pPr>
        <w:keepNext w:val="0"/>
        <w:keepLines w:val="0"/>
        <w:widowControl w:val="0"/>
        <w:suppressLineNumbers w:val="0"/>
        <w:overflowPunct w:val="0"/>
        <w:autoSpaceDE w:val="0"/>
        <w:autoSpaceDN w:val="0"/>
        <w:spacing w:before="0" w:beforeLines="0" w:beforeAutospacing="0" w:after="0" w:afterLines="0" w:afterAutospacing="0" w:line="560" w:lineRule="exact"/>
        <w:ind w:left="0" w:right="0" w:firstLine="640" w:firstLineChars="200"/>
        <w:jc w:val="both"/>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lang w:val="en-US" w:eastAsia="zh-CN" w:bidi="ar"/>
        </w:rPr>
        <w:t xml:space="preserve"> </w:t>
      </w:r>
    </w:p>
    <w:p w14:paraId="57D59D21">
      <w:pPr>
        <w:keepNext w:val="0"/>
        <w:keepLines w:val="0"/>
        <w:widowControl w:val="0"/>
        <w:suppressLineNumbers w:val="0"/>
        <w:overflowPunct w:val="0"/>
        <w:autoSpaceDE w:val="0"/>
        <w:autoSpaceDN w:val="0"/>
        <w:spacing w:before="0" w:beforeLines="0" w:beforeAutospacing="0" w:after="0" w:afterLines="0" w:afterAutospacing="0" w:line="560" w:lineRule="exact"/>
        <w:ind w:left="0" w:right="0" w:firstLine="640" w:firstLineChars="200"/>
        <w:jc w:val="both"/>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lang w:val="en-US" w:eastAsia="zh-CN" w:bidi="ar"/>
        </w:rPr>
        <w:t xml:space="preserve"> </w:t>
      </w:r>
    </w:p>
    <w:p w14:paraId="65656EA3">
      <w:pPr>
        <w:keepNext w:val="0"/>
        <w:keepLines w:val="0"/>
        <w:widowControl w:val="0"/>
        <w:suppressLineNumbers w:val="0"/>
        <w:overflowPunct w:val="0"/>
        <w:autoSpaceDE w:val="0"/>
        <w:autoSpaceDN w:val="0"/>
        <w:spacing w:before="0" w:beforeLines="0" w:beforeAutospacing="0" w:after="0" w:afterLines="0" w:afterAutospacing="0" w:line="560" w:lineRule="exact"/>
        <w:ind w:left="0" w:right="0" w:firstLine="640" w:firstLineChars="200"/>
        <w:jc w:val="both"/>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lang w:val="en-US" w:eastAsia="zh-CN" w:bidi="ar"/>
        </w:rPr>
        <w:t xml:space="preserve"> </w:t>
      </w:r>
    </w:p>
    <w:p w14:paraId="254376B3">
      <w:pPr>
        <w:keepNext w:val="0"/>
        <w:keepLines w:val="0"/>
        <w:widowControl w:val="0"/>
        <w:suppressLineNumbers w:val="0"/>
        <w:overflowPunct w:val="0"/>
        <w:autoSpaceDE w:val="0"/>
        <w:autoSpaceDN w:val="0"/>
        <w:spacing w:before="0" w:beforeLines="0" w:beforeAutospacing="0" w:after="0" w:afterLines="0" w:afterAutospacing="0" w:line="560" w:lineRule="exact"/>
        <w:ind w:left="0" w:right="0" w:firstLine="5296" w:firstLineChars="1655"/>
        <w:jc w:val="distribute"/>
        <w:rPr>
          <w:rFonts w:hint="eastAsia" w:ascii="Times New Roman" w:hAnsi="Times New Roman" w:eastAsia="仿宋_GB2312" w:cs="仿宋_GB2312"/>
          <w:kern w:val="2"/>
          <w:sz w:val="32"/>
          <w:szCs w:val="32"/>
        </w:rPr>
      </w:pPr>
      <w:r>
        <w:rPr>
          <w:rFonts w:hint="eastAsia" w:ascii="仿宋_GB2312" w:hAnsi="Times New Roman" w:eastAsia="仿宋_GB2312" w:cs="仿宋_GB2312"/>
          <w:kern w:val="2"/>
          <w:sz w:val="32"/>
          <w:szCs w:val="32"/>
          <w:lang w:val="en-US" w:eastAsia="zh-CN" w:bidi="ar"/>
        </w:rPr>
        <w:t>二○二四年六月三日</w:t>
      </w:r>
    </w:p>
    <w:p w14:paraId="127A7A2B">
      <w:pPr>
        <w:keepNext w:val="0"/>
        <w:keepLines w:val="0"/>
        <w:widowControl w:val="0"/>
        <w:suppressLineNumbers w:val="0"/>
        <w:overflowPunct w:val="0"/>
        <w:autoSpaceDE w:val="0"/>
        <w:autoSpaceDN w:val="0"/>
        <w:spacing w:before="0" w:beforeLines="0" w:beforeAutospacing="0" w:after="0" w:afterLines="0" w:afterAutospacing="0" w:line="560" w:lineRule="exact"/>
        <w:ind w:left="0" w:right="0" w:firstLine="5296" w:firstLineChars="1655"/>
        <w:jc w:val="distribute"/>
        <w:rPr>
          <w:rFonts w:hint="default" w:ascii="Times New Roman" w:hAnsi="Times New Roman" w:eastAsia="仿宋_GB2312" w:cs="Times New Roman"/>
          <w:kern w:val="2"/>
          <w:sz w:val="32"/>
          <w:szCs w:val="32"/>
        </w:rPr>
      </w:pPr>
      <w:r>
        <w:rPr>
          <w:rFonts w:hint="eastAsia" w:ascii="Times New Roman" w:hAnsi="Times New Roman" w:eastAsia="仿宋_GB2312" w:cs="仿宋_GB2312"/>
          <w:kern w:val="2"/>
          <w:sz w:val="32"/>
          <w:szCs w:val="32"/>
          <w:lang w:val="en-US" w:eastAsia="zh-CN" w:bidi="ar"/>
        </w:rPr>
        <w:t xml:space="preserve">      </w:t>
      </w:r>
      <w:r>
        <w:rPr>
          <w:rFonts w:hint="default" w:ascii="Times New Roman" w:hAnsi="Times New Roman" w:eastAsia="仿宋_GB2312" w:cs="Times New Roman"/>
          <w:kern w:val="2"/>
          <w:sz w:val="32"/>
          <w:szCs w:val="32"/>
          <w:lang w:val="en-US" w:eastAsia="zh-CN" w:bidi="ar"/>
        </w:rPr>
        <w:t xml:space="preserve">                 </w:t>
      </w:r>
    </w:p>
    <w:p w14:paraId="47F73D6D">
      <w:pPr>
        <w:keepNext w:val="0"/>
        <w:keepLines w:val="0"/>
        <w:widowControl w:val="0"/>
        <w:suppressLineNumbers w:val="0"/>
        <w:overflowPunct w:val="0"/>
        <w:autoSpaceDE w:val="0"/>
        <w:autoSpaceDN w:val="0"/>
        <w:spacing w:before="0" w:beforeLines="0" w:beforeAutospacing="0" w:after="0" w:afterLines="0" w:afterAutospacing="0" w:line="540" w:lineRule="exact"/>
        <w:ind w:left="0" w:right="0" w:firstLine="640" w:firstLineChars="200"/>
        <w:jc w:val="right"/>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书  记  员    卓      尔</w:t>
      </w:r>
    </w:p>
    <w:p w14:paraId="3CAD0FF1"/>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DC73DA"/>
    <w:multiLevelType w:val="multilevel"/>
    <w:tmpl w:val="7FDC73DA"/>
    <w:lvl w:ilvl="0" w:tentative="0">
      <w:start w:val="1"/>
      <w:numFmt w:val="chineseCounting"/>
      <w:suff w:val="nothing"/>
      <w:lvlText w:val="%1、"/>
      <w:lvlJc w:val="left"/>
      <w:pPr>
        <w:tabs>
          <w:tab w:val="left" w:pos="0"/>
        </w:tabs>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DFEF6BBA"/>
    <w:rsid w:val="533C3871"/>
    <w:rsid w:val="DFEF6BB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Style w:val="3"/>
      <w:tblCellMar>
        <w:top w:w="0" w:type="dxa"/>
        <w:left w:w="108" w:type="dxa"/>
        <w:bottom w:w="0" w:type="dxa"/>
        <w:right w:w="108" w:type="dxa"/>
      </w:tblCellMar>
    </w:tblPr>
  </w:style>
  <w:style w:type="paragraph" w:styleId="2">
    <w:name w:val="Body Text First Indent 2"/>
    <w:basedOn w:val="1"/>
    <w:uiPriority w:val="0"/>
    <w:pPr>
      <w:keepNext w:val="0"/>
      <w:keepLines w:val="0"/>
      <w:widowControl w:val="0"/>
      <w:suppressLineNumbers w:val="0"/>
      <w:spacing w:beforeLines="0" w:beforeAutospacing="0" w:afterLines="0" w:afterAutospacing="0"/>
      <w:ind w:firstLine="880" w:firstLineChars="200"/>
      <w:jc w:val="both"/>
    </w:pPr>
    <w:rPr>
      <w:rFonts w:hint="default" w:ascii="Times New Roman" w:hAnsi="Times New Roman" w:eastAsia="宋体" w:cs="Times New Roman"/>
      <w:kern w:val="2"/>
      <w:sz w:val="21"/>
      <w:szCs w:val="21"/>
      <w:lang w:val="en-US" w:eastAsia="zh-CN" w:bidi="ar"/>
    </w:rPr>
  </w:style>
  <w:style w:type="character" w:customStyle="1" w:styleId="5">
    <w:name w:val="10"/>
    <w:basedOn w:val="4"/>
    <w:uiPriority w:val="0"/>
    <w:rPr>
      <w:rFonts w:hint="default" w:ascii="Times New Roman" w:hAnsi="Times New Roman" w:eastAsia="宋体" w:cs="Times New Roman"/>
      <w:sz w:val="24"/>
      <w:szCs w:val="24"/>
    </w:rPr>
  </w:style>
  <w:style w:type="character" w:customStyle="1" w:styleId="6">
    <w:name w:val="15"/>
    <w:basedOn w:val="4"/>
    <w:uiPriority w:val="0"/>
    <w:rPr>
      <w:rFonts w:hint="default" w:ascii="Times New Roman" w:hAnsi="Times New Roman" w:eastAsia="宋体" w:cs="Times New Roman"/>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30</Pages>
  <Words>0</Words>
  <Characters>0</Characters>
  <Lines>1</Lines>
  <Paragraphs>1</Paragraphs>
  <TotalTime>2.33333333333333</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2026-06-30T16:12:00Z</dcterms:created>
  <dc:creator>王莉莉</dc:creator>
  <cp:lastModifiedBy>Laurent</cp:lastModifiedBy>
  <dcterms:modified xsi:type="dcterms:W3CDTF">2026-07-18T05:48:52Z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314F727F6C474C2D820571DFA45D2864_13</vt:lpwstr>
  </property>
</Properties>
</file>