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DBEA8">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0DD768E9">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7DCA26E5">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273180F8">
      <w:pPr>
        <w:keepNext w:val="0"/>
        <w:keepLines w:val="0"/>
        <w:widowControl w:val="0"/>
        <w:suppressLineNumbers w:val="0"/>
        <w:spacing w:before="0" w:beforeAutospacing="0" w:after="0" w:afterAutospacing="0" w:line="360" w:lineRule="exact"/>
        <w:ind w:right="0" w:firstLine="4800" w:firstLineChars="1500"/>
        <w:jc w:val="both"/>
        <w:rPr>
          <w:rFonts w:hint="default" w:ascii="Times New Roman" w:hAnsi="Times New Roman" w:eastAsia="仿宋_GB2312" w:cs="Times New Roman"/>
          <w:kern w:val="2"/>
          <w:sz w:val="32"/>
          <w:szCs w:val="32"/>
        </w:rPr>
      </w:pPr>
      <w:r>
        <w:rPr>
          <w:rFonts w:hint="default" w:ascii="仿宋" w:hAnsi="仿宋" w:eastAsia="仿宋" w:cs="仿宋"/>
          <w:kern w:val="2"/>
          <w:sz w:val="32"/>
          <w:szCs w:val="32"/>
          <w:lang w:val="en-US" w:eastAsia="zh-CN" w:bidi="ar"/>
        </w:rPr>
        <w:t>（</w:t>
      </w:r>
      <w:r>
        <w:rPr>
          <w:rFonts w:hint="default" w:ascii="Times New Roman" w:hAnsi="Times New Roman" w:eastAsia="仿宋" w:cs="Times New Roman"/>
          <w:kern w:val="2"/>
          <w:sz w:val="32"/>
          <w:szCs w:val="32"/>
          <w:lang w:val="en-US" w:eastAsia="zh-CN" w:bidi="ar"/>
        </w:rPr>
        <w:t>2024</w:t>
      </w:r>
      <w:r>
        <w:rPr>
          <w:rFonts w:hint="default" w:ascii="仿宋" w:hAnsi="仿宋" w:eastAsia="仿宋" w:cs="仿宋"/>
          <w:kern w:val="2"/>
          <w:sz w:val="32"/>
          <w:szCs w:val="32"/>
          <w:lang w:val="en-US" w:eastAsia="zh-CN" w:bidi="ar"/>
        </w:rPr>
        <w:t>）浙民终</w:t>
      </w:r>
      <w:r>
        <w:rPr>
          <w:rFonts w:hint="default" w:ascii="Times New Roman" w:hAnsi="Times New Roman" w:eastAsia="仿宋" w:cs="Times New Roman"/>
          <w:kern w:val="2"/>
          <w:sz w:val="32"/>
          <w:szCs w:val="32"/>
          <w:lang w:val="en-US" w:eastAsia="zh-CN" w:bidi="ar"/>
        </w:rPr>
        <w:t>436</w:t>
      </w:r>
      <w:r>
        <w:rPr>
          <w:rFonts w:hint="default" w:ascii="仿宋" w:hAnsi="仿宋" w:eastAsia="仿宋" w:cs="仿宋"/>
          <w:kern w:val="2"/>
          <w:sz w:val="32"/>
          <w:szCs w:val="32"/>
          <w:lang w:val="en-US" w:eastAsia="zh-CN" w:bidi="ar"/>
        </w:rPr>
        <w:t>号</w:t>
      </w:r>
      <w:r>
        <w:rPr>
          <w:rFonts w:hint="default" w:ascii="Times New Roman" w:hAnsi="Times New Roman" w:eastAsia="仿宋" w:cs="Times New Roman"/>
          <w:kern w:val="2"/>
          <w:sz w:val="32"/>
          <w:szCs w:val="32"/>
          <w:lang w:val="en-US" w:eastAsia="zh-CN" w:bidi="ar"/>
        </w:rPr>
        <w:t xml:space="preserve">  </w:t>
      </w:r>
      <w:r>
        <w:rPr>
          <w:rFonts w:hint="default" w:ascii="Times New Roman" w:hAnsi="Times New Roman" w:eastAsia="仿宋_GB2312" w:cs="Times New Roman"/>
          <w:kern w:val="2"/>
          <w:sz w:val="32"/>
          <w:szCs w:val="32"/>
          <w:lang w:val="en-US" w:eastAsia="zh-CN" w:bidi="ar"/>
        </w:rPr>
        <w:t xml:space="preserve"> </w:t>
      </w:r>
    </w:p>
    <w:p w14:paraId="0A6CAD40">
      <w:pPr>
        <w:keepNext w:val="0"/>
        <w:keepLines w:val="0"/>
        <w:widowControl w:val="0"/>
        <w:suppressLineNumbers w:val="0"/>
        <w:spacing w:before="0" w:beforeAutospacing="0" w:after="0" w:afterAutospacing="0" w:line="600" w:lineRule="exact"/>
        <w:ind w:left="0" w:right="0" w:firstLine="556" w:firstLineChars="17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790CF2DE">
      <w:pPr>
        <w:keepNext w:val="0"/>
        <w:keepLines w:val="0"/>
        <w:widowControl w:val="0"/>
        <w:suppressLineNumbers w:val="0"/>
        <w:autoSpaceDE w:val="0"/>
        <w:autoSpaceDN/>
        <w:snapToGrid w:val="0"/>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上诉人（原审原告）：朗某思科技（深圳）有限公司，住所地广东省深圳市光明区。</w:t>
      </w:r>
    </w:p>
    <w:p w14:paraId="7843017E">
      <w:pPr>
        <w:keepNext w:val="0"/>
        <w:keepLines w:val="0"/>
        <w:widowControl w:val="0"/>
        <w:suppressLineNumbers w:val="0"/>
        <w:autoSpaceDE w:val="0"/>
        <w:autoSpaceDN/>
        <w:snapToGrid w:val="0"/>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被上诉人（原审被告）：宁波市博某光电科技有限公司，住所地浙江省宁波市江北区。</w:t>
      </w:r>
    </w:p>
    <w:p w14:paraId="77FA28EF">
      <w:pPr>
        <w:keepNext w:val="0"/>
        <w:keepLines w:val="0"/>
        <w:widowControl w:val="0"/>
        <w:suppressLineNumbers w:val="0"/>
        <w:autoSpaceDE w:val="0"/>
        <w:autoSpaceDN/>
        <w:snapToGrid w:val="0"/>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被上诉人（原审被告）：宁波市两只蚁某三维科技有限公司，住所地浙江省宁波市江北区。</w:t>
      </w:r>
    </w:p>
    <w:p w14:paraId="5FB05A10">
      <w:pPr>
        <w:keepNext w:val="0"/>
        <w:keepLines w:val="0"/>
        <w:widowControl w:val="0"/>
        <w:suppressLineNumbers w:val="0"/>
        <w:autoSpaceDE w:val="0"/>
        <w:autoSpaceDN/>
        <w:snapToGrid w:val="0"/>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被上诉人（原审被告）：宁波风某工艺品有限公司，住所地浙江省宁波市海曙区。</w:t>
      </w:r>
    </w:p>
    <w:p w14:paraId="4F5AB5CD">
      <w:pPr>
        <w:keepNext w:val="0"/>
        <w:keepLines w:val="0"/>
        <w:widowControl w:val="0"/>
        <w:suppressLineNumbers w:val="0"/>
        <w:autoSpaceDE w:val="0"/>
        <w:autoSpaceDN/>
        <w:snapToGrid w:val="0"/>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被上诉人（原审被告）：王某峰，男，汉族，住浙江省余姚市。</w:t>
      </w:r>
    </w:p>
    <w:p w14:paraId="4AF34477">
      <w:pPr>
        <w:keepNext w:val="0"/>
        <w:keepLines w:val="0"/>
        <w:widowControl w:val="0"/>
        <w:suppressLineNumbers w:val="0"/>
        <w:autoSpaceDE w:val="0"/>
        <w:autoSpaceDN/>
        <w:snapToGrid w:val="0"/>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被上诉人（原审被告）：翁某芬，女，汉族，住浙江省余姚市。</w:t>
      </w:r>
    </w:p>
    <w:p w14:paraId="05629000">
      <w:pPr>
        <w:keepNext w:val="0"/>
        <w:keepLines w:val="0"/>
        <w:widowControl w:val="0"/>
        <w:suppressLineNumbers w:val="0"/>
        <w:autoSpaceDE w:val="0"/>
        <w:autoSpaceDN/>
        <w:spacing w:before="0" w:beforeAutospacing="0" w:after="0" w:afterAutospacing="0" w:line="616" w:lineRule="exact"/>
        <w:ind w:left="0" w:right="0" w:firstLine="627" w:firstLineChars="196"/>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朗某思科技（深圳）有限公司（以下简称朗某思公司）因与被上诉人宁波市博某光电科技有限公司（以下简称博某公司）、宁波市两只蚁某三维科技有限公司（以下简称蚁某公司）、宁波风某工艺品有限公司（以下简称风某公司）、王某峰、翁某芬侵害外观设计专利权纠纷一案，不服浙江省宁波市中级人民法院（</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02</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535</w:t>
      </w:r>
      <w:r>
        <w:rPr>
          <w:rFonts w:hint="eastAsia" w:ascii="仿宋_GB2312" w:hAnsi="Times New Roman" w:eastAsia="仿宋_GB2312" w:cs="仿宋_GB2312"/>
          <w:kern w:val="2"/>
          <w:sz w:val="32"/>
          <w:szCs w:val="32"/>
          <w:lang w:val="en-US" w:eastAsia="zh-CN" w:bidi="ar"/>
        </w:rPr>
        <w:t>号民事判决，向本院提起上诉。本院于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日立案后，依法组成合议庭，公开开庭进行了审理。上诉人朗某思公司的委托诉讼代理人，五被上诉人的共同委托诉讼代理人到庭参加诉讼。本案现已审理终结。</w:t>
      </w:r>
    </w:p>
    <w:p w14:paraId="4DA91D80">
      <w:pPr>
        <w:pStyle w:val="2"/>
        <w:keepNext w:val="0"/>
        <w:keepLines w:val="0"/>
        <w:widowControl w:val="0"/>
        <w:suppressLineNumbers w:val="0"/>
        <w:autoSpaceDE w:val="0"/>
        <w:autoSpaceDN/>
        <w:spacing w:line="616" w:lineRule="exact"/>
        <w:ind w:left="0" w:firstLine="618"/>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rPr>
        <w:t>朗某思公司上诉请求：撤销一审判决第一项、第二项、第四项，判令五被上诉人立即停止制造、销售、许诺销售侵害朗某思公司</w:t>
      </w:r>
      <w:r>
        <w:rPr>
          <w:rFonts w:hint="default" w:ascii="Times New Roman" w:hAnsi="Times New Roman" w:eastAsia="仿宋_GB2312" w:cs="Times New Roman"/>
          <w:kern w:val="2"/>
          <w:sz w:val="32"/>
          <w:szCs w:val="32"/>
        </w:rPr>
        <w:t>ZL2021 ****1612.3</w:t>
      </w:r>
      <w:r>
        <w:rPr>
          <w:rFonts w:hint="eastAsia" w:ascii="仿宋_GB2312" w:hAnsi="Times New Roman" w:eastAsia="仿宋_GB2312" w:cs="仿宋_GB2312"/>
          <w:kern w:val="2"/>
          <w:sz w:val="32"/>
          <w:szCs w:val="32"/>
        </w:rPr>
        <w:t>号</w:t>
      </w:r>
      <w:r>
        <w:rPr>
          <w:rFonts w:hint="default" w:ascii="Times New Roman" w:hAnsi="Times New Roman" w:eastAsia="仿宋_GB2312" w:cs="Times New Roman"/>
          <w:kern w:val="2"/>
          <w:sz w:val="32"/>
          <w:szCs w:val="32"/>
        </w:rPr>
        <w:t>“</w:t>
      </w:r>
      <w:r>
        <w:rPr>
          <w:rFonts w:hint="eastAsia" w:ascii="仿宋_GB2312" w:hAnsi="Times New Roman" w:eastAsia="仿宋_GB2312" w:cs="仿宋_GB2312"/>
          <w:kern w:val="2"/>
          <w:sz w:val="32"/>
          <w:szCs w:val="32"/>
        </w:rPr>
        <w:t>投影灯（宇航员投影灯）</w:t>
      </w:r>
      <w:r>
        <w:rPr>
          <w:rFonts w:hint="default" w:ascii="Times New Roman" w:hAnsi="Times New Roman" w:eastAsia="仿宋_GB2312" w:cs="Times New Roman"/>
          <w:kern w:val="2"/>
          <w:sz w:val="32"/>
          <w:szCs w:val="32"/>
        </w:rPr>
        <w:t>”</w:t>
      </w:r>
      <w:r>
        <w:rPr>
          <w:rFonts w:hint="eastAsia" w:ascii="仿宋_GB2312" w:hAnsi="Times New Roman" w:eastAsia="仿宋_GB2312" w:cs="仿宋_GB2312"/>
          <w:kern w:val="2"/>
          <w:sz w:val="32"/>
          <w:szCs w:val="32"/>
        </w:rPr>
        <w:t>外观设计专利权（以下简称涉案专利）产品的行为；在适用惩罚性赔偿的基础上改判五被上诉人共同赔偿朗某思公司经济损失</w:t>
      </w:r>
      <w:r>
        <w:rPr>
          <w:rFonts w:hint="default" w:ascii="Times New Roman" w:hAnsi="Times New Roman" w:eastAsia="仿宋_GB2312" w:cs="Times New Roman"/>
          <w:kern w:val="2"/>
          <w:sz w:val="32"/>
          <w:szCs w:val="32"/>
        </w:rPr>
        <w:t>60</w:t>
      </w:r>
      <w:r>
        <w:rPr>
          <w:rFonts w:hint="eastAsia" w:ascii="仿宋_GB2312" w:hAnsi="Times New Roman" w:eastAsia="仿宋_GB2312" w:cs="仿宋_GB2312"/>
          <w:kern w:val="2"/>
          <w:sz w:val="32"/>
          <w:szCs w:val="32"/>
        </w:rPr>
        <w:t>万元；本案一、二审诉讼费用由五被上诉人承担。事实和理由：（一）涉案宇航员造型灯具含圆柱形合金底座的被诉侵权设计（以下简称合金款）与涉案专利近似，已落入涉案专利权的保护范围，一审认定有误，应予纠正。宇航员造型灯具虽多为站立姿势，但在具体结构的设计上仍有较大设计空间，合金款与涉案专利相比，整体形状一致，主要设计特征亦均无差别，区别仅在于产品正常使用时不易被观察到的底座部位，且该区别相较于两者共同点所占比例较小，属细微区别，不足以使两者的整体视觉效果产生实质性差异。（二）翁某芬、王某峰与博某公司、蚁某公司、风某公司（以下合称三公司）系共同侵权，应承担连带责任。一审法院认定该两人与三公司之间不存在侵权的共同故意，明显不当。</w:t>
      </w:r>
      <w:r>
        <w:rPr>
          <w:rFonts w:hint="default" w:ascii="Times New Roman" w:hAnsi="Times New Roman" w:eastAsia="仿宋_GB2312" w:cs="Times New Roman"/>
          <w:kern w:val="2"/>
          <w:sz w:val="32"/>
          <w:szCs w:val="32"/>
        </w:rPr>
        <w:t>1.</w:t>
      </w:r>
      <w:r>
        <w:rPr>
          <w:rFonts w:hint="eastAsia" w:ascii="仿宋_GB2312" w:hAnsi="Times New Roman" w:eastAsia="仿宋_GB2312" w:cs="仿宋_GB2312"/>
          <w:kern w:val="2"/>
          <w:sz w:val="32"/>
          <w:szCs w:val="32"/>
        </w:rPr>
        <w:t>王某峰为三公司的法定代表人兼实际控制人，其在明知专利侵权的情况下，仍通过三公司继续实施侵权行为，并以其个人账户为侵权店铺收取货款，为三公司的侵权行为提供了实质帮助，具有与三公司共同实施侵权行为的明显故意。</w:t>
      </w:r>
      <w:r>
        <w:rPr>
          <w:rFonts w:hint="default" w:ascii="Times New Roman" w:hAnsi="Times New Roman" w:eastAsia="仿宋_GB2312" w:cs="Times New Roman"/>
          <w:kern w:val="2"/>
          <w:sz w:val="32"/>
          <w:szCs w:val="32"/>
        </w:rPr>
        <w:t>2.</w:t>
      </w:r>
      <w:r>
        <w:rPr>
          <w:rFonts w:hint="eastAsia" w:ascii="仿宋_GB2312" w:hAnsi="Times New Roman" w:eastAsia="仿宋_GB2312" w:cs="仿宋_GB2312"/>
          <w:kern w:val="2"/>
          <w:sz w:val="32"/>
          <w:szCs w:val="32"/>
        </w:rPr>
        <w:t>翁某芬系蚁某公司股东，其使用个人支付宝账号为蚁某公司收取侵权货款，实际参与了蚁某公司生产、销售、许诺销售被诉侵权产品的过程，为蚁某公司的侵权行为提供了实质帮助。（三）五被上诉人侵权获利巨大，且侵权主观恶意明显，本案应适用惩罚性赔偿，一审判赔金额明显过低。</w:t>
      </w:r>
      <w:r>
        <w:rPr>
          <w:rFonts w:hint="default" w:ascii="Times New Roman" w:hAnsi="Times New Roman" w:eastAsia="仿宋_GB2312" w:cs="Times New Roman"/>
          <w:kern w:val="2"/>
          <w:sz w:val="32"/>
          <w:szCs w:val="32"/>
        </w:rPr>
        <w:t>1.</w:t>
      </w:r>
      <w:r>
        <w:rPr>
          <w:rFonts w:hint="eastAsia" w:ascii="仿宋_GB2312" w:hAnsi="Times New Roman" w:eastAsia="仿宋_GB2312" w:cs="仿宋_GB2312"/>
          <w:kern w:val="2"/>
          <w:sz w:val="32"/>
          <w:szCs w:val="32"/>
        </w:rPr>
        <w:t>涉案被诉侵权产品单月销售额巨大，即使仅以公证保全销售数量作为侵权获利的计算依据，被诉侵权产品的线上销售额亦至少高达</w:t>
      </w:r>
      <w:r>
        <w:rPr>
          <w:rFonts w:hint="default" w:ascii="Times New Roman" w:hAnsi="Times New Roman" w:eastAsia="仿宋_GB2312" w:cs="Times New Roman"/>
          <w:kern w:val="2"/>
          <w:sz w:val="32"/>
          <w:szCs w:val="32"/>
        </w:rPr>
        <w:t>3084800</w:t>
      </w:r>
      <w:r>
        <w:rPr>
          <w:rFonts w:hint="eastAsia" w:ascii="仿宋_GB2312" w:hAnsi="Times New Roman" w:eastAsia="仿宋_GB2312" w:cs="仿宋_GB2312"/>
          <w:kern w:val="2"/>
          <w:sz w:val="32"/>
          <w:szCs w:val="32"/>
        </w:rPr>
        <w:t>元，其侵权获利巨大，一审法院判赔金额不当。</w:t>
      </w:r>
      <w:r>
        <w:rPr>
          <w:rFonts w:hint="default" w:ascii="Times New Roman" w:hAnsi="Times New Roman" w:eastAsia="仿宋_GB2312" w:cs="Times New Roman"/>
          <w:kern w:val="2"/>
          <w:sz w:val="32"/>
          <w:szCs w:val="32"/>
        </w:rPr>
        <w:t>2.</w:t>
      </w:r>
      <w:r>
        <w:rPr>
          <w:rFonts w:hint="eastAsia" w:ascii="仿宋_GB2312" w:hAnsi="Times New Roman" w:eastAsia="仿宋_GB2312" w:cs="仿宋_GB2312"/>
          <w:kern w:val="2"/>
          <w:sz w:val="32"/>
          <w:szCs w:val="32"/>
        </w:rPr>
        <w:t>五被上诉人侵权主观恶意明显，一审法院在确定赔偿数额时对此未予重点考量，属事实认定错误。五被上诉人在朗某思公司多次投诉，市场监管部门已作出专利侵权行政裁决的情况下，仍继续实施生产、销售被诉产品的侵权行为，具有明显的主观恶意，一审判决未给予相应惩处，应予纠正。</w:t>
      </w:r>
      <w:r>
        <w:rPr>
          <w:rFonts w:hint="default" w:ascii="Times New Roman" w:hAnsi="Times New Roman" w:eastAsia="仿宋_GB2312" w:cs="Times New Roman"/>
          <w:kern w:val="2"/>
          <w:sz w:val="32"/>
          <w:szCs w:val="32"/>
        </w:rPr>
        <w:t>3.</w:t>
      </w:r>
      <w:r>
        <w:rPr>
          <w:rFonts w:hint="eastAsia" w:ascii="仿宋_GB2312" w:hAnsi="Times New Roman" w:eastAsia="仿宋_GB2312" w:cs="仿宋_GB2312"/>
          <w:kern w:val="2"/>
          <w:sz w:val="32"/>
          <w:szCs w:val="32"/>
        </w:rPr>
        <w:t>一审法院以朗某思公司未提供证据证实五被上诉人因侵权所得利益为由，未适用惩罚性赔偿有误。五被上诉人的侵权行为具有明显恶意，应当适用惩罚性赔偿予以严惩，朗某思公司已提交了关于涉案侵权店铺违法所得数额的具体计算方式，并明确以能查明的前述店铺销售额作为侵权获利的计算基础，同时提供了朗某思公司专利产品的物料成本数据作为利润率的参考材料。在五被上诉人未进一步举证证明或提出反证的情况下，涉案公证书所固定的侵权产品销量非常明确，若机械认为只要侵权获利的全部数额不能查明即不能适用惩罚性赔偿，会使该制度落空，并导致恶意侵权行为人轻易逃避法律惩罚。</w:t>
      </w:r>
    </w:p>
    <w:p w14:paraId="2FFA4388">
      <w:pPr>
        <w:pStyle w:val="2"/>
        <w:keepNext w:val="0"/>
        <w:keepLines w:val="0"/>
        <w:widowControl w:val="0"/>
        <w:suppressLineNumbers w:val="0"/>
        <w:autoSpaceDE w:val="0"/>
        <w:autoSpaceDN/>
        <w:spacing w:line="616" w:lineRule="exact"/>
        <w:ind w:left="0" w:firstLine="618"/>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rPr>
        <w:t>五被上诉人共同辩称：（一）一审判决认定合金款未落入涉案专利权的保护范围正确。宇航员外观设计为宇航员现有形象的转用，本身对产品视觉效果影响较少，且合金款与涉案专利在宇航服的按钮、面罩、背包口袋、服装等处均存在不同，遍及被诉侵权设计的主要部位，特别是合金款将月球土壤表面的底座变成圆柱形合金底座，与涉案专利存在明显差异，两者不构成近似。（二）王某峰、翁某芬并未参与实施被诉侵权行为，朗某思公司主张两者应作为共同侵权人承担责任的依据不足。</w:t>
      </w:r>
      <w:r>
        <w:rPr>
          <w:rFonts w:hint="default" w:ascii="Times New Roman" w:hAnsi="Times New Roman" w:eastAsia="仿宋_GB2312" w:cs="Times New Roman"/>
          <w:kern w:val="2"/>
          <w:sz w:val="32"/>
          <w:szCs w:val="32"/>
        </w:rPr>
        <w:t>1.</w:t>
      </w:r>
      <w:r>
        <w:rPr>
          <w:rFonts w:hint="eastAsia" w:ascii="仿宋_GB2312" w:hAnsi="Times New Roman" w:eastAsia="仿宋_GB2312" w:cs="仿宋_GB2312"/>
          <w:kern w:val="2"/>
          <w:sz w:val="32"/>
          <w:szCs w:val="32"/>
        </w:rPr>
        <w:t>现有证据不足以认定王某峰、翁某芬与三公司存在实施侵权行为的意思联络，并不能证实两者过度控制三公司，并将三公司工具化；</w:t>
      </w:r>
      <w:r>
        <w:rPr>
          <w:rFonts w:hint="default" w:ascii="Times New Roman" w:hAnsi="Times New Roman" w:eastAsia="仿宋_GB2312" w:cs="Times New Roman"/>
          <w:kern w:val="2"/>
          <w:sz w:val="32"/>
          <w:szCs w:val="32"/>
        </w:rPr>
        <w:t>2.</w:t>
      </w:r>
      <w:r>
        <w:rPr>
          <w:rFonts w:hint="eastAsia" w:ascii="仿宋_GB2312" w:hAnsi="Times New Roman" w:eastAsia="仿宋_GB2312" w:cs="仿宋_GB2312"/>
          <w:kern w:val="2"/>
          <w:sz w:val="32"/>
          <w:szCs w:val="32"/>
        </w:rPr>
        <w:t>三公司存在制造被诉侵权产品的行为，但不能据此认定作为公司股东的王某峰、翁某芬个人参与实施被诉侵权行为；</w:t>
      </w:r>
      <w:r>
        <w:rPr>
          <w:rFonts w:hint="default" w:ascii="Times New Roman" w:hAnsi="Times New Roman" w:eastAsia="仿宋_GB2312" w:cs="Times New Roman"/>
          <w:kern w:val="2"/>
          <w:sz w:val="32"/>
          <w:szCs w:val="32"/>
        </w:rPr>
        <w:t>3.</w:t>
      </w:r>
      <w:r>
        <w:rPr>
          <w:rFonts w:hint="eastAsia" w:ascii="仿宋_GB2312" w:hAnsi="Times New Roman" w:eastAsia="仿宋_GB2312" w:cs="仿宋_GB2312"/>
          <w:kern w:val="2"/>
          <w:sz w:val="32"/>
          <w:szCs w:val="32"/>
        </w:rPr>
        <w:t>现有证据亦不能证明王某峰、翁某芬利用个人账户收取款项的行为已严重损害公司债权人的利益，即便认定存在滥用股东权利，该行为导致的法律责任也仅是认定股东对公司债务承担连带责任，而非据此认定股东直接实施了被诉侵权行为。（三）朗某思公司主张按照惩罚性赔偿的标准调高赔偿金额，无事实和法律依据。</w:t>
      </w:r>
      <w:r>
        <w:rPr>
          <w:rFonts w:hint="default" w:ascii="Times New Roman" w:hAnsi="Times New Roman" w:eastAsia="仿宋_GB2312" w:cs="Times New Roman"/>
          <w:kern w:val="2"/>
          <w:sz w:val="32"/>
          <w:szCs w:val="32"/>
        </w:rPr>
        <w:t>1.</w:t>
      </w:r>
      <w:r>
        <w:rPr>
          <w:rFonts w:hint="eastAsia" w:ascii="仿宋_GB2312" w:hAnsi="Times New Roman" w:eastAsia="仿宋_GB2312" w:cs="仿宋_GB2312"/>
          <w:kern w:val="2"/>
          <w:sz w:val="32"/>
          <w:szCs w:val="32"/>
        </w:rPr>
        <w:t>本案不存在适用惩罚性赔偿的前提条件。朗某思公司未提供用以确定惩罚性赔偿的计算基数，也未能提供充分证据证实五被上诉人存在任何情节严重的侵权行为。</w:t>
      </w:r>
      <w:r>
        <w:rPr>
          <w:rFonts w:hint="default" w:ascii="Times New Roman" w:hAnsi="Times New Roman" w:eastAsia="仿宋_GB2312" w:cs="Times New Roman"/>
          <w:kern w:val="2"/>
          <w:sz w:val="32"/>
          <w:szCs w:val="32"/>
        </w:rPr>
        <w:t>2.</w:t>
      </w:r>
      <w:r>
        <w:rPr>
          <w:rFonts w:hint="eastAsia" w:ascii="仿宋_GB2312" w:hAnsi="Times New Roman" w:eastAsia="仿宋_GB2312" w:cs="仿宋_GB2312"/>
          <w:kern w:val="2"/>
          <w:sz w:val="32"/>
          <w:szCs w:val="32"/>
        </w:rPr>
        <w:t>适用法定赔偿时，应充分考虑到朗某思公司并未提供民事委托代理合同和律师费发票，且该公司存在批量维权的事实，即使侵权成立，二审法院也应责令该公司提交全国范围内的维权数据，依法酌情调低赔偿数额；被诉侵权产品的实际销量远低于朗某思公司主张的销量，且被诉侵权产品的售价不高，扣除平台经营成本，基本无获利可言；在被诉侵权产品的价格构成中，外观设计占比较低，朗某思公司主张的产品利润率、专利贡献率等也缺乏证据支持，其要求以侵权获利计算赔偿损失缺乏依据；被诉侵权产品已在另案中因侵害朗某思公司的发明专利权被一审法院判赔</w:t>
      </w:r>
      <w:r>
        <w:rPr>
          <w:rFonts w:hint="default" w:ascii="Times New Roman" w:hAnsi="Times New Roman" w:eastAsia="仿宋_GB2312" w:cs="Times New Roman"/>
          <w:kern w:val="2"/>
          <w:sz w:val="32"/>
          <w:szCs w:val="32"/>
        </w:rPr>
        <w:t>30</w:t>
      </w:r>
      <w:r>
        <w:rPr>
          <w:rFonts w:hint="eastAsia" w:ascii="仿宋_GB2312" w:hAnsi="Times New Roman" w:eastAsia="仿宋_GB2312" w:cs="仿宋_GB2312"/>
          <w:kern w:val="2"/>
          <w:sz w:val="32"/>
          <w:szCs w:val="32"/>
        </w:rPr>
        <w:t>万元，该因素应在本案确定赔偿数额时予以重点考量。综上，一审法院认定事实清楚、程序合法，请求二审法院驳回朗某思公司的全部上诉请求。</w:t>
      </w:r>
    </w:p>
    <w:p w14:paraId="5C5A855C">
      <w:pPr>
        <w:pStyle w:val="2"/>
        <w:keepNext w:val="0"/>
        <w:keepLines w:val="0"/>
        <w:widowControl w:val="0"/>
        <w:suppressLineNumbers w:val="0"/>
        <w:autoSpaceDE w:val="0"/>
        <w:autoSpaceDN/>
        <w:spacing w:line="616" w:lineRule="exact"/>
        <w:ind w:left="0" w:firstLine="618"/>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rPr>
        <w:t>朗某思公司向一审法院起诉，请求判令各被诉方：</w:t>
      </w:r>
      <w:r>
        <w:rPr>
          <w:rFonts w:hint="default" w:ascii="Times New Roman" w:hAnsi="Times New Roman" w:eastAsia="仿宋_GB2312" w:cs="Times New Roman"/>
          <w:kern w:val="2"/>
          <w:sz w:val="32"/>
          <w:szCs w:val="32"/>
        </w:rPr>
        <w:t>1.</w:t>
      </w:r>
      <w:r>
        <w:rPr>
          <w:rFonts w:hint="eastAsia" w:ascii="仿宋_GB2312" w:hAnsi="Times New Roman" w:eastAsia="仿宋_GB2312" w:cs="仿宋_GB2312"/>
          <w:kern w:val="2"/>
          <w:sz w:val="32"/>
          <w:szCs w:val="32"/>
        </w:rPr>
        <w:t>立即停止制造、销售、许诺销售侵害其涉案外观设计专利权的产品，并立即销毁库存侵权产品和相关模具；</w:t>
      </w:r>
      <w:r>
        <w:rPr>
          <w:rFonts w:hint="default" w:ascii="Times New Roman" w:hAnsi="Times New Roman" w:eastAsia="仿宋_GB2312" w:cs="Times New Roman"/>
          <w:kern w:val="2"/>
          <w:sz w:val="32"/>
          <w:szCs w:val="32"/>
        </w:rPr>
        <w:t>2.</w:t>
      </w:r>
      <w:r>
        <w:rPr>
          <w:rFonts w:hint="eastAsia" w:ascii="仿宋_GB2312" w:hAnsi="Times New Roman" w:eastAsia="仿宋_GB2312" w:cs="仿宋_GB2312"/>
          <w:kern w:val="2"/>
          <w:sz w:val="32"/>
          <w:szCs w:val="32"/>
        </w:rPr>
        <w:t>适用惩罚性赔偿制度，赔偿经济损失及维权合理费用共计</w:t>
      </w:r>
      <w:r>
        <w:rPr>
          <w:rFonts w:hint="default" w:ascii="Times New Roman" w:hAnsi="Times New Roman" w:eastAsia="仿宋_GB2312" w:cs="Times New Roman"/>
          <w:kern w:val="2"/>
          <w:sz w:val="32"/>
          <w:szCs w:val="32"/>
        </w:rPr>
        <w:t>200</w:t>
      </w:r>
      <w:r>
        <w:rPr>
          <w:rFonts w:hint="eastAsia" w:ascii="仿宋_GB2312" w:hAnsi="Times New Roman" w:eastAsia="仿宋_GB2312" w:cs="仿宋_GB2312"/>
          <w:kern w:val="2"/>
          <w:sz w:val="32"/>
          <w:szCs w:val="32"/>
        </w:rPr>
        <w:t>万元；</w:t>
      </w:r>
      <w:r>
        <w:rPr>
          <w:rFonts w:hint="default" w:ascii="Times New Roman" w:hAnsi="Times New Roman" w:eastAsia="仿宋_GB2312" w:cs="Times New Roman"/>
          <w:kern w:val="2"/>
          <w:sz w:val="32"/>
          <w:szCs w:val="32"/>
        </w:rPr>
        <w:t>3.</w:t>
      </w:r>
      <w:r>
        <w:rPr>
          <w:rFonts w:hint="eastAsia" w:ascii="仿宋_GB2312" w:hAnsi="Times New Roman" w:eastAsia="仿宋_GB2312" w:cs="仿宋_GB2312"/>
          <w:kern w:val="2"/>
          <w:sz w:val="32"/>
          <w:szCs w:val="32"/>
        </w:rPr>
        <w:t>承担本案的全部诉讼费用。</w:t>
      </w:r>
    </w:p>
    <w:p w14:paraId="6887B471">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一审法院认定事实：朗某思公司于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日向国家某局申请涉案专利，并于同年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获得授权公告。该外观设计专利授权公告载明了主视图、后视图、左视图、右视图、俯视图、仰视图。该专利证书简要说明显示：本外观设计产品的设计要点在于形状；最能表明设计要点的图片或照片是主视图。同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日，国家某局出具外观设计专利权评价报告，认为涉案专利全部外观设计未发现存在不符合授予专利权条件的缺陷。该专利现仍有效。</w:t>
      </w:r>
    </w:p>
    <w:p w14:paraId="3FEAD10A">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22</w:t>
      </w:r>
      <w:r>
        <w:rPr>
          <w:rFonts w:hint="eastAsia" w:ascii="仿宋_GB2312" w:hAnsi="Times New Roman" w:eastAsia="仿宋_GB2312" w:cs="仿宋_GB2312"/>
          <w:kern w:val="2"/>
          <w:sz w:val="32"/>
          <w:szCs w:val="32"/>
          <w:lang w:val="en-US" w:eastAsia="zh-CN" w:bidi="ar"/>
        </w:rPr>
        <w:t>日，朗某思公司的委托代理人黄某甲向广东省广州市南沙公证处申请对登录有关网站进行网上购物的过程进行保全证据公证。同日，黄某甲在公证人员的监督下，使用公证处的电脑和网络进行如下操作：打开</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网站，登录账号后，在名称为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宁波市两只蚁某科技有限公司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的店铺中点击</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宇航员星空灯旋转</w:t>
      </w:r>
      <w:r>
        <w:rPr>
          <w:rFonts w:hint="default" w:ascii="Times New Roman" w:hAnsi="Times New Roman" w:eastAsia="仿宋_GB2312" w:cs="Times New Roman"/>
          <w:kern w:val="2"/>
          <w:sz w:val="32"/>
          <w:szCs w:val="32"/>
          <w:lang w:val="en-US" w:eastAsia="zh-CN" w:bidi="ar"/>
        </w:rPr>
        <w:t>USB</w:t>
      </w:r>
      <w:r>
        <w:rPr>
          <w:rFonts w:hint="eastAsia" w:ascii="仿宋_GB2312" w:hAnsi="Times New Roman" w:eastAsia="仿宋_GB2312" w:cs="仿宋_GB2312"/>
          <w:kern w:val="2"/>
          <w:sz w:val="32"/>
          <w:szCs w:val="32"/>
          <w:lang w:val="en-US" w:eastAsia="zh-CN" w:bidi="ar"/>
        </w:rPr>
        <w:t>满天星太空人摆件氛围激光投影灯一件代发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的链接，浏览该产品详情页面，并加入购物车后购买，共计付款</w:t>
      </w:r>
      <w:r>
        <w:rPr>
          <w:rFonts w:hint="default" w:ascii="Times New Roman" w:hAnsi="Times New Roman" w:eastAsia="仿宋_GB2312" w:cs="Times New Roman"/>
          <w:kern w:val="2"/>
          <w:sz w:val="32"/>
          <w:szCs w:val="32"/>
          <w:lang w:val="en-US" w:eastAsia="zh-CN" w:bidi="ar"/>
        </w:rPr>
        <w:t>99</w:t>
      </w:r>
      <w:r>
        <w:rPr>
          <w:rFonts w:hint="eastAsia" w:ascii="仿宋_GB2312" w:hAnsi="Times New Roman" w:eastAsia="仿宋_GB2312" w:cs="仿宋_GB2312"/>
          <w:kern w:val="2"/>
          <w:sz w:val="32"/>
          <w:szCs w:val="32"/>
          <w:lang w:val="en-US" w:eastAsia="zh-CN" w:bidi="ar"/>
        </w:rPr>
        <w:t>元（其中包含运费</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元）。同时，黄某甲查看该店铺中的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公司档案</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，显示的经营者信息与蚁某公司在国家企业信用信息公示系统中查询的信息一致。在该店铺网页中，宣称</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源头实力厂家</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自主研发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公司位于宁波市江北区，有专利产品各项资质齐全，直供亚马逊、速卖通等各大外贸平台，目前有</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条生产线</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支持定制</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，经营模式为生产加工，并上传有厂房和生产车间等的照片。</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日，公证人员来到广州市天河区体育西路某丰巢快递柜，在黄某甲的确认下，在该快递柜取出一个包裹并带回公证处保管。</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在公证人员监督下，黄某甲拆开上述快递包裹，公证人员对快递包裹的外观及包裹内装的物品进行了查看，随后进行组装操作，上述过程对相关情况进行拍照，拍照后将该包裹进行封存。随后，黄某甲使用公证处电脑登录</w:t>
      </w:r>
      <w:r>
        <w:rPr>
          <w:rFonts w:hint="default" w:ascii="Times New Roman" w:hAnsi="Times New Roman" w:eastAsia="仿宋_GB2312" w:cs="Times New Roman"/>
          <w:kern w:val="2"/>
          <w:sz w:val="32"/>
          <w:szCs w:val="32"/>
          <w:lang w:val="en-US" w:eastAsia="zh-CN" w:bidi="ar"/>
        </w:rPr>
        <w:t>“www.1688.com”</w:t>
      </w:r>
      <w:r>
        <w:rPr>
          <w:rFonts w:hint="eastAsia" w:ascii="仿宋_GB2312" w:hAnsi="Times New Roman" w:eastAsia="仿宋_GB2312" w:cs="仿宋_GB2312"/>
          <w:kern w:val="2"/>
          <w:sz w:val="32"/>
          <w:szCs w:val="32"/>
          <w:lang w:val="en-US" w:eastAsia="zh-CN" w:bidi="ar"/>
        </w:rPr>
        <w:t>网站，查看上述包裹所对应订单的订单信息、物流信息后进行确认收货的操作。</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日，该公证处为此出具了（</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43936</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43939</w:t>
      </w:r>
      <w:r>
        <w:rPr>
          <w:rFonts w:hint="eastAsia" w:ascii="仿宋_GB2312" w:hAnsi="Times New Roman" w:eastAsia="仿宋_GB2312" w:cs="仿宋_GB2312"/>
          <w:kern w:val="2"/>
          <w:sz w:val="32"/>
          <w:szCs w:val="32"/>
          <w:lang w:val="en-US" w:eastAsia="zh-CN" w:bidi="ar"/>
        </w:rPr>
        <w:t>号公证书予以佐证。</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日，朗某思公司的委托代理人黄某乙采用前述方式，两次浏览名称为“两只蚁某三维科技实力工厂”的</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店铺（该店铺的认证信息显示为蚁某公司），并分别下单购买名称为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跨境宇航员星空投影灯满天星激光投影灯星星氛围灯太空人摆件代发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的产品各</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个，共计付款</w:t>
      </w:r>
      <w:r>
        <w:rPr>
          <w:rFonts w:hint="default" w:ascii="Times New Roman" w:hAnsi="Times New Roman" w:eastAsia="仿宋_GB2312" w:cs="Times New Roman"/>
          <w:kern w:val="2"/>
          <w:sz w:val="32"/>
          <w:szCs w:val="32"/>
          <w:lang w:val="en-US" w:eastAsia="zh-CN" w:bidi="ar"/>
        </w:rPr>
        <w:t>86</w:t>
      </w:r>
      <w:r>
        <w:rPr>
          <w:rFonts w:hint="eastAsia" w:ascii="仿宋_GB2312" w:hAnsi="Times New Roman" w:eastAsia="仿宋_GB2312" w:cs="仿宋_GB2312"/>
          <w:kern w:val="2"/>
          <w:sz w:val="32"/>
          <w:szCs w:val="32"/>
          <w:lang w:val="en-US" w:eastAsia="zh-CN" w:bidi="ar"/>
        </w:rPr>
        <w:t>元（其中包含运费</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83</w:t>
      </w:r>
      <w:r>
        <w:rPr>
          <w:rFonts w:hint="eastAsia" w:ascii="仿宋_GB2312" w:hAnsi="Times New Roman" w:eastAsia="仿宋_GB2312" w:cs="仿宋_GB2312"/>
          <w:kern w:val="2"/>
          <w:sz w:val="32"/>
          <w:szCs w:val="32"/>
          <w:lang w:val="en-US" w:eastAsia="zh-CN" w:bidi="ar"/>
        </w:rPr>
        <w:t>元（其中包含运费</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元）。该公证处为此出具了（</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4559</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4560</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6653</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6654</w:t>
      </w:r>
      <w:r>
        <w:rPr>
          <w:rFonts w:hint="eastAsia" w:ascii="仿宋_GB2312" w:hAnsi="Times New Roman" w:eastAsia="仿宋_GB2312" w:cs="仿宋_GB2312"/>
          <w:kern w:val="2"/>
          <w:sz w:val="32"/>
          <w:szCs w:val="32"/>
          <w:lang w:val="en-US" w:eastAsia="zh-CN" w:bidi="ar"/>
        </w:rPr>
        <w:t>号公证书予以佐证。</w:t>
      </w:r>
    </w:p>
    <w:p w14:paraId="747AFCC2">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22</w:t>
      </w:r>
      <w:r>
        <w:rPr>
          <w:rFonts w:hint="eastAsia" w:ascii="仿宋_GB2312" w:hAnsi="Times New Roman" w:eastAsia="仿宋_GB2312" w:cs="仿宋_GB2312"/>
          <w:kern w:val="2"/>
          <w:sz w:val="32"/>
          <w:szCs w:val="32"/>
          <w:lang w:val="en-US" w:eastAsia="zh-CN" w:bidi="ar"/>
        </w:rPr>
        <w:t>日，黄某甲在公证人员的监督下，使用公证处的电脑和网络还进行了如下操作：打开</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网站，登录账号后，在名称为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宁波风某工艺品有限公司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的店铺中点击</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新品宇航员星空投影灯满天星激光投影灯星星氛围灯太空人一件代发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的链接，浏览该产品详情页面，并加入购物车后购买，共计付款</w:t>
      </w:r>
      <w:r>
        <w:rPr>
          <w:rFonts w:hint="default" w:ascii="Times New Roman" w:hAnsi="Times New Roman" w:eastAsia="仿宋_GB2312" w:cs="Times New Roman"/>
          <w:kern w:val="2"/>
          <w:sz w:val="32"/>
          <w:szCs w:val="32"/>
          <w:lang w:val="en-US" w:eastAsia="zh-CN" w:bidi="ar"/>
        </w:rPr>
        <w:t>97</w:t>
      </w:r>
      <w:r>
        <w:rPr>
          <w:rFonts w:hint="eastAsia" w:ascii="仿宋_GB2312" w:hAnsi="Times New Roman" w:eastAsia="仿宋_GB2312" w:cs="仿宋_GB2312"/>
          <w:kern w:val="2"/>
          <w:sz w:val="32"/>
          <w:szCs w:val="32"/>
          <w:lang w:val="en-US" w:eastAsia="zh-CN" w:bidi="ar"/>
        </w:rPr>
        <w:t>元（其中包含运费</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元）。同时，黄某甲查看该店铺中的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公司档案</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，显示的经营者信息与风某公司在国家企业信用信息公示系统中查询的信息一致。在该店铺网页中，宣称</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源头厂家</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跨境电商优质供应商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公司位于宁波市江北区平方，专业生产加工月球灯、小夜灯、星空投影灯</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支持定制</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，经营模式为生产加工，并上传有厂房和生产线的照片。</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日，公证人员来到广州市天河区体育西路某丰巢快递柜，在黄某甲的确认下，在该快递柜取出一个包裹并带回公证处保管。</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在公证人员监督下，黄某甲拆开上述快递包裹，公证人员对快递包裹的外观及包裹内装的物品进行了查看，随后进行组装操作，上述过程对相关情况进行拍照，拍照后将该包裹进行封存。随后，黄某甲使用公证处电脑登录</w:t>
      </w:r>
      <w:r>
        <w:rPr>
          <w:rFonts w:hint="default" w:ascii="Times New Roman" w:hAnsi="Times New Roman" w:eastAsia="仿宋_GB2312" w:cs="Times New Roman"/>
          <w:kern w:val="2"/>
          <w:sz w:val="32"/>
          <w:szCs w:val="32"/>
          <w:lang w:val="en-US" w:eastAsia="zh-CN" w:bidi="ar"/>
        </w:rPr>
        <w:t>“www.1688.com”</w:t>
      </w:r>
      <w:r>
        <w:rPr>
          <w:rFonts w:hint="eastAsia" w:ascii="仿宋_GB2312" w:hAnsi="Times New Roman" w:eastAsia="仿宋_GB2312" w:cs="仿宋_GB2312"/>
          <w:kern w:val="2"/>
          <w:sz w:val="32"/>
          <w:szCs w:val="32"/>
          <w:lang w:val="en-US" w:eastAsia="zh-CN" w:bidi="ar"/>
        </w:rPr>
        <w:t>网站，查看上述包裹所对应订单的订单信息、物流信息后进行确认收货的操作。</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日，广东省广州市南沙公证处为此出具了（</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43937</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43940</w:t>
      </w:r>
      <w:r>
        <w:rPr>
          <w:rFonts w:hint="eastAsia" w:ascii="仿宋_GB2312" w:hAnsi="Times New Roman" w:eastAsia="仿宋_GB2312" w:cs="仿宋_GB2312"/>
          <w:kern w:val="2"/>
          <w:sz w:val="32"/>
          <w:szCs w:val="32"/>
          <w:lang w:val="en-US" w:eastAsia="zh-CN" w:bidi="ar"/>
        </w:rPr>
        <w:t>号公证书予以佐证。</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日，朗某思公司的委托代理人黄某乙采用前述方式，再次浏览名称为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宁波风某工艺品有限公司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店铺，并分别下单购买名称为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跨境宇航员星空投影灯满天星激光投影灯星星氛围灯太空人摆件代发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的产品</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个和</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个，共计付款</w:t>
      </w:r>
      <w:r>
        <w:rPr>
          <w:rFonts w:hint="default" w:ascii="Times New Roman" w:hAnsi="Times New Roman" w:eastAsia="仿宋_GB2312" w:cs="Times New Roman"/>
          <w:kern w:val="2"/>
          <w:sz w:val="32"/>
          <w:szCs w:val="32"/>
          <w:lang w:val="en-US" w:eastAsia="zh-CN" w:bidi="ar"/>
        </w:rPr>
        <w:t>81</w:t>
      </w:r>
      <w:r>
        <w:rPr>
          <w:rFonts w:hint="eastAsia" w:ascii="仿宋_GB2312" w:hAnsi="Times New Roman" w:eastAsia="仿宋_GB2312" w:cs="仿宋_GB2312"/>
          <w:kern w:val="2"/>
          <w:sz w:val="32"/>
          <w:szCs w:val="32"/>
          <w:lang w:val="en-US" w:eastAsia="zh-CN" w:bidi="ar"/>
        </w:rPr>
        <w:t>元（其中包含运费</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158.1</w:t>
      </w:r>
      <w:r>
        <w:rPr>
          <w:rFonts w:hint="eastAsia" w:ascii="仿宋_GB2312" w:hAnsi="Times New Roman" w:eastAsia="仿宋_GB2312" w:cs="仿宋_GB2312"/>
          <w:kern w:val="2"/>
          <w:sz w:val="32"/>
          <w:szCs w:val="32"/>
          <w:lang w:val="en-US" w:eastAsia="zh-CN" w:bidi="ar"/>
        </w:rPr>
        <w:t>元（其中包含运费</w:t>
      </w:r>
      <w:r>
        <w:rPr>
          <w:rFonts w:hint="default" w:ascii="Times New Roman" w:hAnsi="Times New Roman" w:eastAsia="仿宋_GB2312" w:cs="Times New Roman"/>
          <w:kern w:val="2"/>
          <w:sz w:val="32"/>
          <w:szCs w:val="32"/>
          <w:lang w:val="en-US" w:eastAsia="zh-CN" w:bidi="ar"/>
        </w:rPr>
        <w:t>8.1</w:t>
      </w:r>
      <w:r>
        <w:rPr>
          <w:rFonts w:hint="eastAsia" w:ascii="仿宋_GB2312" w:hAnsi="Times New Roman" w:eastAsia="仿宋_GB2312" w:cs="仿宋_GB2312"/>
          <w:kern w:val="2"/>
          <w:sz w:val="32"/>
          <w:szCs w:val="32"/>
          <w:lang w:val="en-US" w:eastAsia="zh-CN" w:bidi="ar"/>
        </w:rPr>
        <w:t>元）。该公证处为此出具了（</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4557</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4558</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6651</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6652</w:t>
      </w:r>
      <w:r>
        <w:rPr>
          <w:rFonts w:hint="eastAsia" w:ascii="仿宋_GB2312" w:hAnsi="Times New Roman" w:eastAsia="仿宋_GB2312" w:cs="仿宋_GB2312"/>
          <w:kern w:val="2"/>
          <w:sz w:val="32"/>
          <w:szCs w:val="32"/>
          <w:lang w:val="en-US" w:eastAsia="zh-CN" w:bidi="ar"/>
        </w:rPr>
        <w:t>号公证书予以佐证。</w:t>
      </w:r>
    </w:p>
    <w:p w14:paraId="60D98A30">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日，朗某思公司的委托代理人黄某乙在公证人员的监督下，使用公证处的电脑和网络还进行了如下操作：打开</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网站，登录账号后，在名称为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宁波市博某光电科技有限公司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的店铺中点击</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跨境宇航员星空投影灯满天星激光投影灯星星氛围灯太空人摆件代发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的链接，浏览该产品详情页面，并加入购物车后购买，共计付款</w:t>
      </w:r>
      <w:r>
        <w:rPr>
          <w:rFonts w:hint="default" w:ascii="Times New Roman" w:hAnsi="Times New Roman" w:eastAsia="仿宋_GB2312" w:cs="Times New Roman"/>
          <w:kern w:val="2"/>
          <w:sz w:val="32"/>
          <w:szCs w:val="32"/>
          <w:lang w:val="en-US" w:eastAsia="zh-CN" w:bidi="ar"/>
        </w:rPr>
        <w:t>84</w:t>
      </w:r>
      <w:r>
        <w:rPr>
          <w:rFonts w:hint="eastAsia" w:ascii="仿宋_GB2312" w:hAnsi="Times New Roman" w:eastAsia="仿宋_GB2312" w:cs="仿宋_GB2312"/>
          <w:kern w:val="2"/>
          <w:sz w:val="32"/>
          <w:szCs w:val="32"/>
          <w:lang w:val="en-US" w:eastAsia="zh-CN" w:bidi="ar"/>
        </w:rPr>
        <w:t>元（其中包含运费</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元）。同时，黄某乙查看该店铺中的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公司档案</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，显示的经营者信息与博某公司在国家企业信用信息公示系统中查询的信息一致。在该店铺网页中，宣称</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专注灯饰照明研发</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厂家直销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宁波市博某光电科技有限公司是月球灯、星空灯、星空灯等产品专业生产加工的公司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支持</w:t>
      </w:r>
      <w:r>
        <w:rPr>
          <w:rFonts w:hint="default" w:ascii="Times New Roman" w:hAnsi="Times New Roman" w:eastAsia="仿宋_GB2312" w:cs="Times New Roman"/>
          <w:kern w:val="2"/>
          <w:sz w:val="32"/>
          <w:szCs w:val="32"/>
          <w:lang w:val="en-US" w:eastAsia="zh-CN" w:bidi="ar"/>
        </w:rPr>
        <w:t>OBM/ODM</w:t>
      </w:r>
      <w:r>
        <w:rPr>
          <w:rFonts w:hint="eastAsia" w:ascii="仿宋_GB2312" w:hAnsi="Times New Roman" w:eastAsia="仿宋_GB2312" w:cs="仿宋_GB2312"/>
          <w:kern w:val="2"/>
          <w:sz w:val="32"/>
          <w:szCs w:val="32"/>
          <w:lang w:val="en-US" w:eastAsia="zh-CN" w:bidi="ar"/>
        </w:rPr>
        <w:t>代工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，经营模式为生产加工。</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日，公证人员代收了一件包裹并带回公证处保管。</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日，在公证人员监督下，黄某乙拆开上述快递包裹，公证人员对快递包裹的外观及包裹内装的物品进行了查看，随后进行组装操作，上述过程对相关情况进行拍照，拍照后将该包裹进行封存。随后，黄某乙使用公证处电脑登录</w:t>
      </w:r>
      <w:r>
        <w:rPr>
          <w:rFonts w:hint="default" w:ascii="Times New Roman" w:hAnsi="Times New Roman" w:eastAsia="仿宋_GB2312" w:cs="Times New Roman"/>
          <w:kern w:val="2"/>
          <w:sz w:val="32"/>
          <w:szCs w:val="32"/>
          <w:lang w:val="en-US" w:eastAsia="zh-CN" w:bidi="ar"/>
        </w:rPr>
        <w:t>“www.1688.com”</w:t>
      </w:r>
      <w:r>
        <w:rPr>
          <w:rFonts w:hint="eastAsia" w:ascii="仿宋_GB2312" w:hAnsi="Times New Roman" w:eastAsia="仿宋_GB2312" w:cs="仿宋_GB2312"/>
          <w:kern w:val="2"/>
          <w:sz w:val="32"/>
          <w:szCs w:val="32"/>
          <w:lang w:val="en-US" w:eastAsia="zh-CN" w:bidi="ar"/>
        </w:rPr>
        <w:t>网站，查看上述包裹所对应订单的订单信息、物流信息后进行确认收货的操作。</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日，该公证处为此出具了（</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4547</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4548</w:t>
      </w:r>
      <w:r>
        <w:rPr>
          <w:rFonts w:hint="eastAsia" w:ascii="仿宋_GB2312" w:hAnsi="Times New Roman" w:eastAsia="仿宋_GB2312" w:cs="仿宋_GB2312"/>
          <w:kern w:val="2"/>
          <w:sz w:val="32"/>
          <w:szCs w:val="32"/>
          <w:lang w:val="en-US" w:eastAsia="zh-CN" w:bidi="ar"/>
        </w:rPr>
        <w:t>号公证书予以佐证。</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日，朗某思公司的委托代理人黄某乙采用前述方式，再次浏览名称为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宁波市博某光电科技有限公司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店铺，并下单购买名称为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跨境宇航员星空投影灯满天星激光投影灯星星氛围灯太空人摆件代发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的产品</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个，共计付款</w:t>
      </w:r>
      <w:r>
        <w:rPr>
          <w:rFonts w:hint="default" w:ascii="Times New Roman" w:hAnsi="Times New Roman" w:eastAsia="仿宋_GB2312" w:cs="Times New Roman"/>
          <w:kern w:val="2"/>
          <w:sz w:val="32"/>
          <w:szCs w:val="32"/>
          <w:lang w:val="en-US" w:eastAsia="zh-CN" w:bidi="ar"/>
        </w:rPr>
        <w:t>81</w:t>
      </w:r>
      <w:r>
        <w:rPr>
          <w:rFonts w:hint="eastAsia" w:ascii="仿宋_GB2312" w:hAnsi="Times New Roman" w:eastAsia="仿宋_GB2312" w:cs="仿宋_GB2312"/>
          <w:kern w:val="2"/>
          <w:sz w:val="32"/>
          <w:szCs w:val="32"/>
          <w:lang w:val="en-US" w:eastAsia="zh-CN" w:bidi="ar"/>
        </w:rPr>
        <w:t>元（其中包含运费</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日，该公证处为此出具了（</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6645</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6646</w:t>
      </w:r>
      <w:r>
        <w:rPr>
          <w:rFonts w:hint="eastAsia" w:ascii="仿宋_GB2312" w:hAnsi="Times New Roman" w:eastAsia="仿宋_GB2312" w:cs="仿宋_GB2312"/>
          <w:kern w:val="2"/>
          <w:sz w:val="32"/>
          <w:szCs w:val="32"/>
          <w:lang w:val="en-US" w:eastAsia="zh-CN" w:bidi="ar"/>
        </w:rPr>
        <w:t>号公证书予以佐证。</w:t>
      </w:r>
    </w:p>
    <w:p w14:paraId="5E749C49">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月至</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月期间，朗某思公司在某巴巴投诉平台先后五次投诉名称为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宁波风某工艺品有限公司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的店铺销售侵害朗某思公司外观设计专利权的宇航员投影灯产品，投诉结果均认定产品侵权。</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月至</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月期间，朗某思公司在某巴巴投诉平台先后五次投诉名称为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宁波市博某光电科技有限公司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的店铺销售侵害朗某思公司外观设计专利权的宇航员投影灯产品，投诉结果均认定产品侵权。</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日期间，朗某思公司在某巴巴投诉平台多次投诉名称为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宁波市两只蚁某三维科技有限公司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店铺销售侵害朗某思公司外观设计专利权的宇航员投影灯产品，投诉结果均认定产品侵权。</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日，风某公司向某巴巴平台提交申诉材料，并提供了虚假的朗某思公司外观设计专利授权书和营业执照证明。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日，王某峰的某平台朋友圈发布有多条宣传展示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宇航员星空灯</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产品的内容。</w:t>
      </w:r>
    </w:p>
    <w:p w14:paraId="68CCFA82">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博某公司、风某公司开设的店铺收款账户，其实名认证信息显示均为王某峰的个人账户。蚁某公司开设的店铺收款账户，其实名认证信息显示为翁某芬的个人账户。蚁某公司在其某巴巴网店的深度验厂报告中自认关联工厂为风某公司，经营模式为生产型，并上传有多张厂房、生产车间、机器设备的照片。</w:t>
      </w:r>
    </w:p>
    <w:p w14:paraId="142EADA2">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日，宁波市某局根据朗某思公司的请求对蚁某公司开展现场检查，现场抽样提取了</w:t>
      </w:r>
      <w:r>
        <w:rPr>
          <w:rFonts w:hint="default" w:ascii="Times New Roman" w:hAnsi="Times New Roman" w:eastAsia="仿宋_GB2312" w:cs="Times New Roman"/>
          <w:kern w:val="2"/>
          <w:sz w:val="32"/>
          <w:szCs w:val="32"/>
          <w:lang w:val="en-US" w:eastAsia="zh-CN" w:bidi="ar"/>
        </w:rPr>
        <w:t>W4</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W5</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R</w:t>
      </w:r>
      <w:r>
        <w:rPr>
          <w:rFonts w:hint="eastAsia" w:ascii="仿宋_GB2312" w:hAnsi="Times New Roman" w:eastAsia="仿宋_GB2312" w:cs="仿宋_GB2312"/>
          <w:kern w:val="2"/>
          <w:sz w:val="32"/>
          <w:szCs w:val="32"/>
          <w:lang w:val="en-US" w:eastAsia="zh-CN" w:bidi="ar"/>
        </w:rPr>
        <w:t>三款产品，现场未发现朗某思公司公证购买的同款产品，后朗某思公司对</w:t>
      </w:r>
      <w:r>
        <w:rPr>
          <w:rFonts w:hint="default" w:ascii="Times New Roman" w:hAnsi="Times New Roman" w:eastAsia="仿宋_GB2312" w:cs="Times New Roman"/>
          <w:kern w:val="2"/>
          <w:sz w:val="32"/>
          <w:szCs w:val="32"/>
          <w:lang w:val="en-US" w:eastAsia="zh-CN" w:bidi="ar"/>
        </w:rPr>
        <w:t>R</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W4</w:t>
      </w:r>
      <w:r>
        <w:rPr>
          <w:rFonts w:hint="eastAsia" w:ascii="仿宋_GB2312" w:hAnsi="Times New Roman" w:eastAsia="仿宋_GB2312" w:cs="仿宋_GB2312"/>
          <w:kern w:val="2"/>
          <w:sz w:val="32"/>
          <w:szCs w:val="32"/>
          <w:lang w:val="en-US" w:eastAsia="zh-CN" w:bidi="ar"/>
        </w:rPr>
        <w:t>两款产品放弃侵权裁决请求。该局经审理，于</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日作出江北知案字[</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号行政裁决，认定朗某思公司公证购买的蚁某公司所销售的产品构成侵犯涉案外观设计专利权，抽样取证的型号为</w:t>
      </w:r>
      <w:r>
        <w:rPr>
          <w:rFonts w:hint="default" w:ascii="Times New Roman" w:hAnsi="Times New Roman" w:eastAsia="仿宋_GB2312" w:cs="Times New Roman"/>
          <w:kern w:val="2"/>
          <w:sz w:val="32"/>
          <w:szCs w:val="32"/>
          <w:lang w:val="en-US" w:eastAsia="zh-CN" w:bidi="ar"/>
        </w:rPr>
        <w:t>W5</w:t>
      </w:r>
      <w:r>
        <w:rPr>
          <w:rFonts w:hint="eastAsia" w:ascii="仿宋_GB2312" w:hAnsi="Times New Roman" w:eastAsia="仿宋_GB2312" w:cs="仿宋_GB2312"/>
          <w:kern w:val="2"/>
          <w:sz w:val="32"/>
          <w:szCs w:val="32"/>
          <w:lang w:val="en-US" w:eastAsia="zh-CN" w:bidi="ar"/>
        </w:rPr>
        <w:t>的被诉侵权产品不构成侵权。</w:t>
      </w:r>
    </w:p>
    <w:p w14:paraId="2F655B25">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日，朗某思公司的委托代理人黄某乙向广东省广州市南沙公证处申请办理保全证据公证。同日，在公证处，公证人员监督黄某乙带来的由公证处出具的（</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43939</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43940</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6652</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4560</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4548</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6646</w:t>
      </w:r>
      <w:r>
        <w:rPr>
          <w:rFonts w:hint="eastAsia" w:ascii="仿宋_GB2312" w:hAnsi="Times New Roman" w:eastAsia="仿宋_GB2312" w:cs="仿宋_GB2312"/>
          <w:kern w:val="2"/>
          <w:sz w:val="32"/>
          <w:szCs w:val="32"/>
          <w:lang w:val="en-US" w:eastAsia="zh-CN" w:bidi="ar"/>
        </w:rPr>
        <w:t>号公证书所指的证物。现场可见上述证物上公证处封签完整，无拆开痕迹，公证人员对上述证物进行了拍照、录像。随后，由朗某思公司的技术人员对证物进行拆解后复原，公证人员对过程进行拍照、录像，再由公证人员对上述包裹重新进行封存。</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日，该公证处分别为此出具了（</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）粤广南沙第</w:t>
      </w:r>
      <w:r>
        <w:rPr>
          <w:rFonts w:hint="default" w:ascii="Times New Roman" w:hAnsi="Times New Roman" w:eastAsia="仿宋_GB2312" w:cs="Times New Roman"/>
          <w:kern w:val="2"/>
          <w:sz w:val="32"/>
          <w:szCs w:val="32"/>
          <w:lang w:val="en-US" w:eastAsia="zh-CN" w:bidi="ar"/>
        </w:rPr>
        <w:t>451</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452</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448</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450</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453</w:t>
      </w:r>
      <w:r>
        <w:rPr>
          <w:rFonts w:hint="eastAsia" w:ascii="仿宋_GB2312" w:hAnsi="Times New Roman" w:eastAsia="仿宋_GB2312" w:cs="仿宋_GB2312"/>
          <w:kern w:val="2"/>
          <w:sz w:val="32"/>
          <w:szCs w:val="32"/>
          <w:lang w:val="en-US" w:eastAsia="zh-CN" w:bidi="ar"/>
        </w:rPr>
        <w:t>号、第</w:t>
      </w:r>
      <w:r>
        <w:rPr>
          <w:rFonts w:hint="default" w:ascii="Times New Roman" w:hAnsi="Times New Roman" w:eastAsia="仿宋_GB2312" w:cs="Times New Roman"/>
          <w:kern w:val="2"/>
          <w:sz w:val="32"/>
          <w:szCs w:val="32"/>
          <w:lang w:val="en-US" w:eastAsia="zh-CN" w:bidi="ar"/>
        </w:rPr>
        <w:t>449</w:t>
      </w:r>
      <w:r>
        <w:rPr>
          <w:rFonts w:hint="eastAsia" w:ascii="仿宋_GB2312" w:hAnsi="Times New Roman" w:eastAsia="仿宋_GB2312" w:cs="仿宋_GB2312"/>
          <w:kern w:val="2"/>
          <w:sz w:val="32"/>
          <w:szCs w:val="32"/>
          <w:lang w:val="en-US" w:eastAsia="zh-CN" w:bidi="ar"/>
        </w:rPr>
        <w:t>号公证书予以佐证。</w:t>
      </w:r>
    </w:p>
    <w:p w14:paraId="2E9A60F5">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朗某思公司通过某旺旺与风某公司沟通，风某公司的工作人员陈述“我们是工厂”，并表示“产品定制可以走线下”“有现货”“定制数量都是上千的”“线下走合同”，当朗某思公司询问“能不能走私账？”“宁波市两只蚁某三维科技有限公司，你们是一家的？”“我看他们家有的你们家也有，上面发的图片也一样，地址也一样”，风某公司的工作人员答复“可以打到老板的对私账户”“是的”“同一家”。同日，朗某思公司通过某旺旺与蚁某公司的工作人员沟通，蚁某公司在面对“你们是工厂店吗？有没有生产工厂？”的询问时，声称“最近在生产欧美超市的货”，并表示“可以走线下”“要开票就对公转款”“不开票对私”“可以定制”“我们的客户</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以上都是礼品公司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w:t>
      </w:r>
    </w:p>
    <w:p w14:paraId="0EB6477E">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日，朗某思公司的委托代理人冷某甲向浙江省宁波市永欣公证处申请对其购物行为及过程办理保全证据公证。</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日上午，公证人员随冷某甲、冷某乙来到浙江省余姚市河姆渡镇罗江工业区（该场所标有</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某甲公司</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字样），厂门外贴有蚁某公司的招聘信息，联系人为何先生</w:t>
      </w:r>
      <w:r>
        <w:rPr>
          <w:rFonts w:hint="default" w:ascii="Times New Roman" w:hAnsi="Times New Roman" w:eastAsia="仿宋_GB2312" w:cs="Times New Roman"/>
          <w:kern w:val="2"/>
          <w:sz w:val="32"/>
          <w:szCs w:val="32"/>
          <w:lang w:val="en-US" w:eastAsia="zh-CN" w:bidi="ar"/>
        </w:rPr>
        <w:t>158×××××520</w:t>
      </w:r>
      <w:r>
        <w:rPr>
          <w:rFonts w:hint="eastAsia" w:ascii="仿宋_GB2312" w:hAnsi="Times New Roman" w:eastAsia="仿宋_GB2312" w:cs="仿宋_GB2312"/>
          <w:kern w:val="2"/>
          <w:sz w:val="32"/>
          <w:szCs w:val="32"/>
          <w:lang w:val="en-US" w:eastAsia="zh-CN" w:bidi="ar"/>
        </w:rPr>
        <w:t>，王某</w:t>
      </w:r>
      <w:r>
        <w:rPr>
          <w:rFonts w:hint="default" w:ascii="Times New Roman" w:hAnsi="Times New Roman" w:eastAsia="仿宋_GB2312" w:cs="Times New Roman"/>
          <w:kern w:val="2"/>
          <w:sz w:val="32"/>
          <w:szCs w:val="32"/>
          <w:lang w:val="en-US" w:eastAsia="zh-CN" w:bidi="ar"/>
        </w:rPr>
        <w:t>13056740666</w:t>
      </w:r>
      <w:r>
        <w:rPr>
          <w:rFonts w:hint="eastAsia" w:ascii="仿宋_GB2312" w:hAnsi="Times New Roman" w:eastAsia="仿宋_GB2312" w:cs="仿宋_GB2312"/>
          <w:kern w:val="2"/>
          <w:sz w:val="32"/>
          <w:szCs w:val="32"/>
          <w:lang w:val="en-US" w:eastAsia="zh-CN" w:bidi="ar"/>
        </w:rPr>
        <w:t>。在场所内冷某乙与联系人见面后，冷某乙、冷某甲及公证人员随联系人乘坐电梯来到了</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号楼三楼办公室，冷某甲向该公司的工作人员下订单购买了</w:t>
      </w:r>
      <w:r>
        <w:rPr>
          <w:rFonts w:hint="default" w:ascii="Times New Roman" w:hAnsi="Times New Roman" w:eastAsia="仿宋_GB2312" w:cs="Times New Roman"/>
          <w:kern w:val="2"/>
          <w:sz w:val="32"/>
          <w:szCs w:val="32"/>
          <w:lang w:val="en-US" w:eastAsia="zh-CN" w:bidi="ar"/>
        </w:rPr>
        <w:t>“W0</w:t>
      </w:r>
      <w:r>
        <w:rPr>
          <w:rFonts w:hint="eastAsia" w:ascii="仿宋_GB2312" w:hAnsi="Times New Roman" w:eastAsia="仿宋_GB2312" w:cs="仿宋_GB2312"/>
          <w:kern w:val="2"/>
          <w:sz w:val="32"/>
          <w:szCs w:val="32"/>
          <w:lang w:val="en-US" w:eastAsia="zh-CN" w:bidi="ar"/>
        </w:rPr>
        <w:t>太空人</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“W4</w:t>
      </w:r>
      <w:r>
        <w:rPr>
          <w:rFonts w:hint="eastAsia" w:ascii="仿宋_GB2312" w:hAnsi="Times New Roman" w:eastAsia="仿宋_GB2312" w:cs="仿宋_GB2312"/>
          <w:kern w:val="2"/>
          <w:sz w:val="32"/>
          <w:szCs w:val="32"/>
          <w:lang w:val="en-US" w:eastAsia="zh-CN" w:bidi="ar"/>
        </w:rPr>
        <w:t>太空人</w:t>
      </w:r>
      <w:r>
        <w:rPr>
          <w:rFonts w:hint="default" w:ascii="Times New Roman" w:hAnsi="Times New Roman" w:eastAsia="仿宋_GB2312" w:cs="Times New Roman"/>
          <w:kern w:val="2"/>
          <w:sz w:val="32"/>
          <w:szCs w:val="32"/>
          <w:lang w:val="en-US" w:eastAsia="zh-CN" w:bidi="ar"/>
        </w:rPr>
        <w:t>”36</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“W5</w:t>
      </w:r>
      <w:r>
        <w:rPr>
          <w:rFonts w:hint="eastAsia" w:ascii="仿宋_GB2312" w:hAnsi="Times New Roman" w:eastAsia="仿宋_GB2312" w:cs="仿宋_GB2312"/>
          <w:kern w:val="2"/>
          <w:sz w:val="32"/>
          <w:szCs w:val="32"/>
          <w:lang w:val="en-US" w:eastAsia="zh-CN" w:bidi="ar"/>
        </w:rPr>
        <w:t>太空人</w:t>
      </w:r>
      <w:r>
        <w:rPr>
          <w:rFonts w:hint="default" w:ascii="Times New Roman" w:hAnsi="Times New Roman" w:eastAsia="仿宋_GB2312" w:cs="Times New Roman"/>
          <w:kern w:val="2"/>
          <w:sz w:val="32"/>
          <w:szCs w:val="32"/>
          <w:lang w:val="en-US" w:eastAsia="zh-CN" w:bidi="ar"/>
        </w:rPr>
        <w:t>”36</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“X2</w:t>
      </w:r>
      <w:r>
        <w:rPr>
          <w:rFonts w:hint="eastAsia" w:ascii="仿宋_GB2312" w:hAnsi="Times New Roman" w:eastAsia="仿宋_GB2312" w:cs="仿宋_GB2312"/>
          <w:kern w:val="2"/>
          <w:sz w:val="32"/>
          <w:szCs w:val="32"/>
          <w:lang w:val="en-US" w:eastAsia="zh-CN" w:bidi="ar"/>
        </w:rPr>
        <w:t>太空狗</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“R</w:t>
      </w:r>
      <w:r>
        <w:rPr>
          <w:rFonts w:hint="eastAsia" w:ascii="仿宋_GB2312" w:hAnsi="Times New Roman" w:eastAsia="仿宋_GB2312" w:cs="仿宋_GB2312"/>
          <w:kern w:val="2"/>
          <w:sz w:val="32"/>
          <w:szCs w:val="32"/>
          <w:lang w:val="en-US" w:eastAsia="zh-CN" w:bidi="ar"/>
        </w:rPr>
        <w:t>款精灵人</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“R</w:t>
      </w:r>
      <w:r>
        <w:rPr>
          <w:rFonts w:hint="eastAsia" w:ascii="仿宋_GB2312" w:hAnsi="Times New Roman" w:eastAsia="仿宋_GB2312" w:cs="仿宋_GB2312"/>
          <w:kern w:val="2"/>
          <w:sz w:val="32"/>
          <w:szCs w:val="32"/>
          <w:lang w:val="en-US" w:eastAsia="zh-CN" w:bidi="ar"/>
        </w:rPr>
        <w:t>款破晓</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“K</w:t>
      </w:r>
      <w:r>
        <w:rPr>
          <w:rFonts w:hint="eastAsia" w:ascii="仿宋_GB2312" w:hAnsi="Times New Roman" w:eastAsia="仿宋_GB2312" w:cs="仿宋_GB2312"/>
          <w:kern w:val="2"/>
          <w:sz w:val="32"/>
          <w:szCs w:val="32"/>
          <w:lang w:val="en-US" w:eastAsia="zh-CN" w:bidi="ar"/>
        </w:rPr>
        <w:t>款</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台，期间该公司的工作人员对部分产品的使用情况进行介绍及测试。冷某甲用手机支付宝付款方式向该公司的工作人员支付了货款，付款信息显示收款人为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何某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。该公司工作人员填写了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出库单</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（编号为</w:t>
      </w:r>
      <w:r>
        <w:rPr>
          <w:rFonts w:hint="default" w:ascii="Times New Roman" w:hAnsi="Times New Roman" w:eastAsia="仿宋_GB2312" w:cs="Times New Roman"/>
          <w:kern w:val="2"/>
          <w:sz w:val="32"/>
          <w:szCs w:val="32"/>
          <w:lang w:val="en-US" w:eastAsia="zh-CN" w:bidi="ar"/>
        </w:rPr>
        <w:t>NO.3814423</w:t>
      </w:r>
      <w:r>
        <w:rPr>
          <w:rFonts w:hint="eastAsia" w:ascii="仿宋_GB2312" w:hAnsi="Times New Roman" w:eastAsia="仿宋_GB2312" w:cs="仿宋_GB2312"/>
          <w:kern w:val="2"/>
          <w:sz w:val="32"/>
          <w:szCs w:val="32"/>
          <w:lang w:val="en-US" w:eastAsia="zh-CN" w:bidi="ar"/>
        </w:rPr>
        <w:t>），随后在该公司的工作人员陪同下，参观了仓库及生产线等场所。冷某甲用公证处工作用手机对现场有关场所、对填写完的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出库单</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、手机支付界面等进行了拍照。在该仓库和生产线等场所，可见部分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太空人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产品的成品和半成品。</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日，该公证处为此出具了（</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）浙甬永证民字第</w:t>
      </w:r>
      <w:r>
        <w:rPr>
          <w:rFonts w:hint="default" w:ascii="Times New Roman" w:hAnsi="Times New Roman" w:eastAsia="仿宋_GB2312" w:cs="Times New Roman"/>
          <w:kern w:val="2"/>
          <w:sz w:val="32"/>
          <w:szCs w:val="32"/>
          <w:lang w:val="en-US" w:eastAsia="zh-CN" w:bidi="ar"/>
        </w:rPr>
        <w:t>1187</w:t>
      </w:r>
      <w:r>
        <w:rPr>
          <w:rFonts w:hint="eastAsia" w:ascii="仿宋_GB2312" w:hAnsi="Times New Roman" w:eastAsia="仿宋_GB2312" w:cs="仿宋_GB2312"/>
          <w:kern w:val="2"/>
          <w:sz w:val="32"/>
          <w:szCs w:val="32"/>
          <w:lang w:val="en-US" w:eastAsia="zh-CN" w:bidi="ar"/>
        </w:rPr>
        <w:t>号公证书予以佐证。</w:t>
      </w:r>
    </w:p>
    <w:p w14:paraId="3CEC0D35">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日，朗某思公司的委托代理人冷某乙向广东省佛山市岭南公证处申请办理浏览手机某平台聊天记录及朋友圈的保全证据公证。同日，公证员使用冷某乙提供的手机，登录某平台账号，查看与昵称为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如果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爱</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（某平台号：</w:t>
      </w:r>
      <w:r>
        <w:rPr>
          <w:rFonts w:hint="default" w:ascii="Times New Roman" w:hAnsi="Times New Roman" w:eastAsia="仿宋_GB2312" w:cs="Times New Roman"/>
          <w:kern w:val="2"/>
          <w:sz w:val="32"/>
          <w:szCs w:val="32"/>
          <w:lang w:val="en-US" w:eastAsia="zh-CN" w:bidi="ar"/>
        </w:rPr>
        <w:t>hex××××eng</w:t>
      </w:r>
      <w:r>
        <w:rPr>
          <w:rFonts w:hint="eastAsia" w:ascii="仿宋_GB2312" w:hAnsi="Times New Roman" w:eastAsia="仿宋_GB2312" w:cs="仿宋_GB2312"/>
          <w:kern w:val="2"/>
          <w:sz w:val="32"/>
          <w:szCs w:val="32"/>
          <w:lang w:val="en-US" w:eastAsia="zh-CN" w:bidi="ar"/>
        </w:rPr>
        <w:t>，手机号码为</w:t>
      </w:r>
      <w:r>
        <w:rPr>
          <w:rFonts w:hint="default" w:ascii="Times New Roman" w:hAnsi="Times New Roman" w:eastAsia="仿宋_GB2312" w:cs="Times New Roman"/>
          <w:kern w:val="2"/>
          <w:sz w:val="32"/>
          <w:szCs w:val="32"/>
          <w:lang w:val="en-US" w:eastAsia="zh-CN" w:bidi="ar"/>
        </w:rPr>
        <w:t>158×××××520</w:t>
      </w:r>
      <w:r>
        <w:rPr>
          <w:rFonts w:hint="eastAsia" w:ascii="仿宋_GB2312" w:hAnsi="Times New Roman" w:eastAsia="仿宋_GB2312" w:cs="仿宋_GB2312"/>
          <w:kern w:val="2"/>
          <w:sz w:val="32"/>
          <w:szCs w:val="32"/>
          <w:lang w:val="en-US" w:eastAsia="zh-CN" w:bidi="ar"/>
        </w:rPr>
        <w:t>）的聊天记录，其主要内容如下：</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日，双方加上某平台好友后，洽谈购买宇航员星空投影仪事宜，昵称为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如果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爱</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的某平台用户发了几款产品的图片并报价，发送的工厂地址显示为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浙江省余姚市，提供的银行卡收款账户显示户名为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何某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，并收取了</w:t>
      </w:r>
      <w:r>
        <w:rPr>
          <w:rFonts w:hint="default" w:ascii="Times New Roman" w:hAnsi="Times New Roman" w:eastAsia="仿宋_GB2312" w:cs="Times New Roman"/>
          <w:kern w:val="2"/>
          <w:sz w:val="32"/>
          <w:szCs w:val="32"/>
          <w:lang w:val="en-US" w:eastAsia="zh-CN" w:bidi="ar"/>
        </w:rPr>
        <w:t>3000</w:t>
      </w:r>
      <w:r>
        <w:rPr>
          <w:rFonts w:hint="eastAsia" w:ascii="仿宋_GB2312" w:hAnsi="Times New Roman" w:eastAsia="仿宋_GB2312" w:cs="仿宋_GB2312"/>
          <w:kern w:val="2"/>
          <w:sz w:val="32"/>
          <w:szCs w:val="32"/>
          <w:lang w:val="en-US" w:eastAsia="zh-CN" w:bidi="ar"/>
        </w:rPr>
        <w:t>元定金。</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日，冷某乙按约来到前述定位的工厂。次日，昵称为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如果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爱</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的某平台用户发送了一张出库单（编号为</w:t>
      </w:r>
      <w:r>
        <w:rPr>
          <w:rFonts w:hint="default" w:ascii="Times New Roman" w:hAnsi="Times New Roman" w:eastAsia="仿宋_GB2312" w:cs="Times New Roman"/>
          <w:kern w:val="2"/>
          <w:sz w:val="32"/>
          <w:szCs w:val="32"/>
          <w:lang w:val="en-US" w:eastAsia="zh-CN" w:bidi="ar"/>
        </w:rPr>
        <w:t>NO.3814423</w:t>
      </w:r>
      <w:r>
        <w:rPr>
          <w:rFonts w:hint="eastAsia" w:ascii="仿宋_GB2312" w:hAnsi="Times New Roman" w:eastAsia="仿宋_GB2312" w:cs="仿宋_GB2312"/>
          <w:kern w:val="2"/>
          <w:sz w:val="32"/>
          <w:szCs w:val="32"/>
          <w:lang w:val="en-US" w:eastAsia="zh-CN" w:bidi="ar"/>
        </w:rPr>
        <w:t>），上面盖有风某公司的公章。</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日，昵称为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如果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爱</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的某平台用户发送了一份购销合同的电子档，合同中乙方信息显示为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何某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日，该公证处为此出具了（</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）粤佛岭南证字第</w:t>
      </w:r>
      <w:r>
        <w:rPr>
          <w:rFonts w:hint="default" w:ascii="Times New Roman" w:hAnsi="Times New Roman" w:eastAsia="仿宋_GB2312" w:cs="Times New Roman"/>
          <w:kern w:val="2"/>
          <w:sz w:val="32"/>
          <w:szCs w:val="32"/>
          <w:lang w:val="en-US" w:eastAsia="zh-CN" w:bidi="ar"/>
        </w:rPr>
        <w:t>4535</w:t>
      </w:r>
      <w:r>
        <w:rPr>
          <w:rFonts w:hint="eastAsia" w:ascii="仿宋_GB2312" w:hAnsi="Times New Roman" w:eastAsia="仿宋_GB2312" w:cs="仿宋_GB2312"/>
          <w:kern w:val="2"/>
          <w:sz w:val="32"/>
          <w:szCs w:val="32"/>
          <w:lang w:val="en-US" w:eastAsia="zh-CN" w:bidi="ar"/>
        </w:rPr>
        <w:t>号公证书予以佐证。</w:t>
      </w:r>
    </w:p>
    <w:p w14:paraId="6D2F8C5F">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日，宁波市知识产权局根据朗某思公司的请求对蚁某公司开展现场检查，现场抽样提取了</w:t>
      </w:r>
      <w:r>
        <w:rPr>
          <w:rFonts w:hint="default" w:ascii="Times New Roman" w:hAnsi="Times New Roman" w:eastAsia="仿宋_GB2312" w:cs="Times New Roman"/>
          <w:kern w:val="2"/>
          <w:sz w:val="32"/>
          <w:szCs w:val="32"/>
          <w:lang w:val="en-US" w:eastAsia="zh-CN" w:bidi="ar"/>
        </w:rPr>
        <w:t>W4</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W5</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R</w:t>
      </w:r>
      <w:r>
        <w:rPr>
          <w:rFonts w:hint="eastAsia" w:ascii="仿宋_GB2312" w:hAnsi="Times New Roman" w:eastAsia="仿宋_GB2312" w:cs="仿宋_GB2312"/>
          <w:kern w:val="2"/>
          <w:sz w:val="32"/>
          <w:szCs w:val="32"/>
          <w:lang w:val="en-US" w:eastAsia="zh-CN" w:bidi="ar"/>
        </w:rPr>
        <w:t>三款产品，现场未发现朗某思公司公证购买的同款产品，后朗某思公司对</w:t>
      </w:r>
      <w:r>
        <w:rPr>
          <w:rFonts w:hint="default" w:ascii="Times New Roman" w:hAnsi="Times New Roman" w:eastAsia="仿宋_GB2312" w:cs="Times New Roman"/>
          <w:kern w:val="2"/>
          <w:sz w:val="32"/>
          <w:szCs w:val="32"/>
          <w:lang w:val="en-US" w:eastAsia="zh-CN" w:bidi="ar"/>
        </w:rPr>
        <w:t>R</w:t>
      </w:r>
      <w:r>
        <w:rPr>
          <w:rFonts w:hint="eastAsia" w:ascii="仿宋_GB2312" w:hAnsi="Times New Roman" w:eastAsia="仿宋_GB2312" w:cs="仿宋_GB2312"/>
          <w:kern w:val="2"/>
          <w:sz w:val="32"/>
          <w:szCs w:val="32"/>
          <w:lang w:val="en-US" w:eastAsia="zh-CN" w:bidi="ar"/>
        </w:rPr>
        <w:t>款产品放弃侵权裁决请求。该局经审理，于</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日作出甬市知法案字</w:t>
      </w:r>
      <w:r>
        <w:rPr>
          <w:rFonts w:hint="default" w:ascii="Times New Roman" w:hAnsi="Times New Roman" w:eastAsia="仿宋_GB2312" w:cs="Times New Roman"/>
          <w:kern w:val="2"/>
          <w:sz w:val="32"/>
          <w:szCs w:val="32"/>
          <w:lang w:val="en-US" w:eastAsia="zh-CN" w:bidi="ar"/>
        </w:rPr>
        <w:t>[2023]30</w:t>
      </w:r>
      <w:r>
        <w:rPr>
          <w:rFonts w:hint="eastAsia" w:ascii="仿宋_GB2312" w:hAnsi="Times New Roman" w:eastAsia="仿宋_GB2312" w:cs="仿宋_GB2312"/>
          <w:kern w:val="2"/>
          <w:sz w:val="32"/>
          <w:szCs w:val="32"/>
          <w:lang w:val="en-US" w:eastAsia="zh-CN" w:bidi="ar"/>
        </w:rPr>
        <w:t>号行政裁决书，认定朗某思公司公证购买的蚁某公司所销售的产品构成侵犯涉案外观设计专利权，抽样取证的型号为</w:t>
      </w:r>
      <w:r>
        <w:rPr>
          <w:rFonts w:hint="default" w:ascii="Times New Roman" w:hAnsi="Times New Roman" w:eastAsia="仿宋_GB2312" w:cs="Times New Roman"/>
          <w:kern w:val="2"/>
          <w:sz w:val="32"/>
          <w:szCs w:val="32"/>
          <w:lang w:val="en-US" w:eastAsia="zh-CN" w:bidi="ar"/>
        </w:rPr>
        <w:t>W4</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W5</w:t>
      </w:r>
      <w:r>
        <w:rPr>
          <w:rFonts w:hint="eastAsia" w:ascii="仿宋_GB2312" w:hAnsi="Times New Roman" w:eastAsia="仿宋_GB2312" w:cs="仿宋_GB2312"/>
          <w:kern w:val="2"/>
          <w:sz w:val="32"/>
          <w:szCs w:val="32"/>
          <w:lang w:val="en-US" w:eastAsia="zh-CN" w:bidi="ar"/>
        </w:rPr>
        <w:t>的被诉侵权产品不构成侵权。</w:t>
      </w:r>
    </w:p>
    <w:p w14:paraId="2BAB0991">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三公司主张其通过向案外人转款的形式进行刷单，涉案店铺显示的销售数据并不真实，并提交了网上银行电子回单及相应的订单详情予以佐证。</w:t>
      </w:r>
    </w:p>
    <w:p w14:paraId="3C184FFA">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庭审中，经检查公证封存的被诉侵权产品实物外包装完好。朗某思公司主张的涉案被诉侵权产品共有三款，其中两款的宇航员外形相同，区别点在于底座分别为月球土壤表面（以下简称月球款）和圆柱形合金底座（即前文所述合金款），还有一款系（</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）浙甬永证民字第</w:t>
      </w:r>
      <w:r>
        <w:rPr>
          <w:rFonts w:hint="default" w:ascii="Times New Roman" w:hAnsi="Times New Roman" w:eastAsia="仿宋_GB2312" w:cs="Times New Roman"/>
          <w:kern w:val="2"/>
          <w:sz w:val="32"/>
          <w:szCs w:val="32"/>
          <w:lang w:val="en-US" w:eastAsia="zh-CN" w:bidi="ar"/>
        </w:rPr>
        <w:t>1187</w:t>
      </w:r>
      <w:r>
        <w:rPr>
          <w:rFonts w:hint="eastAsia" w:ascii="仿宋_GB2312" w:hAnsi="Times New Roman" w:eastAsia="仿宋_GB2312" w:cs="仿宋_GB2312"/>
          <w:kern w:val="2"/>
          <w:sz w:val="32"/>
          <w:szCs w:val="32"/>
          <w:lang w:val="en-US" w:eastAsia="zh-CN" w:bidi="ar"/>
        </w:rPr>
        <w:t>号公证书中所载现场购买的产品（以下简称为现场购买款）。</w:t>
      </w:r>
    </w:p>
    <w:p w14:paraId="032ACF95">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一审另查明，朗某思公司为维权支出了一定的公证费。该院于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日作出（</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02</w:t>
      </w:r>
      <w:r>
        <w:rPr>
          <w:rFonts w:hint="eastAsia" w:ascii="仿宋_GB2312" w:hAnsi="Times New Roman" w:eastAsia="仿宋_GB2312" w:cs="仿宋_GB2312"/>
          <w:kern w:val="2"/>
          <w:sz w:val="32"/>
          <w:szCs w:val="32"/>
          <w:lang w:val="en-US" w:eastAsia="zh-CN" w:bidi="ar"/>
        </w:rPr>
        <w:t>知民初</w:t>
      </w:r>
      <w:r>
        <w:rPr>
          <w:rFonts w:hint="default" w:ascii="Times New Roman" w:hAnsi="Times New Roman" w:eastAsia="仿宋_GB2312" w:cs="Times New Roman"/>
          <w:kern w:val="2"/>
          <w:sz w:val="32"/>
          <w:szCs w:val="32"/>
          <w:lang w:val="en-US" w:eastAsia="zh-CN" w:bidi="ar"/>
        </w:rPr>
        <w:t>592</w:t>
      </w:r>
      <w:r>
        <w:rPr>
          <w:rFonts w:hint="eastAsia" w:ascii="仿宋_GB2312" w:hAnsi="Times New Roman" w:eastAsia="仿宋_GB2312" w:cs="仿宋_GB2312"/>
          <w:kern w:val="2"/>
          <w:sz w:val="32"/>
          <w:szCs w:val="32"/>
          <w:lang w:val="en-US" w:eastAsia="zh-CN" w:bidi="ar"/>
        </w:rPr>
        <w:t>号民事判决，判令：</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蚁某公司、风某公司立即停止制造、销售、许诺销售侵害朗某思公司享有的专利号为</w:t>
      </w:r>
      <w:r>
        <w:rPr>
          <w:rFonts w:hint="default" w:ascii="Times New Roman" w:hAnsi="Times New Roman" w:eastAsia="仿宋_GB2312" w:cs="Times New Roman"/>
          <w:kern w:val="2"/>
          <w:sz w:val="32"/>
          <w:szCs w:val="32"/>
          <w:lang w:val="en-US" w:eastAsia="zh-CN" w:bidi="ar"/>
        </w:rPr>
        <w:t>ZL2021 1 0156576.7</w:t>
      </w:r>
      <w:r>
        <w:rPr>
          <w:rFonts w:hint="eastAsia" w:ascii="仿宋_GB2312" w:hAnsi="Times New Roman" w:eastAsia="仿宋_GB2312" w:cs="仿宋_GB2312"/>
          <w:kern w:val="2"/>
          <w:sz w:val="32"/>
          <w:szCs w:val="32"/>
          <w:lang w:val="en-US" w:eastAsia="zh-CN" w:bidi="ar"/>
        </w:rPr>
        <w:t>，名称为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一种星空投影灯及其星云生成方法</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发明专利权产品的行为；</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蚁某公司、风某公司赔偿朗某思公司经济损失</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万元（包括朗某思公司为制止侵权行为所支付的合理开支），于判决生效后十日内付清；</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王某峰对风某公司所承担的上述债务承担连带责任；</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驳回朗某思公司的其他诉讼请求。目前，该案仍在二审中。</w:t>
      </w:r>
    </w:p>
    <w:p w14:paraId="18671B81">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再查明，某乙公司（自然人投资或控股），成立于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日，注册资本</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万元，其工商登记的经营范围包括技术服务、技术开发、技术咨询、技术交流、技术转让、技术推广；光电子器件销售；</w:t>
      </w:r>
      <w:r>
        <w:rPr>
          <w:rFonts w:hint="default" w:ascii="Times New Roman" w:hAnsi="Times New Roman" w:eastAsia="仿宋_GB2312" w:cs="Times New Roman"/>
          <w:kern w:val="2"/>
          <w:sz w:val="32"/>
          <w:szCs w:val="32"/>
          <w:lang w:val="en-US" w:eastAsia="zh-CN" w:bidi="ar"/>
        </w:rPr>
        <w:t>3D</w:t>
      </w:r>
      <w:r>
        <w:rPr>
          <w:rFonts w:hint="eastAsia" w:ascii="仿宋_GB2312" w:hAnsi="Times New Roman" w:eastAsia="仿宋_GB2312" w:cs="仿宋_GB2312"/>
          <w:kern w:val="2"/>
          <w:sz w:val="32"/>
          <w:szCs w:val="32"/>
          <w:lang w:val="en-US" w:eastAsia="zh-CN" w:bidi="ar"/>
        </w:rPr>
        <w:t>打印服务；工业设计服务；电气机械设备销售；照明器具销售等。风某公司某丙公司（自然人独资），成立于</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日，注册资本</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万元，其工商登记的经营范围包括工艺美术品及礼仪用品制造；照明器具制造；机械零件、零部件加工和销售；日用杂品制造；灯具销售；办公用品销售等。蚁某公司某丙公司（自然人投资或控股），成立于</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日，注册资本</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万元，其工商登记的经营范围包括照明灯具制造、销售；塑料制品制造、销售；电子元器件制造、批发；家用电器制造、销售；光电子器件制造、销售等。王某峰系三公司的法定代表人，且王某峰是风某公司的唯一股东，并持有蚁某公司</w:t>
      </w:r>
      <w:r>
        <w:rPr>
          <w:rFonts w:hint="default" w:ascii="Times New Roman" w:hAnsi="Times New Roman" w:eastAsia="仿宋_GB2312" w:cs="Times New Roman"/>
          <w:kern w:val="2"/>
          <w:sz w:val="32"/>
          <w:szCs w:val="32"/>
          <w:lang w:val="en-US" w:eastAsia="zh-CN" w:bidi="ar"/>
        </w:rPr>
        <w:t>99%</w:t>
      </w:r>
      <w:r>
        <w:rPr>
          <w:rFonts w:hint="eastAsia" w:ascii="仿宋_GB2312" w:hAnsi="Times New Roman" w:eastAsia="仿宋_GB2312" w:cs="仿宋_GB2312"/>
          <w:kern w:val="2"/>
          <w:sz w:val="32"/>
          <w:szCs w:val="32"/>
          <w:lang w:val="en-US" w:eastAsia="zh-CN" w:bidi="ar"/>
        </w:rPr>
        <w:t>的股份。翁某芬持有蚁某公司</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的股份。</w:t>
      </w:r>
    </w:p>
    <w:p w14:paraId="12D6F633">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涉案专利合法有效，应受法律保护。根据已查明的事实，结合各方当事人的诉辩主张，本案的争议焦点在于：被诉侵权设计是否落入涉案专利权的保护范围；若构成侵权，各被诉方的民事责任承担问题。</w:t>
      </w:r>
    </w:p>
    <w:p w14:paraId="2F588155">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（一）被诉侵权设计是否落入朗某思公司涉案专利权的保护范围</w:t>
      </w:r>
    </w:p>
    <w:p w14:paraId="243019F7">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庭审中，朗某思公司明确其要求保护的涉案外观设计专利权的设计要点为整体均为脚踩底座的站立的宇航员造型，由上至下可分为头部、身躯及底座。宇航员头部呈圆形，与身等宽，头部正面可见近椭圆状的面罩，头顶两侧设有两方形音箱，其中一侧接有电连接线，音箱四角均有一凸点，头顶中部有梯状凸块连接两音箱。宇某，两侧双手自然下垂，下方双脚直立，手部和脚部均设有若干环形关节设计并贴有护膝和护肩，胸部设有腰带，背部背有方形背包，背包上设有若干按键及电源接口，底座为月球土壤表面。经比对，朗某思公司认为被诉侵权设计中，月球款和合金款与授权外观设计相比，两者构成近似，区别点在于宇航员衣服及背包上按钮的细微差异，合金款还将月球土壤表面的底座变成圆柱形合金底座。至于现场购买款，朗某思公司认为被诉侵权设计与授权外观设计相同。</w:t>
      </w:r>
    </w:p>
    <w:p w14:paraId="427A6C28">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各被诉方认为，被诉侵权设计中的月球款和合金款与授权外观设计相比，除了朗某思公司指出的前述区别点，还存在如下区别：</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从主视图看，涉案专利的宇航服有按钮，面罩为椭圆形，被诉侵权设计的宇航服没有按钮且面罩为圆形；</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从后视图和左右视图看，涉案专利的背包有口袋且按钮设计和被诉侵权设计不同；</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两者的服装还存在光面和暗面的不同。综上，各被诉方认为被诉侵权设计中的月球款和合金款与授权外观设计相比不相同也不近似。至于现场购买款，各被诉方认为该产品是何某私自接单，与各被诉方无关。</w:t>
      </w:r>
    </w:p>
    <w:p w14:paraId="7453C80B">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该院认为，根据《中华人民共和国专利法》第六十四条第二款规定：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外观设计专利权的保护范围以表示在图片或者照片中的该产品的外观设计为准，简要说明可以用于解释图片或者照片所表示的该产品的外观设计。</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又根据《最高人民法院关于审理侵犯专利权纠纷案件应用法律若干问题的解释》第十一条规定：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人民法院认定外观设计是否相同或者近似时，应当根据授权外观设计、被诉侵权设计的设计特征，以外观设计的整体视觉效果进行综合判断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被诉侵权设计与授权外观设计在整体视觉效果上无差异的，人民法院应当认定两者相同</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在整体视觉效果上无实质性差异的，应当认定两者近似。</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本案中，因被诉侵权产品与涉案专利所涉产品属于相同种类的产品，可以用于比对。判断外观设计是否相同或者近似，应当以外观设计专利产品的一般消费者的知识水平和认知能力为准。经一审庭审比对，被诉侵权设计中的现场购买款和月球款与授权外观设计相比，两者整体均为脚踩月球土壤表面的站立宇航员造型，现场购买款与涉案专利授权外观设计相比，并无明显差异，构成相同；至于月球款，与授权外观设计相比，区别点仅在于宇航员胸部处装饰、背包装饰和按钮排布、面罩弧度存在一定差异，这些区别点或为局部细微变化，或所占比例较小，不容易被关注到，对整体视觉效果不具有显著影响。综上，被诉侵权设计中的现场购买款与涉案专利相同，月球款与涉案专利近似，均落入朗某思公司涉案专利权的保护范围。至于合金款，除了前述月球款的差异外，其底座设计完全不同，涉案专利授权外观设计的底座为弧形的月球土壤表面，被诉侵权设计为圆柱形合金底座，这一差别对于本案诉争产品的一般消费者而言是显而易见的，足以使其将被诉侵权设计与朗某思公司授权外观设计在整体视觉效果上区别开来。因此，被诉侵权设计中的合金款与朗某思公司授权外观设计在整体视觉效果上具有显著的影响，二者不属于相同或相近似的外观设计，故被诉侵权设计中的合金款不落入朗某思公司授权外观设计专利权的保护范围。</w:t>
      </w:r>
    </w:p>
    <w:p w14:paraId="0D613877">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（二）若构成侵权，各被诉方的民事责任承担问题</w:t>
      </w:r>
    </w:p>
    <w:p w14:paraId="7716759A">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三公司的民事责任承担问题。三公司未经许可，销售、许诺销售落入涉案专利权保护范围的产品，已构成对朗某思公司享有的涉案专利权的侵害，应承担相应的民事责任。至于三公司是否存在制造被诉侵权产品的行为，三公司在其网店中均宣称自身系</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专注灯饰照明研发</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源头厂家</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专业生产星空灯</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并上传有多张厂房、生产车间、机器设备的照片，且博某公司工商登记的经营范围包含技术开发，蚁某公司、风某公司工商登记的经营范围均包含照明器具制造，足以认定三公司存在制造被诉侵权产品的行为。又因为蚁某公司在其深度验厂报告以及风某公司店铺的客服人员在与客户接洽中，均自认两者系关联工厂，且三公司发货地址相同，显然三公司对于被诉侵权产品的生产销售存在明确的分工合作，构成共同侵权，故对朗某思公司要求三公司立即停止制造、销售、许诺销售被诉侵权产品，并连带赔偿朗某思公司经济损失的诉讼请求，于法有据，该院予以支持。至于朗某思公司要求判令三公司销毁库存侵权产品和相关模具，因朗某思公司并未提交相应的证据，各被诉方亦否认存在库存侵权产品和模具，故对朗某思公司该部分诉讼请求，该院不予支持。</w:t>
      </w:r>
    </w:p>
    <w:p w14:paraId="08407B5C">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王某峰、翁某芬的民事责任承担问题。本案所涉支付宝账号虽与王某峰、翁某芬相关，但朗某思公司没有证据证实王某峰、翁某芬与三公司之间存在侵权的共同故意，三公司具有完整、独立的民事主体资格，王某峰作为博某公司、风某公司的股东及法定代表人，翁某芬作为蚁某公司的股东，其对三公司开设的三家店铺销售被诉侵权产品的收款行为，不宜扩大为个人对涉案外观设计专利权的侵权，故王某峰、翁某芬不应承担停止侵权的民事责任。但是，王某峰作为风某公司的唯一股东，在不能证明公司债务独立于股东自己的财产的情况下应当对公司债务承担连带责任。</w:t>
      </w:r>
    </w:p>
    <w:p w14:paraId="14BCB983">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关于赔偿金额，朗某思公司要求判令各被诉方赔偿经济损失及维权合理费用共计</w:t>
      </w:r>
      <w:r>
        <w:rPr>
          <w:rFonts w:hint="default" w:ascii="Times New Roman" w:hAnsi="Times New Roman" w:eastAsia="仿宋_GB2312" w:cs="Times New Roman"/>
          <w:kern w:val="2"/>
          <w:sz w:val="32"/>
          <w:szCs w:val="32"/>
          <w:lang w:val="en-US" w:eastAsia="zh-CN" w:bidi="ar"/>
        </w:rPr>
        <w:t>200</w:t>
      </w:r>
      <w:r>
        <w:rPr>
          <w:rFonts w:hint="eastAsia" w:ascii="仿宋_GB2312" w:hAnsi="Times New Roman" w:eastAsia="仿宋_GB2312" w:cs="仿宋_GB2312"/>
          <w:kern w:val="2"/>
          <w:sz w:val="32"/>
          <w:szCs w:val="32"/>
          <w:lang w:val="en-US" w:eastAsia="zh-CN" w:bidi="ar"/>
        </w:rPr>
        <w:t>万元。该院认为，如前所述，朗某思公司提交的证据足以证明三公司存在共同制造、销售、许诺销售被诉侵权产品的行为，但并不足以证明王某峰、翁某芬存在与三公司共同侵权的行为，故三公司应就其制造、销售、许诺销售被诉侵权产品的行为承担侵权赔偿责任。至于朗某思公司主张对各被诉方适用惩罚性赔偿制度，根据《</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7"/>
          <w:rFonts w:hint="eastAsia" w:ascii="仿宋_GB2312" w:hAnsi="Times New Roman" w:eastAsia="仿宋_GB2312" w:cs="仿宋_GB2312"/>
          <w:kern w:val="2"/>
          <w:sz w:val="32"/>
          <w:szCs w:val="32"/>
        </w:rPr>
        <w:t>最高人民法院关于审理侵害知识产权民事案件适用惩罚性赔偿的解释</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》第</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7"/>
          <w:rFonts w:hint="eastAsia" w:ascii="仿宋_GB2312" w:hAnsi="Times New Roman" w:eastAsia="仿宋_GB2312" w:cs="仿宋_GB2312"/>
          <w:kern w:val="2"/>
          <w:sz w:val="32"/>
          <w:szCs w:val="32"/>
        </w:rPr>
        <w:t>五条</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人民法院确定惩罚性赔偿数额时，应当分别依照相关法律，以原告实际损失数额、被告违法所得数额或者因侵权所获得的利益作为计算基数。该基数不包括原告为制止侵权所支付的合理开支；法律另有规定的，依照其规定。前款所称实际损失数额、违法所得数额、因侵权所获得的利益均难以计算的，人民法院依法参照该权利使用费的倍数合理确定，并以此作为惩罚性赔偿数额的计算基数。</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根据上述规定，惩罚性赔偿的基数包括权利人的实际损失、侵权人的违法所得、许可使用费的倍数；该数额应该明确具体。本案中，朗某思公司未提供证据证实其因被诉侵权行为所受到的实际损失、各被诉方因被诉侵权行为的违法所得及可供参照的专利许可使用费，故其关于惩罚性赔偿的请求缺乏事实依据，该院不予支持。至于各被诉方指出涉案店铺中的销售数据不真实，存在刷单行为的辩称，该院认为，首先，各被诉方主张的刷单行为并无充分证据予以证明，其提交的店铺交易记录中的订单信息，虽然相应的付款金额与网上银行电子回单中的打款金额一致，但并不能排除当事人之间存在其他交易或借贷关系的可能；其次，即使存在刷单，刷单金额亦不应在确定损害赔偿时予以扣除。因为刷单行为本身属于不诚信的虚假宣传行为，行为人不能因为不诚信行为获得利益的同时，还可以要求在确定损害赔偿时将相关金额予以扣除。因此，行为人应当就其刷单的不法行为承担不利后果，在确定赔偿数额时可以考虑行为人对外宣传的销售数量等酌情确定。综上，对于各被诉方的辩称，该院不予采信。</w:t>
      </w:r>
    </w:p>
    <w:p w14:paraId="3ED72655">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因朗某思公司未提供其因各被诉方侵权所受到的损失或各被诉方的获利情况，该院根据朗某思公司选择适用法定赔偿，并考虑涉案专利类型、各被诉方的侵权行为性质和情节以及朗某思公司为维权支出的合理费用等一并酌定赔偿额。具体考虑以下因素：一是涉案专利为外观设计专利；二是三公司具有制造、销售、许诺销售的侵权行为；三是被诉侵权产品具有一定的销售数量；四是被诉侵权产品的价值以及涉案专利的贡献率；五是朗某思公司为制止侵权行为必然产生一定的费用。据此，该院依照《中华人民共和国专利法》第十一条第二款、第六十四条第二款、第七十一条，《中华人民共和国公司法》第六十三条之规定，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日判决：一、三公司立即停止制造、销售、许诺销售侵害朗某思公司享有的涉案专利权的行为；二、三公司赔偿朗某思公司经济损失</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万元（包括朗某思公司为制止侵权行为所支付的合理开支），于判决生效后十日内付清；三、王某峰对风某公司所承担的上述债务承担连带责任；四、驳回朗某思公司的其他诉讼请求。如果未按判决指定的期间履行给付金钱义务，应当依照《中华人民共和国民事诉讼法》第二百六十四条及相关司法解释之规定，加倍支付迟延履行期间的债务利息（加倍部分债务利息</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债务人尚未清偿的生效法律文书确定的除一般债务利息之外的金钱债务</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日万分之一点七五</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迟延履行期间）。一审案件受理费</w:t>
      </w:r>
      <w:r>
        <w:rPr>
          <w:rFonts w:hint="default" w:ascii="Times New Roman" w:hAnsi="Times New Roman" w:eastAsia="仿宋_GB2312" w:cs="Times New Roman"/>
          <w:kern w:val="2"/>
          <w:sz w:val="32"/>
          <w:szCs w:val="32"/>
          <w:lang w:val="en-US" w:eastAsia="zh-CN" w:bidi="ar"/>
        </w:rPr>
        <w:t>22800</w:t>
      </w:r>
      <w:r>
        <w:rPr>
          <w:rFonts w:hint="eastAsia" w:ascii="仿宋_GB2312" w:hAnsi="Times New Roman" w:eastAsia="仿宋_GB2312" w:cs="仿宋_GB2312"/>
          <w:kern w:val="2"/>
          <w:sz w:val="32"/>
          <w:szCs w:val="32"/>
          <w:lang w:val="en-US" w:eastAsia="zh-CN" w:bidi="ar"/>
        </w:rPr>
        <w:t>元，由朗某思公司负担</w:t>
      </w:r>
      <w:r>
        <w:rPr>
          <w:rFonts w:hint="default" w:ascii="Times New Roman" w:hAnsi="Times New Roman" w:eastAsia="仿宋_GB2312" w:cs="Times New Roman"/>
          <w:kern w:val="2"/>
          <w:sz w:val="32"/>
          <w:szCs w:val="32"/>
          <w:lang w:val="en-US" w:eastAsia="zh-CN" w:bidi="ar"/>
        </w:rPr>
        <w:t>10830</w:t>
      </w:r>
      <w:r>
        <w:rPr>
          <w:rFonts w:hint="eastAsia" w:ascii="仿宋_GB2312" w:hAnsi="Times New Roman" w:eastAsia="仿宋_GB2312" w:cs="仿宋_GB2312"/>
          <w:kern w:val="2"/>
          <w:sz w:val="32"/>
          <w:szCs w:val="32"/>
          <w:lang w:val="en-US" w:eastAsia="zh-CN" w:bidi="ar"/>
        </w:rPr>
        <w:t>元，三公司负担</w:t>
      </w:r>
      <w:r>
        <w:rPr>
          <w:rFonts w:hint="default" w:ascii="Times New Roman" w:hAnsi="Times New Roman" w:eastAsia="仿宋_GB2312" w:cs="Times New Roman"/>
          <w:kern w:val="2"/>
          <w:sz w:val="32"/>
          <w:szCs w:val="32"/>
          <w:lang w:val="en-US" w:eastAsia="zh-CN" w:bidi="ar"/>
        </w:rPr>
        <w:t>11970</w:t>
      </w:r>
      <w:r>
        <w:rPr>
          <w:rFonts w:hint="eastAsia" w:ascii="仿宋_GB2312" w:hAnsi="Times New Roman" w:eastAsia="仿宋_GB2312" w:cs="仿宋_GB2312"/>
          <w:kern w:val="2"/>
          <w:sz w:val="32"/>
          <w:szCs w:val="32"/>
          <w:lang w:val="en-US" w:eastAsia="zh-CN" w:bidi="ar"/>
        </w:rPr>
        <w:t>元。</w:t>
      </w:r>
    </w:p>
    <w:p w14:paraId="2CB5C6F2">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二审中，朗某思公司向本院提交了如下证据：</w:t>
      </w:r>
    </w:p>
    <w:p w14:paraId="0D6FCAAE">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宇航员投影灯</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为关键词从</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平台搜索结果中随机选取的宇航员造型图片，拟证明宇航员投影灯类产品设计空间大，合金款底座与涉案专利在底座部分的差异设计不足以影响两者相似的判定。</w:t>
      </w:r>
    </w:p>
    <w:p w14:paraId="66E46214">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朗某思公司与被上诉人方的投申诉材料，拟证明五被上诉人具有侵害涉案专利权的主观恶意且情节严重。</w:t>
      </w:r>
    </w:p>
    <w:p w14:paraId="6E6384AA">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）津泰达证经字第</w:t>
      </w:r>
      <w:r>
        <w:rPr>
          <w:rFonts w:hint="default" w:ascii="Times New Roman" w:hAnsi="Times New Roman" w:eastAsia="仿宋_GB2312" w:cs="Times New Roman"/>
          <w:kern w:val="2"/>
          <w:sz w:val="32"/>
          <w:szCs w:val="32"/>
          <w:lang w:val="en-US" w:eastAsia="zh-CN" w:bidi="ar"/>
        </w:rPr>
        <w:t>1776</w:t>
      </w:r>
      <w:r>
        <w:rPr>
          <w:rFonts w:hint="eastAsia" w:ascii="仿宋_GB2312" w:hAnsi="Times New Roman" w:eastAsia="仿宋_GB2312" w:cs="仿宋_GB2312"/>
          <w:kern w:val="2"/>
          <w:sz w:val="32"/>
          <w:szCs w:val="32"/>
          <w:lang w:val="en-US" w:eastAsia="zh-CN" w:bidi="ar"/>
        </w:rPr>
        <w:t>号公证书，拟证明朗某思公司生产涉案专利产品的物料成本为</w:t>
      </w:r>
      <w:r>
        <w:rPr>
          <w:rFonts w:hint="default" w:ascii="Times New Roman" w:hAnsi="Times New Roman" w:eastAsia="仿宋_GB2312" w:cs="Times New Roman"/>
          <w:kern w:val="2"/>
          <w:sz w:val="32"/>
          <w:szCs w:val="32"/>
          <w:lang w:val="en-US" w:eastAsia="zh-CN" w:bidi="ar"/>
        </w:rPr>
        <w:t>47</w:t>
      </w:r>
      <w:r>
        <w:rPr>
          <w:rFonts w:hint="eastAsia" w:ascii="仿宋_GB2312" w:hAnsi="Times New Roman" w:eastAsia="仿宋_GB2312" w:cs="仿宋_GB2312"/>
          <w:kern w:val="2"/>
          <w:sz w:val="32"/>
          <w:szCs w:val="32"/>
          <w:lang w:val="en-US" w:eastAsia="zh-CN" w:bidi="ar"/>
        </w:rPr>
        <w:t>元，而被诉侵权产品的成本更低。</w:t>
      </w:r>
    </w:p>
    <w:p w14:paraId="2291F750">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国家某局第</w:t>
      </w:r>
      <w:r>
        <w:rPr>
          <w:rFonts w:hint="default" w:ascii="Times New Roman" w:hAnsi="Times New Roman" w:eastAsia="仿宋_GB2312" w:cs="Times New Roman"/>
          <w:kern w:val="2"/>
          <w:sz w:val="32"/>
          <w:szCs w:val="32"/>
          <w:lang w:val="en-US" w:eastAsia="zh-CN" w:bidi="ar"/>
        </w:rPr>
        <w:t>561106</w:t>
      </w:r>
      <w:r>
        <w:rPr>
          <w:rFonts w:hint="eastAsia" w:ascii="仿宋_GB2312" w:hAnsi="Times New Roman" w:eastAsia="仿宋_GB2312" w:cs="仿宋_GB2312"/>
          <w:kern w:val="2"/>
          <w:sz w:val="32"/>
          <w:szCs w:val="32"/>
          <w:lang w:val="en-US" w:eastAsia="zh-CN" w:bidi="ar"/>
        </w:rPr>
        <w:t>号无效宣告请求审查决定书，拟证明涉案专利权历经无效宣告程序而被维持有效，涉案专利相较于现有设计，在整体形状及具体结构部位的设计上均有明显区别。</w:t>
      </w:r>
    </w:p>
    <w:p w14:paraId="3958CCD3">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五被上诉人质证认为，证据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的真实性难以确认，且不能证明相关图片系在被诉侵权行为之前存在，不能实现证明目的；无法核实证据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的真实性，即使证据属实，被上诉人系委托案外人全权处理，并不知晓其伪造事实，故不能据此认定被上诉人存在侵权恶意；证据</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系朗某思公司自行主张的物料成本，真实性难以确认，不予认可；对证据</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的三性无异议，但从相关对比文件看，宇航员的直立造型及宇航服的米其林造型、靴子外观等均属现有设计，应当更加关注会对整体视觉效果产生显著影响的前后背包及底座的设计。</w:t>
      </w:r>
    </w:p>
    <w:p w14:paraId="16F1563D">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五被上诉人向本院提交了通过</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天眼查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查询取得的朗某思公司诉讼情况清单，拟证明朗某思公司在全国有较多侵权诉讼，其提起本案诉讼行为属于商业维权行为，对赔偿金额应予以严格限制。经质证，朗某思公司对该组证据的真实性无异议，但认为其涉案专利具有较强的设计美感，被大量抄袭模仿，其诉讼行为属于正当维权，其合法权利应依法得到保护。</w:t>
      </w:r>
    </w:p>
    <w:p w14:paraId="7C47E3FF">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经审查，本院认为，朗某思公司提交的证据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经核查真实性可予以确认，将在下文对合金款是否落入涉案专利权的保护范围作出评定；证据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的真实性可予以确认，可作为被诉方侵权主观状况的重点考量因素；证据</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系朗某思公司有关其物料成本的相关证据，但并不足以据此认定朗某思公司专利产品的物料成本，也难以证明其待证事实，不予认定；证据</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三性予以确认，无效审查决定的内容可作为本案外观比对的参考。至于五被上诉人提交的查询资料，虽可认定朗某思公司存在相应的诉讼维权行为，但并不能以此认定朗某思公司提起本案诉讼属于商业维权行为，对于赔偿数额本院将在下文根据本案酌定因素予以综合判定。</w:t>
      </w:r>
    </w:p>
    <w:p w14:paraId="35EDFE1B">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本院二审查明，翁某芬与王某峰系母子关系。二审查明的其他事实与一审法院认定的事实一致。</w:t>
      </w:r>
    </w:p>
    <w:p w14:paraId="27EA2AD0">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本院认为，根据朗某思公司的上诉请求和理由及五被上诉人的答辩意见，本案二审的主要争议焦点为：</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合金款采用的被诉侵权设计是否落入涉案专利权保护范围；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一审判决确定的责任主体、责任承担方式及赔偿数额是否存有不当。</w:t>
      </w:r>
    </w:p>
    <w:p w14:paraId="19E29EFC">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w:t>
      </w:r>
      <w:r>
        <w:rPr>
          <w:rFonts w:hint="default" w:ascii="Times New Roman" w:hAnsi="Times New Roman" w:eastAsia="仿宋_GB2312" w:cs="Times New Roman"/>
          <w:kern w:val="2"/>
          <w:sz w:val="32"/>
          <w:szCs w:val="32"/>
          <w:lang w:val="en-US" w:eastAsia="zh-CN" w:bidi="ar"/>
        </w:rPr>
        <w:t>1</w:t>
      </w:r>
    </w:p>
    <w:p w14:paraId="085CF7E3">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六十四条第二款规定，外观设计专利权的保护范围以表示在图片或者照片中的该产品的外观设计为准，简要说明可以用于解释图片或者照片所表示的该产品的外观设计。一审判决认定月球款、现场购买款该两款被诉侵权设计均落入涉案专利权的保护范围，各方当事人对此并无异议，本院经审查予以确认。一审判决认定合金款未落入涉案专利权的保护范围，各方对此虽有争议，但对于一审判决所归纳的合金款与涉案专利的异同点则均予以认可。从现有设计情况看，宇航员造型灯具虽多为站立姿势，但在具体结构造型上仍有较大设计空间。将合金款与涉案专利相比，两者在宇航员主体部分整体形状上基本相同，且在身体各部位的主要设计上也高度相似，具有较为近似的整体视觉效果。两者虽在宇航员站立的底座上存在区别，但该底座属于不易被一般消费者所关注的位置，且占据整体视域面积的比例较小，对整体视觉效果并不存在显著影响。而宇航员胸部处装饰、背包装饰和按钮排布、面罩弧度等处存在的区别点亦为局部细微变化，或所占比例较小，不容易被关注到，对整体视觉效果同样不具有显著影响。综上，根据“整体观察，综合判断”原则，合金款与涉案专利存在的差异并不会对整体视觉效果产生显著影响，两者构成近似，应认定合金款已落入涉案专利权的保护范围，行为人应承担相应的侵权责任。一审的不侵权判定有误，应予纠正。</w:t>
      </w:r>
    </w:p>
    <w:p w14:paraId="61DB6998">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w:t>
      </w:r>
      <w:r>
        <w:rPr>
          <w:rFonts w:hint="default" w:ascii="Times New Roman" w:hAnsi="Times New Roman" w:eastAsia="仿宋_GB2312" w:cs="Times New Roman"/>
          <w:kern w:val="2"/>
          <w:sz w:val="32"/>
          <w:szCs w:val="32"/>
          <w:lang w:val="en-US" w:eastAsia="zh-CN" w:bidi="ar"/>
        </w:rPr>
        <w:t>2</w:t>
      </w:r>
    </w:p>
    <w:p w14:paraId="0B9753F5">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侵权责任主体的问题。首先，一审判决认定三公司对于被诉侵权产品的生产销售存在明确的分工合作，构成共同侵权，王某峰、翁某芬及三公司对此认定并无异议，本院经审查予以确认。其次，在被诉侵权行为实施之时，王某峰系三公司的法定代表人，且王某峰为风某公司的唯一股东，并持有博某公司、蚁某公司各</w:t>
      </w:r>
      <w:r>
        <w:rPr>
          <w:rFonts w:hint="default" w:ascii="Times New Roman" w:hAnsi="Times New Roman" w:eastAsia="仿宋_GB2312" w:cs="Times New Roman"/>
          <w:kern w:val="2"/>
          <w:sz w:val="32"/>
          <w:szCs w:val="32"/>
          <w:lang w:val="en-US" w:eastAsia="zh-CN" w:bidi="ar"/>
        </w:rPr>
        <w:t>99%</w:t>
      </w:r>
      <w:r>
        <w:rPr>
          <w:rFonts w:hint="eastAsia" w:ascii="仿宋_GB2312" w:hAnsi="Times New Roman" w:eastAsia="仿宋_GB2312" w:cs="仿宋_GB2312"/>
          <w:kern w:val="2"/>
          <w:sz w:val="32"/>
          <w:szCs w:val="32"/>
          <w:lang w:val="en-US" w:eastAsia="zh-CN" w:bidi="ar"/>
        </w:rPr>
        <w:t>股份，三公司完全为王某峰所控制，且使用王某峰或其母亲翁某芬个人账户收款，三公司实际上受其实际控制人王某峰指令，以公司名义实施具体的被诉侵权行为，可据此认定王某峰与三公司共同实施了被诉侵权行为，王某峰应与三公司共同承担停止侵害、赔偿损失的侵权责任。至于翁某芬，其虽与王某峰系母子关系，但并无证据表明其参与实际经营，其仅持有蚁某公司</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的股份，亦无从支配公司行为，仅凭其提供个人账户供收款，不足以认定其与公司实施了共同侵权行为，也难以要求其对公司债务承担连带责任。朗某思公司对翁某芬的相关主张，本院不予支持。</w:t>
      </w:r>
    </w:p>
    <w:p w14:paraId="1BA1F550">
      <w:pPr>
        <w:keepNext w:val="0"/>
        <w:keepLines w:val="0"/>
        <w:widowControl w:val="0"/>
        <w:suppressLineNumbers w:val="0"/>
        <w:autoSpaceDE w:val="0"/>
        <w:autoSpaceDN/>
        <w:spacing w:before="0" w:beforeAutospacing="0" w:after="0" w:afterAutospacing="0" w:line="61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赔偿数额的问题。依据《中华人民共和国专利法》第七十一条规定，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权利人的损失、侵权人获得的利益和专利许可使用费均难以确定的，人民法院可以根据专利权的类型、侵权行为的性质和情节等因素，确定给予三万元以上五百万元以下的赔偿。赔偿数额还应当包括权利人为制止侵权行为所支付的合理开支。《最高人民法院关于审理侵害知识产权民事案件适用惩罚性赔偿的解释》第五条第一款规定，人民法院确定惩罚性赔偿数额时，应当分别依照相关法律，以原告实际损失数额、被告违法所得数额或者因侵权所获得的利益作为计算基数。该基数不包括原告为制止侵权所支付的合理开支；法律另有规定的，依照其规定。由于朗某思公司未能举证证明其因被侵权所受损失或者三公司因侵权所获利益，也无合理专利许可使用费可供参照，亦无可供大致酌定的、相对准确的侵权获利，故难以在本案中适用惩罚性赔偿，但对三公司可能存在的侵权恶意，可以在确定法定赔偿数额时予以重点考量，并适当加大相应赔偿力度。本院综合考虑到：</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涉案专利为外观设计专利，具有较强的设计美感，于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日提出申请，同年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日获公告授权；</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王某峰与三公司共同实施了制造、许诺销售、销售被诉侵权产品行为，属于源头侵权；</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被诉侵权产品销售页面显示产品单价</w:t>
      </w:r>
      <w:r>
        <w:rPr>
          <w:rFonts w:hint="default" w:ascii="Times New Roman" w:hAnsi="Times New Roman" w:eastAsia="仿宋_GB2312" w:cs="Times New Roman"/>
          <w:kern w:val="2"/>
          <w:sz w:val="32"/>
          <w:szCs w:val="32"/>
          <w:lang w:val="en-US" w:eastAsia="zh-CN" w:bidi="ar"/>
        </w:rPr>
        <w:t>75-91</w:t>
      </w:r>
      <w:r>
        <w:rPr>
          <w:rFonts w:hint="eastAsia" w:ascii="仿宋_GB2312" w:hAnsi="Times New Roman" w:eastAsia="仿宋_GB2312" w:cs="仿宋_GB2312"/>
          <w:kern w:val="2"/>
          <w:sz w:val="32"/>
          <w:szCs w:val="32"/>
          <w:lang w:val="en-US" w:eastAsia="zh-CN" w:bidi="ar"/>
        </w:rPr>
        <w:t>元不等，销售金额逾</w:t>
      </w:r>
      <w:r>
        <w:rPr>
          <w:rFonts w:hint="default" w:ascii="Times New Roman" w:hAnsi="Times New Roman" w:eastAsia="仿宋_GB2312" w:cs="Times New Roman"/>
          <w:kern w:val="2"/>
          <w:sz w:val="32"/>
          <w:szCs w:val="32"/>
          <w:lang w:val="en-US" w:eastAsia="zh-CN" w:bidi="ar"/>
        </w:rPr>
        <w:t>300</w:t>
      </w:r>
      <w:r>
        <w:rPr>
          <w:rFonts w:hint="eastAsia" w:ascii="仿宋_GB2312" w:hAnsi="Times New Roman" w:eastAsia="仿宋_GB2312" w:cs="仿宋_GB2312"/>
          <w:kern w:val="2"/>
          <w:sz w:val="32"/>
          <w:szCs w:val="32"/>
          <w:lang w:val="en-US" w:eastAsia="zh-CN" w:bidi="ar"/>
        </w:rPr>
        <w:t>万元，其中仅适用本案的取证公证书所固定的销售金额已超过</w:t>
      </w:r>
      <w:r>
        <w:rPr>
          <w:rFonts w:hint="default" w:ascii="Times New Roman" w:hAnsi="Times New Roman" w:eastAsia="仿宋_GB2312" w:cs="Times New Roman"/>
          <w:kern w:val="2"/>
          <w:sz w:val="32"/>
          <w:szCs w:val="32"/>
          <w:lang w:val="en-US" w:eastAsia="zh-CN" w:bidi="ar"/>
        </w:rPr>
        <w:t>120</w:t>
      </w:r>
      <w:r>
        <w:rPr>
          <w:rFonts w:hint="eastAsia" w:ascii="仿宋_GB2312" w:hAnsi="Times New Roman" w:eastAsia="仿宋_GB2312" w:cs="仿宋_GB2312"/>
          <w:kern w:val="2"/>
          <w:sz w:val="32"/>
          <w:szCs w:val="32"/>
          <w:lang w:val="en-US" w:eastAsia="zh-CN" w:bidi="ar"/>
        </w:rPr>
        <w:t>万元，侵权获利金额较高，五被上诉人虽主张存在刷单，获利数量有限，但对此类主张应严加审查，有效杜绝行为人两头获利，在其未能提供确切证据予以证明，且未对一审认定提起上诉的情况下，对该刷单主张应不予采信；</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虽然在另案的侵害发明专利权纠纷中，风某公司、蚁某公司被判赔</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万元，但并未涉及博某公司，同时，本案取证的多本公证书所固定的侵权事实并不为该另案纠纷指控的侵权事实所涵盖，且涉案被诉产品的外观设计对消费者的选择购买具有较大影响，对利润贡献率较大，应予以充分考量；</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风某公司为应对朗某思公司的侵权投诉，向某巴巴平台提交申诉材料，并提供了虚假的朗某思公司外观设计专利授权书和营业执照证明，以此申诉成功，具有明显的侵权主观恶意，应给予明确的否定性评价，在确定赔偿数额时，应对其恶意申诉行为予以重点考量；</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朗某思公司为制止侵权支出了代理费、公证费、差旅费等合理维权费用等因素，本院对朗某思公司二审主张的</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万元赔偿数额予以全额支持。一审法院确定的赔偿数额</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万元明显偏低，存有不当，本院予以纠正。</w:t>
      </w:r>
    </w:p>
    <w:p w14:paraId="3BF61F0A">
      <w:pPr>
        <w:keepNext w:val="0"/>
        <w:keepLines w:val="0"/>
        <w:widowControl w:val="0"/>
        <w:suppressLineNumbers w:val="0"/>
        <w:autoSpaceDE w:val="0"/>
        <w:autoSpaceDN/>
        <w:spacing w:before="0" w:beforeAutospacing="0" w:after="0" w:afterAutospacing="0" w:line="616" w:lineRule="exact"/>
        <w:ind w:left="0" w:right="-15"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所述，朗某思公司的上诉理由部分成立，本院对其上诉请求中的合理部分予以支持；一审判决认定事实有误，适用法律不当，应予改判。虽然朗某思公司因认可王某峰对风某公司的债务承担连带责任，未就一审判决第三项</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王某峰对风某公司所承担的上述债务承担连带责任</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提出撤销请求，但由于本院在前文认定王某峰与三公司已构成共同侵权，需共同承担责任，且考虑到风某公司承担的债务数额已发生变动，故该判项已无保留必要，本院一并予以改判。依照《中华人民共和国民法典》第一千一百六十八条，《中华人民共和国专利法》第十一条第二款、第六十四条第二款、第七十一条第二款、第三款，《中华人民共和国民事诉讼法》第一百七十七条第一款第二项规定，判决如下：</w:t>
      </w:r>
    </w:p>
    <w:p w14:paraId="32DA58D9">
      <w:pPr>
        <w:keepNext w:val="0"/>
        <w:keepLines w:val="0"/>
        <w:widowControl w:val="0"/>
        <w:suppressLineNumbers w:val="0"/>
        <w:autoSpaceDE w:val="0"/>
        <w:autoSpaceDN/>
        <w:spacing w:before="0" w:beforeAutospacing="0" w:after="0" w:afterAutospacing="0" w:line="616" w:lineRule="exact"/>
        <w:ind w:left="0" w:right="-15"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一、撤销浙江省宁波市中级人民法院（</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02</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535</w:t>
      </w:r>
      <w:r>
        <w:rPr>
          <w:rFonts w:hint="eastAsia" w:ascii="仿宋_GB2312" w:hAnsi="Times New Roman" w:eastAsia="仿宋_GB2312" w:cs="仿宋_GB2312"/>
          <w:kern w:val="2"/>
          <w:sz w:val="32"/>
          <w:szCs w:val="32"/>
          <w:lang w:val="en-US" w:eastAsia="zh-CN" w:bidi="ar"/>
        </w:rPr>
        <w:t>号民事判决；</w:t>
      </w:r>
    </w:p>
    <w:p w14:paraId="5C88D158">
      <w:pPr>
        <w:keepNext w:val="0"/>
        <w:keepLines w:val="0"/>
        <w:widowControl w:val="0"/>
        <w:suppressLineNumbers w:val="0"/>
        <w:autoSpaceDE w:val="0"/>
        <w:autoSpaceDN/>
        <w:spacing w:before="0" w:beforeAutospacing="0" w:after="0" w:afterAutospacing="0" w:line="616" w:lineRule="exact"/>
        <w:ind w:left="0" w:right="-15"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二、宁波市博某光电科技有限公司、宁波市两只蚁某三维科技有限公司、宁波风某工艺品有限公司、王某峰立即停止制造、许诺销售、销售落入朗某思科技（深圳）有限公司享有的专利号为</w:t>
      </w:r>
      <w:r>
        <w:rPr>
          <w:rFonts w:hint="default" w:ascii="Times New Roman" w:hAnsi="Times New Roman" w:eastAsia="仿宋_GB2312" w:cs="Times New Roman"/>
          <w:kern w:val="2"/>
          <w:sz w:val="32"/>
          <w:szCs w:val="32"/>
          <w:lang w:val="en-US" w:eastAsia="zh-CN" w:bidi="ar"/>
        </w:rPr>
        <w:t>ZL2021 ****1612.3</w:t>
      </w:r>
      <w:r>
        <w:rPr>
          <w:rFonts w:hint="eastAsia" w:ascii="仿宋_GB2312" w:hAnsi="Times New Roman" w:eastAsia="仿宋_GB2312" w:cs="仿宋_GB2312"/>
          <w:kern w:val="2"/>
          <w:sz w:val="32"/>
          <w:szCs w:val="32"/>
          <w:lang w:val="en-US" w:eastAsia="zh-CN" w:bidi="ar"/>
        </w:rPr>
        <w:t>、名称为“投影灯（宇航员投影灯）”的外观设计专利权保护范围的产品；</w:t>
      </w:r>
    </w:p>
    <w:p w14:paraId="749BBD93">
      <w:pPr>
        <w:keepNext w:val="0"/>
        <w:keepLines w:val="0"/>
        <w:widowControl w:val="0"/>
        <w:suppressLineNumbers w:val="0"/>
        <w:autoSpaceDE w:val="0"/>
        <w:autoSpaceDN/>
        <w:spacing w:before="0" w:beforeAutospacing="0" w:after="0" w:afterAutospacing="0" w:line="616" w:lineRule="exact"/>
        <w:ind w:left="0" w:right="-15"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三、宁波市博某光电科技有限公司、宁波市两只蚁某三维科技有限公司、宁波风某工艺品有限公司、王某峰共同赔偿朗某思科技（深圳）有限公司经济损失</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万元（含为制止侵权所支出的合理费用），于本判决送达之日起十日内支付完毕；</w:t>
      </w:r>
    </w:p>
    <w:p w14:paraId="0FDDF20C">
      <w:pPr>
        <w:keepNext w:val="0"/>
        <w:keepLines w:val="0"/>
        <w:widowControl w:val="0"/>
        <w:suppressLineNumbers w:val="0"/>
        <w:autoSpaceDE w:val="0"/>
        <w:autoSpaceDN/>
        <w:spacing w:before="0" w:beforeAutospacing="0" w:after="0" w:afterAutospacing="0" w:line="616" w:lineRule="exact"/>
        <w:ind w:left="0" w:right="-15"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四、驳回朗某思科技（深圳）有限公司的其他诉讼请求。</w:t>
      </w:r>
    </w:p>
    <w:p w14:paraId="5FBF260D">
      <w:pPr>
        <w:keepNext w:val="0"/>
        <w:keepLines w:val="0"/>
        <w:widowControl w:val="0"/>
        <w:suppressLineNumbers w:val="0"/>
        <w:autoSpaceDE w:val="0"/>
        <w:autoSpaceDN/>
        <w:spacing w:before="0" w:beforeAutospacing="0" w:after="0" w:afterAutospacing="0" w:line="616" w:lineRule="exact"/>
        <w:ind w:left="0" w:right="-15"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若未按本判决指定的期间履行给付金钱义务，应当按照《中华人民共和国民事诉讼法》第二百六十四条之规定，加倍支付迟延履行期间的债务利息。</w:t>
      </w:r>
    </w:p>
    <w:p w14:paraId="662AE2B4">
      <w:pPr>
        <w:keepNext w:val="0"/>
        <w:keepLines w:val="0"/>
        <w:widowControl w:val="0"/>
        <w:suppressLineNumbers w:val="0"/>
        <w:autoSpaceDE w:val="0"/>
        <w:autoSpaceDN/>
        <w:spacing w:before="0" w:beforeAutospacing="0" w:after="0" w:afterAutospacing="0" w:line="616" w:lineRule="exact"/>
        <w:ind w:left="0" w:right="-15"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一审案件受理费</w:t>
      </w:r>
      <w:r>
        <w:rPr>
          <w:rFonts w:hint="default" w:ascii="Times New Roman" w:hAnsi="Times New Roman" w:eastAsia="仿宋_GB2312" w:cs="Times New Roman"/>
          <w:kern w:val="2"/>
          <w:sz w:val="32"/>
          <w:szCs w:val="32"/>
          <w:lang w:val="en-US" w:eastAsia="zh-CN" w:bidi="ar"/>
        </w:rPr>
        <w:t>22800</w:t>
      </w:r>
      <w:r>
        <w:rPr>
          <w:rFonts w:hint="eastAsia" w:ascii="仿宋_GB2312" w:hAnsi="Times New Roman" w:eastAsia="仿宋_GB2312" w:cs="仿宋_GB2312"/>
          <w:kern w:val="2"/>
          <w:sz w:val="32"/>
          <w:szCs w:val="32"/>
          <w:lang w:val="en-US" w:eastAsia="zh-CN" w:bidi="ar"/>
        </w:rPr>
        <w:t>元，由朗某思科技（深圳）有限公司负担</w:t>
      </w:r>
      <w:r>
        <w:rPr>
          <w:rFonts w:hint="default" w:ascii="Times New Roman" w:hAnsi="Times New Roman" w:eastAsia="仿宋_GB2312" w:cs="Times New Roman"/>
          <w:kern w:val="2"/>
          <w:sz w:val="32"/>
          <w:szCs w:val="32"/>
          <w:lang w:val="en-US" w:eastAsia="zh-CN" w:bidi="ar"/>
        </w:rPr>
        <w:t>7980</w:t>
      </w:r>
      <w:r>
        <w:rPr>
          <w:rFonts w:hint="eastAsia" w:ascii="仿宋_GB2312" w:hAnsi="Times New Roman" w:eastAsia="仿宋_GB2312" w:cs="仿宋_GB2312"/>
          <w:kern w:val="2"/>
          <w:sz w:val="32"/>
          <w:szCs w:val="32"/>
          <w:lang w:val="en-US" w:eastAsia="zh-CN" w:bidi="ar"/>
        </w:rPr>
        <w:t>元，宁波市博某光电科技有限公司、宁波市两只蚁某三维科技有限公司、宁波风某工艺品有限公司、王某峰共同负担</w:t>
      </w:r>
      <w:r>
        <w:rPr>
          <w:rFonts w:hint="default" w:ascii="Times New Roman" w:hAnsi="Times New Roman" w:eastAsia="仿宋_GB2312" w:cs="Times New Roman"/>
          <w:kern w:val="2"/>
          <w:sz w:val="32"/>
          <w:szCs w:val="32"/>
          <w:lang w:val="en-US" w:eastAsia="zh-CN" w:bidi="ar"/>
        </w:rPr>
        <w:t>14820</w:t>
      </w:r>
      <w:r>
        <w:rPr>
          <w:rFonts w:hint="eastAsia" w:ascii="仿宋_GB2312" w:hAnsi="Times New Roman" w:eastAsia="仿宋_GB2312" w:cs="仿宋_GB2312"/>
          <w:kern w:val="2"/>
          <w:sz w:val="32"/>
          <w:szCs w:val="32"/>
          <w:lang w:val="en-US" w:eastAsia="zh-CN" w:bidi="ar"/>
        </w:rPr>
        <w:t>元。二审案件受理费</w:t>
      </w:r>
      <w:r>
        <w:rPr>
          <w:rFonts w:hint="default" w:ascii="Times New Roman" w:hAnsi="Times New Roman" w:eastAsia="仿宋_GB2312" w:cs="Times New Roman"/>
          <w:kern w:val="2"/>
          <w:sz w:val="32"/>
          <w:szCs w:val="32"/>
          <w:lang w:val="en-US" w:eastAsia="zh-CN" w:bidi="ar"/>
        </w:rPr>
        <w:t>8800</w:t>
      </w:r>
      <w:r>
        <w:rPr>
          <w:rFonts w:hint="eastAsia" w:ascii="仿宋_GB2312" w:hAnsi="Times New Roman" w:eastAsia="仿宋_GB2312" w:cs="仿宋_GB2312"/>
          <w:kern w:val="2"/>
          <w:sz w:val="32"/>
          <w:szCs w:val="32"/>
          <w:lang w:val="en-US" w:eastAsia="zh-CN" w:bidi="ar"/>
        </w:rPr>
        <w:t>元，由宁波市博某光电科技有限公司、宁波市两只蚁某三维科技有限公司、宁波风某工艺品有限公司、王某峰共同负担。</w:t>
      </w:r>
    </w:p>
    <w:p w14:paraId="6EDEA295">
      <w:pPr>
        <w:pStyle w:val="3"/>
        <w:keepNext w:val="0"/>
        <w:keepLines w:val="0"/>
        <w:widowControl w:val="0"/>
        <w:suppressLineNumbers w:val="0"/>
        <w:autoSpaceDE w:val="0"/>
        <w:autoSpaceDN/>
        <w:spacing w:line="616" w:lineRule="exact"/>
        <w:ind w:lef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rPr>
        <w:t>本判决为终审判决。</w:t>
      </w:r>
    </w:p>
    <w:p w14:paraId="0BCCD426">
      <w:pPr>
        <w:keepNext w:val="0"/>
        <w:keepLines w:val="0"/>
        <w:widowControl w:val="0"/>
        <w:suppressLineNumbers w:val="0"/>
        <w:autoSpaceDE w:val="0"/>
        <w:autoSpaceDN w:val="0"/>
        <w:adjustRightInd w:val="0"/>
        <w:spacing w:before="0" w:beforeAutospacing="0" w:after="0" w:afterAutospacing="0" w:line="572" w:lineRule="exact"/>
        <w:ind w:left="0" w:right="0" w:firstLine="56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5CC28F0A">
      <w:pPr>
        <w:keepNext w:val="0"/>
        <w:keepLines w:val="0"/>
        <w:widowControl w:val="0"/>
        <w:suppressLineNumbers w:val="0"/>
        <w:autoSpaceDE w:val="0"/>
        <w:autoSpaceDN w:val="0"/>
        <w:adjustRightInd w:val="0"/>
        <w:spacing w:before="0" w:beforeAutospacing="0" w:after="0" w:afterAutospacing="0" w:line="572" w:lineRule="exact"/>
        <w:ind w:left="0" w:right="0" w:firstLine="56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B855606">
      <w:pPr>
        <w:keepNext w:val="0"/>
        <w:keepLines w:val="0"/>
        <w:widowControl w:val="0"/>
        <w:suppressLineNumbers w:val="0"/>
        <w:autoSpaceDE w:val="0"/>
        <w:autoSpaceDN w:val="0"/>
        <w:adjustRightInd w:val="0"/>
        <w:spacing w:before="0" w:beforeAutospacing="0" w:after="0" w:afterAutospacing="0" w:line="572" w:lineRule="exact"/>
        <w:ind w:left="0" w:right="0" w:firstLine="56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2E3C645F">
      <w:pPr>
        <w:keepNext w:val="0"/>
        <w:keepLines w:val="0"/>
        <w:widowControl w:val="0"/>
        <w:suppressLineNumbers w:val="0"/>
        <w:tabs>
          <w:tab w:val="left" w:pos="4304"/>
        </w:tabs>
        <w:spacing w:before="0" w:beforeAutospacing="0" w:after="0" w:afterAutospacing="0" w:line="594" w:lineRule="exact"/>
        <w:ind w:right="0" w:firstLine="3520" w:firstLineChars="11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陈</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宇</w:t>
      </w:r>
    </w:p>
    <w:p w14:paraId="26ECA6E9">
      <w:pPr>
        <w:keepNext w:val="0"/>
        <w:keepLines w:val="0"/>
        <w:widowControl w:val="0"/>
        <w:suppressLineNumbers w:val="0"/>
        <w:tabs>
          <w:tab w:val="left" w:pos="6456"/>
          <w:tab w:val="left" w:pos="6725"/>
          <w:tab w:val="left" w:pos="7263"/>
        </w:tabs>
        <w:spacing w:before="0" w:beforeAutospacing="0" w:after="0" w:afterAutospacing="0" w:line="594" w:lineRule="exact"/>
        <w:ind w:right="0" w:firstLine="3520" w:firstLineChars="11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建</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中</w:t>
      </w:r>
    </w:p>
    <w:p w14:paraId="32117FE0">
      <w:pPr>
        <w:keepNext w:val="0"/>
        <w:keepLines w:val="0"/>
        <w:widowControl w:val="0"/>
        <w:suppressLineNumbers w:val="0"/>
        <w:tabs>
          <w:tab w:val="left" w:pos="5918"/>
          <w:tab w:val="left" w:pos="6456"/>
          <w:tab w:val="left" w:pos="7263"/>
        </w:tabs>
        <w:spacing w:before="0" w:beforeAutospacing="0" w:after="0" w:afterAutospacing="0" w:line="594" w:lineRule="exact"/>
        <w:ind w:right="0" w:firstLine="3520" w:firstLineChars="11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p>
    <w:p w14:paraId="254FF525">
      <w:pPr>
        <w:keepNext w:val="0"/>
        <w:keepLines w:val="0"/>
        <w:widowControl w:val="0"/>
        <w:suppressLineNumbers w:val="0"/>
        <w:spacing w:before="0" w:beforeAutospacing="0" w:after="0" w:afterAutospacing="0" w:line="594"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5379F2C">
      <w:pPr>
        <w:pStyle w:val="2"/>
        <w:widowControl/>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23DE5A69">
      <w:pPr>
        <w:keepNext w:val="0"/>
        <w:keepLines w:val="0"/>
        <w:widowControl w:val="0"/>
        <w:suppressLineNumbers w:val="0"/>
        <w:spacing w:before="0" w:beforeAutospacing="0" w:after="0" w:afterAutospacing="0" w:line="594"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5A2F85D2">
      <w:pPr>
        <w:keepNext w:val="0"/>
        <w:keepLines w:val="0"/>
        <w:widowControl w:val="0"/>
        <w:suppressLineNumbers w:val="0"/>
        <w:tabs>
          <w:tab w:val="left" w:pos="5918"/>
        </w:tabs>
        <w:spacing w:before="0" w:beforeAutospacing="0" w:after="0" w:afterAutospacing="0" w:line="594"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tbl>
      <w:tblPr>
        <w:tblStyle w:val="5"/>
        <w:tblW w:w="0" w:type="auto"/>
        <w:tblInd w:w="37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1"/>
      </w:tblGrid>
      <w:tr w14:paraId="56E3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1" w:type="dxa"/>
            <w:tcBorders>
              <w:top w:val="nil"/>
              <w:left w:val="nil"/>
              <w:bottom w:val="nil"/>
              <w:right w:val="nil"/>
            </w:tcBorders>
            <w:noWrap w:val="0"/>
            <w:vAlign w:val="top"/>
          </w:tcPr>
          <w:p w14:paraId="7A9834AC">
            <w:pPr>
              <w:pStyle w:val="4"/>
              <w:widowControl/>
              <w:ind w:left="0" w:firstLine="960" w:firstLineChars="300"/>
              <w:jc w:val="both"/>
              <w:rPr>
                <w:rFonts w:hint="default" w:ascii="Times New Roman" w:hAnsi="Times New Roman" w:eastAsia="仿宋_GB2312" w:cs="Times New Roman"/>
                <w:kern w:val="0"/>
                <w:sz w:val="32"/>
                <w:szCs w:val="32"/>
                <w:highlight w:val="yellow"/>
              </w:rPr>
            </w:pPr>
            <w:r>
              <w:rPr>
                <w:rFonts w:hint="eastAsia" w:ascii="仿宋_GB2312" w:hAnsi="宋体" w:eastAsia="仿宋_GB2312" w:cs="仿宋_GB2312"/>
                <w:kern w:val="0"/>
                <w:sz w:val="32"/>
                <w:szCs w:val="32"/>
              </w:rPr>
              <w:t>二○二四</w:t>
            </w:r>
            <w:r>
              <w:rPr>
                <w:rFonts w:hint="eastAsia" w:ascii="仿宋_GB2312" w:hAnsi="Times New Roman" w:eastAsia="仿宋_GB2312" w:cs="仿宋_GB2312"/>
                <w:bCs/>
                <w:kern w:val="0"/>
                <w:sz w:val="32"/>
                <w:szCs w:val="32"/>
              </w:rPr>
              <w:t>年七月十五日</w:t>
            </w:r>
          </w:p>
        </w:tc>
      </w:tr>
    </w:tbl>
    <w:p w14:paraId="2A26BF96">
      <w:pPr>
        <w:keepNext w:val="0"/>
        <w:keepLines w:val="0"/>
        <w:widowControl w:val="0"/>
        <w:suppressLineNumbers w:val="0"/>
        <w:tabs>
          <w:tab w:val="left" w:pos="4304"/>
          <w:tab w:val="left" w:pos="5649"/>
          <w:tab w:val="left" w:pos="5918"/>
          <w:tab w:val="left" w:pos="6456"/>
          <w:tab w:val="left" w:pos="7801"/>
          <w:tab w:val="left" w:pos="8070"/>
        </w:tabs>
        <w:spacing w:before="0" w:beforeAutospacing="0" w:after="0" w:afterAutospacing="0"/>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12019BF">
      <w:pPr>
        <w:keepNext w:val="0"/>
        <w:keepLines w:val="0"/>
        <w:widowControl w:val="0"/>
        <w:suppressLineNumbers w:val="0"/>
        <w:tabs>
          <w:tab w:val="left" w:pos="4304"/>
          <w:tab w:val="left" w:pos="5649"/>
          <w:tab w:val="left" w:pos="5918"/>
          <w:tab w:val="left" w:pos="6456"/>
          <w:tab w:val="left" w:pos="7801"/>
          <w:tab w:val="left" w:pos="8070"/>
        </w:tabs>
        <w:spacing w:before="0" w:beforeAutospacing="0" w:after="0" w:afterAutospacing="0"/>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spacing w:val="45"/>
          <w:kern w:val="2"/>
          <w:sz w:val="32"/>
          <w:szCs w:val="32"/>
          <w:lang w:val="en-US" w:eastAsia="zh-CN" w:bidi="ar"/>
        </w:rPr>
        <w:t>法官助理</w:t>
      </w:r>
      <w:r>
        <w:rPr>
          <w:rFonts w:hint="default" w:ascii="Times New Roman" w:hAnsi="Times New Roman" w:eastAsia="仿宋_GB2312" w:cs="Times New Roman"/>
          <w:spacing w:val="-6"/>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任</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艳</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晓</w:t>
      </w:r>
      <w:r>
        <w:rPr>
          <w:rFonts w:hint="default" w:ascii="Times New Roman" w:hAnsi="Times New Roman" w:eastAsia="仿宋_GB2312" w:cs="Times New Roman"/>
          <w:kern w:val="2"/>
          <w:sz w:val="32"/>
          <w:szCs w:val="32"/>
          <w:lang w:val="en-US" w:eastAsia="zh-CN" w:bidi="ar"/>
        </w:rPr>
        <w:t xml:space="preserve">                          </w:t>
      </w:r>
    </w:p>
    <w:p w14:paraId="09928F71">
      <w:pPr>
        <w:keepNext w:val="0"/>
        <w:keepLines w:val="0"/>
        <w:widowControl w:val="0"/>
        <w:suppressLineNumbers w:val="0"/>
        <w:tabs>
          <w:tab w:val="left" w:pos="4304"/>
          <w:tab w:val="left" w:pos="5649"/>
          <w:tab w:val="left" w:pos="5918"/>
          <w:tab w:val="left" w:pos="6456"/>
          <w:tab w:val="left" w:pos="7801"/>
          <w:tab w:val="left" w:pos="8070"/>
        </w:tabs>
        <w:spacing w:before="0" w:beforeAutospacing="0" w:after="0" w:afterAutospacing="0"/>
        <w:ind w:right="0" w:firstLine="4160" w:firstLineChars="13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书</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姜</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镭</w:t>
      </w:r>
    </w:p>
    <w:p w14:paraId="5BB921F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DFD74502"/>
    <w:rsid w:val="5AE0695A"/>
    <w:rsid w:val="DFD745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Arial"/>
      <w:kern w:val="2"/>
      <w:sz w:val="21"/>
      <w:szCs w:val="21"/>
    </w:rPr>
    <w:tblPr>
      <w:tblStyle w:val="5"/>
      <w:tblCellMar>
        <w:top w:w="0" w:type="dxa"/>
        <w:left w:w="108" w:type="dxa"/>
        <w:bottom w:w="0" w:type="dxa"/>
        <w:right w:w="108" w:type="dxa"/>
      </w:tblCellMar>
    </w:tblPr>
  </w:style>
  <w:style w:type="paragraph" w:styleId="2">
    <w:name w:val="Body Text"/>
    <w:basedOn w:val="1"/>
    <w:uiPriority w:val="0"/>
    <w:pPr>
      <w:keepNext w:val="0"/>
      <w:keepLines w:val="0"/>
      <w:widowControl w:val="0"/>
      <w:suppressLineNumbers w:val="0"/>
      <w:spacing w:before="0" w:beforeAutospacing="0" w:after="0" w:afterAutospacing="0" w:line="594" w:lineRule="exact"/>
      <w:ind w:left="0" w:right="0"/>
      <w:jc w:val="both"/>
    </w:pPr>
    <w:rPr>
      <w:rFonts w:hint="default" w:ascii="Times New Roman" w:hAnsi="Times New Roman" w:eastAsia="仿宋_GB2312" w:cs="Times New Roman"/>
      <w:kern w:val="2"/>
      <w:sz w:val="32"/>
      <w:szCs w:val="32"/>
      <w:lang w:val="en-US" w:eastAsia="zh-CN" w:bidi="ar"/>
    </w:rPr>
  </w:style>
  <w:style w:type="paragraph" w:styleId="3">
    <w:name w:val="Plain Text"/>
    <w:basedOn w:val="1"/>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styleId="4">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仿宋_GB2312" w:cs="Times New Roman"/>
      <w:kern w:val="0"/>
      <w:sz w:val="28"/>
      <w:szCs w:val="28"/>
      <w:lang w:val="en-US" w:eastAsia="zh-CN" w:bidi="ar"/>
    </w:rPr>
  </w:style>
  <w:style w:type="character" w:styleId="7">
    <w:name w:val="Hyperlink"/>
    <w:basedOn w:val="6"/>
    <w:uiPriority w:val="0"/>
    <w:rPr>
      <w:color w:val="0000FF"/>
      <w:u w:val="single"/>
    </w:rPr>
  </w:style>
  <w:style w:type="character" w:customStyle="1" w:styleId="8">
    <w:name w:val="10"/>
    <w:basedOn w:val="6"/>
    <w:uiPriority w:val="0"/>
    <w:rPr>
      <w:rFonts w:hint="default" w:ascii="Times New Roman" w:hAnsi="Times New Roman" w:cs="Times New Roman"/>
    </w:rPr>
  </w:style>
  <w:style w:type="character" w:customStyle="1" w:styleId="9">
    <w:name w:val="15"/>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2026-06-30T16:39:00Z</dcterms:created>
  <dc:creator>王莉莉</dc:creator>
  <cp:lastModifiedBy>Laurent</cp:lastModifiedBy>
  <dcterms:modified xsi:type="dcterms:W3CDTF">2026-07-18T05:48:49Z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6591E57F619E4CF0A50A58F2B94E734A_13</vt:lpwstr>
  </property>
</Properties>
</file>