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D2CF6">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5451C271">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6A3BF0FC">
      <w:pPr>
        <w:keepNext w:val="0"/>
        <w:keepLines w:val="0"/>
        <w:widowControl w:val="0"/>
        <w:suppressLineNumbers w:val="0"/>
        <w:spacing w:before="0" w:beforeAutospacing="0" w:after="0" w:afterAutospacing="0" w:line="780" w:lineRule="exact"/>
        <w:ind w:left="0" w:right="0"/>
        <w:jc w:val="both"/>
        <w:rPr>
          <w:rFonts w:hint="eastAsia" w:ascii="仿宋_GB2312" w:eastAsia="仿宋_GB2312" w:cs="仿宋_GB2312"/>
          <w:kern w:val="2"/>
          <w:sz w:val="32"/>
          <w:szCs w:val="32"/>
        </w:rPr>
      </w:pPr>
      <w:r>
        <w:rPr>
          <w:rFonts w:hint="default" w:ascii="Calibri" w:hAnsi="Calibri" w:eastAsia="宋体" w:cs="Times New Roman"/>
          <w:kern w:val="2"/>
          <w:sz w:val="32"/>
          <w:szCs w:val="32"/>
          <w:lang w:val="en-US" w:eastAsia="zh-CN" w:bidi="ar"/>
        </w:rPr>
        <w:t xml:space="preserve"> </w:t>
      </w:r>
    </w:p>
    <w:p w14:paraId="66497F3D">
      <w:pPr>
        <w:keepNext w:val="0"/>
        <w:keepLines w:val="0"/>
        <w:widowControl w:val="0"/>
        <w:suppressLineNumbers w:val="0"/>
        <w:wordWrap w:val="0"/>
        <w:autoSpaceDE w:val="0"/>
        <w:autoSpaceDN/>
        <w:spacing w:before="0" w:beforeAutospacing="0" w:after="0" w:afterAutospacing="0" w:line="340" w:lineRule="exact"/>
        <w:ind w:left="0" w:right="0" w:firstLine="573"/>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（2022）浙民终1498号   </w:t>
      </w:r>
    </w:p>
    <w:p w14:paraId="6E27A0BC">
      <w:pPr>
        <w:keepNext w:val="0"/>
        <w:keepLines w:val="0"/>
        <w:widowControl w:val="0"/>
        <w:suppressLineNumbers w:val="0"/>
        <w:autoSpaceDE w:val="0"/>
        <w:autoSpaceDN/>
        <w:spacing w:before="0" w:beforeAutospacing="0" w:after="0" w:afterAutospacing="0" w:line="340" w:lineRule="exact"/>
        <w:ind w:left="0" w:right="0" w:firstLine="556" w:firstLineChars="174"/>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64EF36BC">
      <w:pPr>
        <w:pStyle w:val="3"/>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kern w:val="0"/>
          <w:sz w:val="32"/>
          <w:szCs w:val="32"/>
        </w:rPr>
      </w:pPr>
      <w:r>
        <w:rPr>
          <w:rFonts w:hint="eastAsia" w:ascii="仿宋_GB2312" w:hAnsi="宋体" w:eastAsia="仿宋_GB2312" w:cs="仿宋_GB2312"/>
          <w:kern w:val="0"/>
          <w:sz w:val="32"/>
          <w:szCs w:val="32"/>
          <w:lang w:val="en-US" w:eastAsia="zh-CN" w:bidi="ar"/>
        </w:rPr>
        <w:t>上诉人（原审原告、反诉被告）：陈某福，男，1975年7月9日出生，汉族，住重庆市开县。</w:t>
      </w:r>
    </w:p>
    <w:p w14:paraId="6F6EE6B5">
      <w:pPr>
        <w:pStyle w:val="3"/>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kern w:val="0"/>
          <w:sz w:val="32"/>
          <w:szCs w:val="32"/>
        </w:rPr>
      </w:pPr>
      <w:r>
        <w:rPr>
          <w:rFonts w:hint="eastAsia" w:ascii="仿宋_GB2312" w:hAnsi="宋体" w:eastAsia="仿宋_GB2312" w:cs="仿宋_GB2312"/>
          <w:kern w:val="0"/>
          <w:sz w:val="32"/>
          <w:szCs w:val="32"/>
          <w:lang w:val="en-US" w:eastAsia="zh-CN" w:bidi="ar"/>
        </w:rPr>
        <w:t>被上诉人（原审被告、反诉原告）：杭州华某布艺家居有限公司，住所地浙江省杭州市余杭区。</w:t>
      </w:r>
    </w:p>
    <w:p w14:paraId="0495CE37">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上诉人陈某福因与被上诉人杭州华某布艺家居有限公司（以下简称华某公司）侵害外观设计专利权、因恶意提起知识产权诉讼损害责任纠纷一案，不服浙江省杭州市中级人民法院（2022）浙01民初526号民事判决，向本院提起上诉。本院于2022年12月20日立案受理后，</w:t>
      </w:r>
      <w:r>
        <w:rPr>
          <w:rFonts w:hint="eastAsia" w:ascii="仿宋_GB2312" w:eastAsia="仿宋_GB2312" w:cs="仿宋_GB2312"/>
          <w:kern w:val="0"/>
          <w:sz w:val="32"/>
          <w:szCs w:val="32"/>
        </w:rPr>
        <w:t>依法组成合议庭进行了审理。</w:t>
      </w:r>
      <w:r>
        <w:rPr>
          <w:rFonts w:hint="eastAsia" w:ascii="仿宋_GB2312" w:eastAsia="仿宋_GB2312" w:cs="仿宋_GB2312"/>
          <w:color w:val="000000"/>
          <w:kern w:val="2"/>
          <w:sz w:val="32"/>
          <w:szCs w:val="32"/>
        </w:rPr>
        <w:t>本案现已审理终结。</w:t>
      </w:r>
    </w:p>
    <w:p w14:paraId="40F1F657">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陈某福上诉请求：撤销一审判决，改判驳回华某公司的全部反诉请求；由华某公司承担一、二审的诉讼费用。事实和理由：1.陈某福提起对华某公司的诉讼具有初步证据，且起诉时陈某福拥有专利权，在提起诉讼前后涉案专利也从未收到过任何无效申请，陈某福提起诉讼系出于正当维权的目的，并非故意提起一个在事实上和法律上无根据之诉，主观上没有故意滥用权利。2.陈某福起诉后并未同时向某甲平台发起投诉，陈某福提出停止侵权、删除链接等诉讼请求并没有超出知识产权维权范围。3.专利申请具有较高的专业性。陈某福在专利申请日之前销售了专利产品，系因其在操作上专业性及严谨性不够所造成的，但并不足以证明陈某福系通过欺骗手段获得涉案专利权，也不存在所谓申请专利的恶意。4.华某公司主张的网站上的挂钩不可以作为本案专利的现有设计。5.一审中陈某福不存在超出诉讼本身的其他目的或者存在明显不当、有违诚信的诉讼行为，而通过诉讼程序争取利益是民事主体的正当权利。6.华某公司所指控的滥用行为指专利申请日之前相关产品已在市场上销售，专利法对此已规定了救济途径。如果因此构成权利滥用，将引发无效制度与现有设计抗辩制度之间的冲突。7.当事人双方均属于小规模经营者，不存在激烈的竞争关系，陈某福不存在通过诉讼打击同业竞争者的目的。</w:t>
      </w:r>
    </w:p>
    <w:p w14:paraId="115781D1">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华某公司辩称：陈某福在自己已经公开专利产品的情况下仍申请涉案专利并提起本案诉讼，属于明显的滥用权利。一审法院认定事实清楚，适用法律正确，请求依法驳回上诉，维持原判。</w:t>
      </w:r>
    </w:p>
    <w:p w14:paraId="5FC807B2">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陈某福向一审法院提出诉讼，请求判令华某公司：1.立即停止制造、销售、许诺销售侵害专利号为ZL2019****0096. 0外观设计专利权的产品，并销毁涉案库存产品、生产设备和模具；2.赔偿陈某福经济损失及合理费用共计100000元；4.承担本案全部诉讼费用。华某公司提起反讼，请求判令陈某福：1.赔偿华某公司因诉讼支付的合理费用7000元；2.承担本案全部诉讼费。</w:t>
      </w:r>
    </w:p>
    <w:p w14:paraId="7DDB06B3">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一审法院认定事实：2019年7月22日，陈某福向国家某局申请名为“挂钩（2）”的外观设计专利，于同年12月31日授权公告，专利号为ZL2019****0096.0，该专利至今维持有效。专利证书的简要说明记载，本产品是窗帘配件挂钩，设计要点在于各视图形状及图案的结合。该专利产品由2021年10月26日，国家某局就该外观设计专利出具评价报告，初步结论为“全部外观设计未发现存在不符合授予专利权条件的缺陷”。</w:t>
      </w:r>
    </w:p>
    <w:p w14:paraId="419CAD08">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华某公司在某甲平台网站开设“杰卡德旗舰店”售卖窗帘挂钩。2021年8月21日，浙江嘉杭律师事务所律师的代理人杨成芳在上述店铺公证购买了名称为“新中式窗帘绣花壁钩一对金属挂钩墙钩配件装饰客厅卧室窗帘固定钩”产品1件。同年8月26日，再次访问该产品链接，显示产品已经下架、单价178元、评价10条，页面还有产品介绍内容，并展示了产品图片。浙江省杭州市之江公证处为上述访问网店过程出具了（2021）浙杭之证字第231号公证书。</w:t>
      </w:r>
    </w:p>
    <w:p w14:paraId="1464F7E0">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一审庭审时当庭拆封公证封存物，产品及包装无生产信息，华某公司认可该产品系其销售。经比对，陈某福主张被诉侵权设计与授权外观设计相同，华某公司认为被诉侵权设计与授权外观设计主体部分形状相同，但在挂钩尾部收尾处设计存在区别，仅构成近似。</w:t>
      </w:r>
    </w:p>
    <w:p w14:paraId="2A286F8F">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华某公司认为被诉侵权设计为现有设计，并向一审法院提交了Terrys Fabrics网页截图、可信时间戳认证证书及取证文件、“深圳家纺家具展”公众号主体信息、“深圳家纺家具展”公众号文章、2019深圳国际家纺家具展盛况直播截图等证据予以佐证。陈某福对Terrys Fabrics网页截图的内容真实性有异议，对其他证据的真实性均无异议，该院对上述证据的证据效力予以确认。Terrys Fabrics网页截图所展示的网站域名为www.terrysfabrics.co.uk，该网页展示了一款整体呈“？”形状的窗帘挂钩产品照片，其中一条评论显示时间为2017年4月22日，该产品尾部无装饰物。结合“深圳家纺家具展”某乙平台公众号和网页宣传，深圳国际家纺家具展曾于2019年3月6日至2019年3月10日举行，某公司参展，展位7馆7A07。同时，陈某福也于2019年3月6日至3月7日期间在朋友圈发布参展情况照片，展位7馆7A07，照片展示了一款整体呈“？”形状的窗帘挂钩产品，该产品挂钩尾部有球形装饰件。一审庭审中，陈某福认可某公司为其开设。此外，可信时间戳认证证书所附取证文件为陈某福某乙平台朋友圈截图，截图显示，陈某福于2018年12月23日在某乙平台朋友圈发布一条状态，所附照片包括两款整体呈“？”形状的窗帘挂钩产品，该产品挂钩尾部有不同图案的圆形装饰盘。</w:t>
      </w:r>
    </w:p>
    <w:p w14:paraId="04DD2728">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关于现有设计比对。华某公司认为，Terrys Fabrics网页公开的挂钩产品与被诉侵权产品相比，两者均由圆形底座、圆形连接环、“？”形钩和装饰件组成，两者“？”形钩的形状一致，且“？”形钩的一端均通过圆形连接环连接圆形底座，两者整体视觉效果一致；区别设计点仅在于“？”形钩另一端设置的装饰件不同，被诉侵权产品的装饰件为圆饼型图案，Terrys Fabrics网页公开的产品为球形装饰件，上述装饰件在视觉上与“？”形钩可拆分，拆分后Terrys Fabrics网页公开的挂钩产品与被诉侵权产品的视觉效果完全相同；并且上述区别设计点在被诉侵权产品和本案专利中也存在，本案专利中并未设置装饰件，被诉侵权产品与本案专利相比，更接近于Terrys Fabrics网页公开的挂钩产品。2019深圳家纺家具展公开的挂钩产品与被诉侵权产品相比，两者均由圆形底座、圆形连接环、“？”形钩和装饰件组成，两者“？”形钩的形状一致，且“？”形钩的一端均通过圆形连接环连接圆形底座，两者整体视觉效果一致；区别设计点在于“？”形钩另一端设置的装饰件不同，被诉侵权产品的装饰件为圆饼型图案，2019深圳家纺家具展公开的挂钩产品为球形装饰件，上述装饰件在视觉上与“？”形钩可拆分，拆分后2019深圳家纺家具展公开的挂钩产品与被诉侵权产品的视觉效果完全相同；并且上述区别设计点在被诉侵权产品和本案专利中也存在，本案专利中并未设置装饰件，被诉侵权产品与本案专利相比，更接近于“2019深圳家纺家具展”公开的挂钩产品。</w:t>
      </w:r>
    </w:p>
    <w:p w14:paraId="52B5F7CA">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对于华某公司的现有设计抗辩，陈某福认为，作为一个挂钩，其显著设计特征在于圆形底座部分和“？”形钩的装饰件。Terrys Fabrics网页中的挂钩在其圆形底座有3个圆孔设计，与被诉侵权设计存在区别，两者在整体视觉效果上存在较大差异。2019深圳家纺家具展公开的挂钩产品在形钩上的装饰件为球形装饰件，而被诉侵权产品形钩上的装饰件为圆饼型图案，因“？”形钩的装饰件存在区别，两者在整体视觉效果上有存在较大差异，华某公司的现有设计抗辩不成立。</w:t>
      </w:r>
    </w:p>
    <w:p w14:paraId="742FB1B9">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一审法院另查明，华某公司成立于2009年11月18日，注册资本510000元，组织类型为有限责任公司，经营范围包括家纺用品、家饰产品销售和窗帘、布艺产品生产加工。</w:t>
      </w:r>
    </w:p>
    <w:p w14:paraId="18B29DC2">
      <w:pPr>
        <w:keepNext w:val="0"/>
        <w:keepLines w:val="0"/>
        <w:widowControl w:val="0"/>
        <w:suppressLineNumbers w:val="0"/>
        <w:overflowPunct w:val="0"/>
        <w:autoSpaceDE w:val="0"/>
        <w:autoSpaceDN w:val="0"/>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陈某福为本案诉讼花费公证费1000元，并委托律师代理诉讼。华某公司为本案诉讼支出律师费7000元。</w:t>
      </w:r>
    </w:p>
    <w:p w14:paraId="698118A1">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一审法院认为，专利号为ZL2019****0096.0、名称为“挂钩（2）”的外观设计专利在有效期内，应受国家法律保护，陈某福作为涉案专利权人对侵犯该专利权之行为享有诉权。华某公司提交证据证明陈某福的起诉构成法律规定的滥用权利损害其合法权益，依法提出反诉，请求陈某福赔偿其因该诉讼所遭受的经济损失，人民法院可以一并审理华某公司的反诉请求。根据本案查明事实并结合双方诉辩意见，本案的争议焦点为：一、被诉侵权设计是否落入涉案专利权保护范围；二、陈某福关于华某公司的侵权指控是否成立以及相应民事责任承担；三、华某公司关于陈某福滥用专利权的指控是否成立以及相应民事责任承担。</w:t>
      </w:r>
    </w:p>
    <w:p w14:paraId="31AFCDF8">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一、被诉侵权设计是否落入涉案专利权保护范围</w:t>
      </w:r>
    </w:p>
    <w:p w14:paraId="3E85F203">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涉案专利产品由圆形底座、连接环、“？”形状的挂钩三部分组成。被诉侵权产品与涉案专利产品均为窗帘挂钩，系相同种类产品。经比对被诉侵权设计与授权外观设计的设计特征，二者在圆形底座、连接环、“？”形状的挂钩三部分的形状基本相同，区别仅在于被诉侵权设计在挂钩尾部还有一个圆形带图案装饰盘，二者在整体视觉效果不存在实质差异，应认定被诉侵权设计落入涉案专利权保护范围。</w:t>
      </w:r>
    </w:p>
    <w:p w14:paraId="74286DBA">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二、陈某福关于华某公司的侵权指控是否成立</w:t>
      </w:r>
    </w:p>
    <w:p w14:paraId="0AD6F63C">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华某公司提交了大量证据援引现有设计抗辩。根据《中华人民共和国专利法》第六十七条规定：“在专利侵权纠纷中，被控侵权人有证据证明其实施的技术或者设计属于现有技术或者现有设计的，不构成侵犯专利权。”经审查，华某公司所援引的比对文件公开日均位于涉案专利申请日之前，可以作为现有设计比对的基础。将被诉侵权设计与Terrys Fabrics网页截图相比，两者在圆形底座、连接环的具体连接结构、相对尺寸以及“？”形状挂钩的弧度变化存在差异，不构成相同或近似设计。将被诉侵权设计与陈某福于2019深圳家纺家具展公开的产品相比，两者基本相同，仅在“？”形状挂钩尾部装饰件存在区别，被诉侵权设计采用了圆形装饰盘，而现有设计采用了装饰球，两者也构成近似设计。综上，被诉侵权设计与陈某福自身于涉案专利申请日之前公开的产品外观构成近似设计，华某公司系实施现有设计，不构成对涉案专利权的侵犯。陈某福的本诉请求，该院不予支持。</w:t>
      </w:r>
    </w:p>
    <w:p w14:paraId="6985278D">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三、陈某福是否构成滥用专利权及其责任承担</w:t>
      </w:r>
    </w:p>
    <w:p w14:paraId="07F67806">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华某公司反诉主张陈某福在明知授权外观设计系现有设计的情况下，将该外观设计申请为专利，并提起本案诉讼，构成权利滥用，应赔偿其合理诉讼开支。对此，该院认为，《中华人民共和国专利法》第二十条第一款规定：申请专利和行使专利权应当遵循诚实信用原则。不得滥用专利权损害公共利益或者他人合法权益。《中华人民共和国民法典》第三条规定：民事主体的人身权利、财产权利以及其他合法权益受法律保护，任何组织或者个人不得侵犯；第一百二十条规定：民事权益受到侵害的，被侵权人有权请求侵权人承担侵权责任；第一百七十九条第一款规定：承担民事责任的方式主要有赔偿损失等；第一千一百六十五条规定：行为人因过错侵害他人民事权益造成损害的，应当承担侵权责任。专利申请人提出专利申请应秉承善意前提，以自己合法创造、在先并未公开、有益社会产业发展的技术方案或外观设计提出申请。获得授权后，专利权人须依法行使其专有权利。专利权人违背诚实信用原则，滥用权利损害公众或他人合法权益的，不受法律保护。专利权人在明知其所有的技术或设计并不具有专利性的情况下取得专利权，并据此向法院起诉未经许可而使用该专利者侵犯其专利权，被告提交证据证明原告的起诉构成滥用权利损害其合法权益，有权反诉请求原告赔偿其因该诉讼所支付的合理的律师费、交通费、食宿费开支等经济损失。</w:t>
      </w:r>
    </w:p>
    <w:p w14:paraId="0206ADFB">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本案中，华某公司抗辩所提出的现有设计早在2019年3月就曾由陈某福在某乙平台朋友圈和深圳国际家纺家具展在先公开。陈某福也曾于2018年12月23日在某乙平台朋友圈发布过与涉案专利形状基本一致的产品图片，但该产品于“？”形状挂钩尾部增加了圆形装饰盘。可见，陈某福于2019年7月22日申请涉案专利，系以其在先销售和展出产品的不包含挂钩尾部装饰件的主体部分设计提出申请，所授权外观设计的所有设计特征均已被陈某福自身在先公开，该授权外观设计和现有设计相比整体并不存在视觉效果的实质性差异。作为窗帘挂钩经营者，陈某福将已公开产品的主体部分设计申请专利，违背了诚实信用原则，系恶意申请专利，涉案专利权利状态和稳定性高度存疑。涉案专利虽然经过形式审查获得授权，但陈某福在明知涉案专利权利状态存疑的情况下起诉华某公司，主观上具有滥用诉权的故意。且经一审庭审比对，被诉侵权设计与现有设计相比，形状基本一致，仅在挂钩尾部装饰部位存在细微差别。陈某福开设企业经营窗帘挂钩产品，了解并熟悉该领域产品设计，应当知道被诉侵权设计与本案现有设计不具有实质区别，也应当知道被诉侵权产品所实施为现有设计，却仍然提起本案诉讼，构成滥用诉权。陈某福违背诚实信用原则，恶意申请涉案专利并滥用诉权提起本案诉讼，客观上给华某公司带来了经济损失，应承担赔偿华某公司经济损失的责任。华某公司为此案诉讼委托律师代理诉讼，其提出陈某福赔偿其诉讼开支有合同予以佐证，数额也在合理范围之内，该院予以支持。</w:t>
      </w:r>
    </w:p>
    <w:p w14:paraId="40CBA691">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综上，依照《中华人民共和国民法典》第三条、第一百二十条规定、第一百七十九条第一款第八项、第一千一百六十五，《中华人民共和国专利法》第二十条第一款、第六十七条，《中华人民共和国民事诉讼法》第六十七条，《最高人民法院关于适用〈中华人民共和国民事诉讼法〉的解释》第九十二条第一款之规定，一审法院于2022年11月18日判决：一、驳回陈某福的全部诉讼请求；二、陈某福于判决生效之日起十日内赔偿华某公司经济损失7000元。如果未按判决指定的期间履行给付金钱义务，应当依照《中华人民共和国民事诉讼法》第二百六十条之规定，加倍支付迟延履行期间的债务利息。一审本诉案件受理费2300元，由陈某福负担。反诉案件受理费50元，由陈某福负担。</w:t>
      </w:r>
    </w:p>
    <w:p w14:paraId="38A86D82">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二审中，双方当事人均未向本院提交新的证据。</w:t>
      </w:r>
    </w:p>
    <w:p w14:paraId="22C6AC23">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b w:val="0"/>
          <w:bCs/>
          <w:kern w:val="2"/>
          <w:sz w:val="32"/>
          <w:szCs w:val="32"/>
        </w:rPr>
      </w:pPr>
      <w:r>
        <w:rPr>
          <w:rFonts w:hint="eastAsia" w:ascii="仿宋_GB2312" w:hAnsi="Calibri" w:eastAsia="仿宋_GB2312" w:cs="仿宋_GB2312"/>
          <w:b w:val="0"/>
          <w:bCs/>
          <w:kern w:val="2"/>
          <w:sz w:val="32"/>
          <w:szCs w:val="32"/>
          <w:lang w:val="en-US" w:eastAsia="zh-CN" w:bidi="ar"/>
        </w:rPr>
        <w:t>本院二审查明的事实与一审法院认定的一致。</w:t>
      </w:r>
    </w:p>
    <w:p w14:paraId="25DC607E">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b w:val="0"/>
          <w:bCs/>
          <w:kern w:val="2"/>
          <w:sz w:val="32"/>
          <w:szCs w:val="32"/>
        </w:rPr>
      </w:pPr>
      <w:r>
        <w:rPr>
          <w:rFonts w:hint="eastAsia" w:ascii="仿宋_GB2312" w:eastAsia="仿宋_GB2312" w:cs="仿宋_GB2312"/>
          <w:b w:val="0"/>
          <w:bCs/>
          <w:kern w:val="2"/>
          <w:sz w:val="32"/>
          <w:szCs w:val="32"/>
        </w:rPr>
        <w:t>本院认为，根据陈某福的上诉请求和理由及华某公司的答辩意见，本案二审争议焦点为陈某福是否构成滥用权利。《中华人民共和国专利法》第二十条第一款规定，申请专利和行使专利权应当遵循诚实信用原则。不得滥用专利权损害公共利益或者他人合法权益。第二十三条规定，授予专利权的外观设计，应当不属于现有设计；而该法所称现有设计，是指申请日以前在国内外为公众所知的设计。《中华人民共和国民法典》第一千一百六十五条规定，行为人因过错侵害他人民事权益造成损害的，应当承担侵权责任。据此，专利申请人提出专利申请，应以在先并未公开为前提。若是在明知相关设计属于现有设计的情况下仍提出专利申请，有违诚实信用原则，因此对他人民事权益造成损害的，应当承担侵权责任。</w:t>
      </w:r>
    </w:p>
    <w:p w14:paraId="5B96B08A">
      <w:pPr>
        <w:pStyle w:val="2"/>
        <w:keepNext w:val="0"/>
        <w:keepLines w:val="0"/>
        <w:widowControl w:val="0"/>
        <w:suppressLineNumbers w:val="0"/>
        <w:tabs>
          <w:tab w:val="left" w:pos="2694"/>
        </w:tabs>
        <w:spacing w:line="550" w:lineRule="exact"/>
        <w:ind w:left="0" w:firstLine="640" w:firstLineChars="200"/>
        <w:jc w:val="both"/>
        <w:rPr>
          <w:rFonts w:hint="eastAsia" w:ascii="仿宋_GB2312" w:eastAsia="仿宋_GB2312" w:cs="仿宋_GB2312"/>
          <w:b w:val="0"/>
          <w:bCs/>
          <w:kern w:val="2"/>
          <w:sz w:val="32"/>
          <w:szCs w:val="32"/>
        </w:rPr>
      </w:pPr>
      <w:r>
        <w:rPr>
          <w:rFonts w:hint="eastAsia" w:ascii="仿宋_GB2312" w:eastAsia="仿宋_GB2312" w:cs="仿宋_GB2312"/>
          <w:b w:val="0"/>
          <w:bCs/>
          <w:kern w:val="2"/>
          <w:sz w:val="32"/>
          <w:szCs w:val="32"/>
        </w:rPr>
        <w:t>本案中，华某公司主张的现有设计早在2019年3月就由陈某福自身在某乙平台朋友圈和深圳国际家纺家具展在先公开。陈某福也曾于2018年12月23日在某乙平台朋友圈发布过与涉案专利形状基本一致的产品图片。陈某福在自身已经通过在先销售和展出等方式公开了相关产品的情况下，仍申请了涉案专利，并以此为依据起诉华某公司，违反诚实信用原则，主观上存在明显过错，由此给华某公司造成损害，陈某福应承担相应赔偿责任。对于陈某福上诉提出的其提起本案诉讼系为维护正当的专利权等意见，本院认为，涉案外观设计虽然经过形式审查而获得专利授权，但鉴于陈某福提出的专利申请违反了专利法的相关规定，实质上并不符合授予专利的条件，涉案专利权并不能成为本案陈某福被诉行为具有正当性的依据。陈某福提出的相关上诉理由缺乏事实和法律依据，本院不予支持。华某公司为本案委托律师代理诉讼，其要求陈某福赔偿诉讼开支有合同予以佐证，数额也在合理范围之内，一审判决予以支持并无不当。</w:t>
      </w:r>
    </w:p>
    <w:p w14:paraId="3CDB7377">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b w:val="0"/>
          <w:bCs/>
          <w:kern w:val="2"/>
          <w:sz w:val="32"/>
          <w:szCs w:val="32"/>
        </w:rPr>
      </w:pPr>
      <w:r>
        <w:rPr>
          <w:rFonts w:hint="eastAsia" w:ascii="仿宋_GB2312" w:hAnsi="Calibri" w:eastAsia="仿宋_GB2312" w:cs="仿宋_GB2312"/>
          <w:b w:val="0"/>
          <w:bCs/>
          <w:kern w:val="2"/>
          <w:sz w:val="32"/>
          <w:szCs w:val="32"/>
          <w:lang w:val="en-US" w:eastAsia="zh-CN" w:bidi="ar"/>
        </w:rPr>
        <w:t>综上，</w:t>
      </w:r>
      <w:r>
        <w:rPr>
          <w:rFonts w:hint="eastAsia" w:ascii="仿宋_GB2312" w:hAnsi="Calibri" w:eastAsia="仿宋_GB2312" w:cs="仿宋_GB2312"/>
          <w:color w:val="000000"/>
          <w:kern w:val="2"/>
          <w:sz w:val="32"/>
          <w:szCs w:val="32"/>
          <w:lang w:val="en-US" w:eastAsia="zh-CN" w:bidi="ar"/>
        </w:rPr>
        <w:t>陈某福</w:t>
      </w:r>
      <w:r>
        <w:rPr>
          <w:rFonts w:hint="eastAsia" w:ascii="仿宋_GB2312" w:hAnsi="Calibri" w:eastAsia="仿宋_GB2312" w:cs="仿宋_GB2312"/>
          <w:b w:val="0"/>
          <w:bCs/>
          <w:kern w:val="2"/>
          <w:sz w:val="32"/>
          <w:szCs w:val="32"/>
          <w:lang w:val="en-US" w:eastAsia="zh-CN" w:bidi="ar"/>
        </w:rPr>
        <w:t>的上诉请求不能成立，应予驳回。一审判决认定事实清楚，适用法律正确，实体处理并无不当。依照《中华人民共和国民事诉讼法》第一百七十七条第一款第一项之规定，判决如下：</w:t>
      </w:r>
    </w:p>
    <w:p w14:paraId="7AD88495">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b w:val="0"/>
          <w:bCs/>
          <w:kern w:val="2"/>
          <w:sz w:val="32"/>
          <w:szCs w:val="32"/>
        </w:rPr>
      </w:pPr>
      <w:r>
        <w:rPr>
          <w:rFonts w:hint="eastAsia" w:ascii="仿宋_GB2312" w:hAnsi="Calibri" w:eastAsia="仿宋_GB2312" w:cs="仿宋_GB2312"/>
          <w:b w:val="0"/>
          <w:bCs/>
          <w:kern w:val="2"/>
          <w:sz w:val="32"/>
          <w:szCs w:val="32"/>
          <w:lang w:val="en-US" w:eastAsia="zh-CN" w:bidi="ar"/>
        </w:rPr>
        <w:t>驳回上诉，维持原判。</w:t>
      </w:r>
    </w:p>
    <w:p w14:paraId="125611F4">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b w:val="0"/>
          <w:bCs/>
          <w:kern w:val="2"/>
          <w:sz w:val="32"/>
          <w:szCs w:val="32"/>
        </w:rPr>
      </w:pPr>
      <w:r>
        <w:rPr>
          <w:rFonts w:hint="eastAsia" w:ascii="仿宋_GB2312" w:hAnsi="Calibri" w:eastAsia="仿宋_GB2312" w:cs="仿宋_GB2312"/>
          <w:b w:val="0"/>
          <w:bCs/>
          <w:kern w:val="2"/>
          <w:sz w:val="32"/>
          <w:szCs w:val="32"/>
          <w:lang w:val="en-US" w:eastAsia="zh-CN" w:bidi="ar"/>
        </w:rPr>
        <w:t>二审案件受理费50元，由陈某福负担。</w:t>
      </w:r>
    </w:p>
    <w:p w14:paraId="6B2C1200">
      <w:pPr>
        <w:keepNext w:val="0"/>
        <w:keepLines w:val="0"/>
        <w:widowControl w:val="0"/>
        <w:suppressLineNumbers w:val="0"/>
        <w:autoSpaceDE w:val="0"/>
        <w:autoSpaceDN/>
        <w:spacing w:before="0" w:beforeAutospacing="0" w:after="0" w:afterAutospacing="0" w:line="550" w:lineRule="exact"/>
        <w:ind w:left="0" w:right="0" w:firstLine="640" w:firstLineChars="2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本判决为终审判决。</w:t>
      </w:r>
    </w:p>
    <w:p w14:paraId="1A0C5D45">
      <w:pPr>
        <w:pStyle w:val="4"/>
        <w:keepNext w:val="0"/>
        <w:keepLines w:val="0"/>
        <w:widowControl w:val="0"/>
        <w:suppressLineNumbers w:val="0"/>
        <w:spacing w:line="560" w:lineRule="exac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2EEE545E">
      <w:pPr>
        <w:keepNext w:val="0"/>
        <w:keepLines w:val="0"/>
        <w:widowControl w:val="0"/>
        <w:suppressLineNumbers w:val="0"/>
        <w:spacing w:before="0" w:beforeAutospacing="0" w:after="0" w:afterAutospacing="0" w:line="55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0075CF6">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金</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富</w:t>
      </w:r>
    </w:p>
    <w:p w14:paraId="072BFB34">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剑</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霞</w:t>
      </w:r>
    </w:p>
    <w:p w14:paraId="57E60F4B">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r>
        <w:rPr>
          <w:rFonts w:hint="eastAsia" w:ascii="Times New Roman" w:hAnsi="Times New Roman" w:eastAsia="仿宋_GB2312" w:cs="Times New Roman"/>
          <w:kern w:val="2"/>
          <w:sz w:val="32"/>
          <w:szCs w:val="32"/>
          <w:lang w:val="en-US" w:eastAsia="zh-CN" w:bidi="ar"/>
        </w:rPr>
        <w:t xml:space="preserve">    </w:t>
      </w:r>
    </w:p>
    <w:p w14:paraId="2C5D2F21">
      <w:pPr>
        <w:keepNext w:val="0"/>
        <w:keepLines w:val="0"/>
        <w:widowControl w:val="0"/>
        <w:suppressLineNumbers w:val="0"/>
        <w:overflowPunct w:val="0"/>
        <w:autoSpaceDE w:val="0"/>
        <w:autoSpaceDN w:val="0"/>
        <w:spacing w:before="0" w:beforeAutospacing="0" w:after="0" w:afterAutospacing="0" w:line="550" w:lineRule="exact"/>
        <w:ind w:left="0" w:right="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07D1D5FD">
      <w:pPr>
        <w:keepNext w:val="0"/>
        <w:keepLines w:val="0"/>
        <w:widowControl w:val="0"/>
        <w:suppressLineNumbers w:val="0"/>
        <w:overflowPunct w:val="0"/>
        <w:autoSpaceDE w:val="0"/>
        <w:autoSpaceDN w:val="0"/>
        <w:spacing w:before="0" w:beforeAutospacing="0" w:after="0" w:afterAutospacing="0" w:line="550" w:lineRule="exact"/>
        <w:ind w:left="0" w:right="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7E62F7C4">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65E85000">
      <w:pPr>
        <w:keepNext w:val="0"/>
        <w:keepLines w:val="0"/>
        <w:widowControl w:val="0"/>
        <w:suppressLineNumbers w:val="0"/>
        <w:overflowPunct w:val="0"/>
        <w:autoSpaceDE w:val="0"/>
        <w:autoSpaceDN w:val="0"/>
        <w:spacing w:before="0" w:beforeAutospacing="0" w:after="0" w:afterAutospacing="0" w:line="550" w:lineRule="exact"/>
        <w:ind w:left="0" w:leftChars="0" w:right="0" w:firstLine="5296" w:firstLineChars="1655"/>
        <w:jc w:val="distribute"/>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二○二三年二月二十七日</w:t>
      </w:r>
    </w:p>
    <w:p w14:paraId="7A3C122F">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19AE0781">
      <w:pPr>
        <w:keepNext w:val="0"/>
        <w:keepLines w:val="0"/>
        <w:widowControl w:val="0"/>
        <w:suppressLineNumbers w:val="0"/>
        <w:overflowPunct w:val="0"/>
        <w:autoSpaceDE w:val="0"/>
        <w:autoSpaceDN w:val="0"/>
        <w:spacing w:before="0" w:beforeAutospacing="0" w:after="0" w:afterAutospacing="0" w:line="550" w:lineRule="exact"/>
        <w:ind w:left="0" w:leftChars="0" w:right="0" w:firstLine="640" w:firstLineChars="200"/>
        <w:jc w:val="right"/>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卓</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尔</w:t>
      </w:r>
    </w:p>
    <w:p w14:paraId="7BA7912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FF718F5"/>
    <w:rsid w:val="3FF718F5"/>
    <w:rsid w:val="55AA6B8A"/>
    <w:rsid w:val="7FB602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2"/>
    <w:basedOn w:val="1"/>
    <w:uiPriority w:val="0"/>
    <w:pPr>
      <w:keepNext w:val="0"/>
      <w:keepLines w:val="0"/>
      <w:widowControl w:val="0"/>
      <w:suppressLineNumbers w:val="0"/>
      <w:autoSpaceDE w:val="0"/>
      <w:autoSpaceDN w:val="0"/>
      <w:adjustRightInd w:val="0"/>
      <w:spacing w:before="0" w:beforeAutospacing="0" w:after="0" w:afterAutospacing="0" w:line="520" w:lineRule="exact"/>
      <w:ind w:left="0" w:right="0"/>
      <w:jc w:val="center"/>
    </w:pPr>
    <w:rPr>
      <w:rFonts w:hint="eastAsia" w:ascii="楷体_GB2312" w:hAnsi="Calibri" w:eastAsia="楷体_GB2312" w:cs="Times New Roman"/>
      <w:kern w:val="0"/>
      <w:sz w:val="44"/>
      <w:szCs w:val="44"/>
      <w:lang w:val="en-US" w:eastAsia="zh-CN" w:bidi="ar"/>
    </w:rPr>
  </w:style>
  <w:style w:type="paragraph" w:styleId="3">
    <w:name w:val="Normal (Web)"/>
    <w:basedOn w:val="1"/>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styleId="4">
    <w:name w:val="Body Text First Indent 2"/>
    <w:basedOn w:val="1"/>
    <w:uiPriority w:val="0"/>
    <w:pPr>
      <w:keepNext w:val="0"/>
      <w:keepLines w:val="0"/>
      <w:widowControl w:val="0"/>
      <w:suppressLineNumbers w:val="0"/>
      <w:spacing w:before="0" w:beforeAutospacing="0" w:after="0" w:afterAutospacing="0"/>
      <w:ind w:left="0" w:right="0" w:firstLine="880" w:firstLineChars="200"/>
      <w:jc w:val="both"/>
    </w:pPr>
    <w:rPr>
      <w:rFonts w:hint="default" w:ascii="Times New Roman" w:hAnsi="Times New Roman" w:eastAsia="宋体" w:cs="Times New Roman"/>
      <w:kern w:val="2"/>
      <w:sz w:val="21"/>
      <w:szCs w:val="21"/>
      <w:lang w:val="en-US" w:eastAsia="zh-CN" w:bidi="ar"/>
    </w:rPr>
  </w:style>
  <w:style w:type="character" w:customStyle="1" w:styleId="7">
    <w:name w:val="10"/>
    <w:basedOn w:val="6"/>
    <w:uiPriority w:val="0"/>
    <w:rPr>
      <w:rFonts w:hint="default" w:ascii="Times New Roman" w:hAnsi="Times New Roman" w:cs="Times New Roman"/>
    </w:rPr>
  </w:style>
  <w:style w:type="character" w:customStyle="1" w:styleId="8">
    <w:name w:val="15"/>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1</Lines>
  <Paragraphs>1</Paragraphs>
  <TotalTime>2.33333333333333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2026-06-30T16:09:00Z</dcterms:created>
  <dc:creator>王莉莉</dc:creator>
  <cp:lastModifiedBy>Laurent</cp:lastModifiedBy>
  <dcterms:modified xsi:type="dcterms:W3CDTF">2026-07-18T05:49:05Z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9BF1050A33764E759CE94485861FCE34_13</vt:lpwstr>
  </property>
</Properties>
</file>