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FC075">
      <w:pPr>
        <w:keepNext w:val="0"/>
        <w:keepLines w:val="0"/>
        <w:widowControl w:val="0"/>
        <w:suppressLineNumbers w:val="0"/>
        <w:suppressAutoHyphens/>
        <w:spacing w:before="0" w:beforeAutospacing="0" w:after="0" w:afterAutospacing="0" w:line="840" w:lineRule="exact"/>
        <w:ind w:left="0" w:right="0"/>
        <w:jc w:val="center"/>
        <w:rPr>
          <w:rFonts w:hint="default" w:ascii="Times New Roman" w:hAnsi="Times New Roman" w:eastAsia="华文中宋" w:cs="Times New Roman"/>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江</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省</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高</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级</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人</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民</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法</w:t>
      </w:r>
      <w:r>
        <w:rPr>
          <w:rFonts w:hint="default" w:ascii="Times New Roman" w:hAnsi="Times New Roman" w:eastAsia="华文中宋" w:cs="Times New Roman"/>
          <w:spacing w:val="20"/>
          <w:kern w:val="2"/>
          <w:sz w:val="44"/>
          <w:szCs w:val="44"/>
          <w:lang w:val="en-US" w:eastAsia="zh-CN" w:bidi="ar"/>
        </w:rPr>
        <w:t xml:space="preserve"> </w:t>
      </w:r>
      <w:r>
        <w:rPr>
          <w:rFonts w:hint="eastAsia" w:ascii="华文中宋" w:hAnsi="华文中宋" w:eastAsia="华文中宋" w:cs="华文中宋"/>
          <w:spacing w:val="20"/>
          <w:kern w:val="2"/>
          <w:sz w:val="44"/>
          <w:szCs w:val="44"/>
          <w:lang w:val="en-US" w:eastAsia="zh-CN" w:bidi="ar"/>
        </w:rPr>
        <w:t>院</w:t>
      </w:r>
    </w:p>
    <w:p w14:paraId="5A661946">
      <w:pPr>
        <w:keepNext w:val="0"/>
        <w:keepLines w:val="0"/>
        <w:widowControl w:val="0"/>
        <w:suppressLineNumbers w:val="0"/>
        <w:suppressAutoHyphens/>
        <w:spacing w:before="0" w:beforeAutospacing="0" w:after="0" w:afterAutospacing="0" w:line="840" w:lineRule="exact"/>
        <w:ind w:left="-21" w:leftChars="-10" w:right="0"/>
        <w:jc w:val="center"/>
        <w:rPr>
          <w:rFonts w:hint="default" w:ascii="Times New Roman" w:hAnsi="Times New Roman" w:eastAsia="华文中宋" w:cs="Times New Roman"/>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5E231605">
      <w:pPr>
        <w:keepNext w:val="0"/>
        <w:keepLines w:val="0"/>
        <w:widowControl w:val="0"/>
        <w:suppressLineNumbers w:val="0"/>
        <w:suppressAutoHyphens/>
        <w:spacing w:before="0" w:beforeAutospacing="0" w:after="0" w:afterAutospacing="0" w:line="780" w:lineRule="exact"/>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6B8040C0">
      <w:pPr>
        <w:keepNext w:val="0"/>
        <w:keepLines w:val="0"/>
        <w:widowControl w:val="0"/>
        <w:suppressLineNumbers w:val="0"/>
        <w:suppressAutoHyphens/>
        <w:wordWrap w:val="0"/>
        <w:spacing w:before="0" w:beforeAutospacing="0" w:after="0" w:afterAutospacing="0" w:line="360" w:lineRule="exact"/>
        <w:ind w:left="0" w:right="0" w:firstLine="573"/>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636</w:t>
      </w:r>
      <w:r>
        <w:rPr>
          <w:rFonts w:hint="eastAsia" w:ascii="仿宋_GB2312" w:hAnsi="Times New Roman" w:eastAsia="仿宋_GB2312" w:cs="仿宋_GB2312"/>
          <w:kern w:val="2"/>
          <w:sz w:val="32"/>
          <w:szCs w:val="32"/>
          <w:lang w:val="en-US" w:eastAsia="zh-CN" w:bidi="ar"/>
        </w:rPr>
        <w:t>号</w:t>
      </w:r>
      <w:r>
        <w:rPr>
          <w:rFonts w:hint="default" w:ascii="Times New Roman" w:hAnsi="Times New Roman" w:eastAsia="仿宋_GB2312" w:cs="Times New Roman"/>
          <w:kern w:val="2"/>
          <w:sz w:val="32"/>
          <w:szCs w:val="32"/>
          <w:lang w:val="en-US" w:eastAsia="zh-CN" w:bidi="ar"/>
        </w:rPr>
        <w:t xml:space="preserve"> </w:t>
      </w:r>
    </w:p>
    <w:p w14:paraId="0C6C6216">
      <w:pPr>
        <w:keepNext w:val="0"/>
        <w:keepLines w:val="0"/>
        <w:widowControl w:val="0"/>
        <w:suppressLineNumbers w:val="0"/>
        <w:suppressAutoHyphens/>
        <w:spacing w:before="0" w:beforeAutospacing="0" w:after="0" w:afterAutospacing="0" w:line="340" w:lineRule="exact"/>
        <w:ind w:left="0" w:right="0" w:firstLine="556" w:firstLineChars="174"/>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3A8339D">
      <w:pPr>
        <w:keepNext w:val="0"/>
        <w:keepLines w:val="0"/>
        <w:widowControl w:val="0"/>
        <w:suppressLineNumbers w:val="0"/>
        <w:suppressAutoHyphens/>
        <w:autoSpaceDE w:val="0"/>
        <w:autoSpaceDN w:val="0"/>
        <w:spacing w:before="0" w:beforeAutospacing="0" w:after="0" w:afterAutospacing="0" w:line="59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上诉人（原审被告）：吴某敏，男，汉族，住浙江省龙港市。</w:t>
      </w:r>
    </w:p>
    <w:p w14:paraId="4153E270">
      <w:pPr>
        <w:keepNext w:val="0"/>
        <w:keepLines w:val="0"/>
        <w:widowControl w:val="0"/>
        <w:suppressLineNumbers w:val="0"/>
        <w:suppressAutoHyphens/>
        <w:autoSpaceDE w:val="0"/>
        <w:autoSpaceDN w:val="0"/>
        <w:spacing w:before="0" w:beforeAutospacing="0" w:after="0" w:afterAutospacing="0" w:line="59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被上诉人（原审原告）：张某，男，汉族，住安徽省六安市金安区。</w:t>
      </w:r>
    </w:p>
    <w:p w14:paraId="6B6D6E22">
      <w:pPr>
        <w:keepNext w:val="0"/>
        <w:keepLines w:val="0"/>
        <w:widowControl w:val="0"/>
        <w:suppressLineNumbers w:val="0"/>
        <w:suppressAutoHyphens/>
        <w:autoSpaceDE w:val="0"/>
        <w:autoSpaceDN w:val="0"/>
        <w:spacing w:before="0" w:beforeAutospacing="0" w:after="0" w:afterAutospacing="0" w:line="592" w:lineRule="exact"/>
        <w:ind w:left="0" w:right="0" w:firstLine="64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上诉人吴某敏因与被上诉人张某确认不侵害专利权及不正当竞争纠纷一案，不服浙江省温州市中级人民法院（</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03</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1592</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日立案后，依法组成合议庭，并于同年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日公开开庭进行了审理。上诉人吴某敏的委托诉讼代理人、被上诉人张某的委托诉讼代理人到庭参加诉讼。本案现已审理终结。</w:t>
      </w:r>
    </w:p>
    <w:p w14:paraId="5B60CC63">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吴某敏上诉请求：</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撤销一审判决第一项、第二项，改判驳回张某全部诉请或发回重审；</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张某承担本案一、二审诉讼费用。事实和理由：（一）一审法院关于吴某敏知道涉案专利权已被宣告无效后怠于撤回投诉，未尽到谨慎注意义务，构成恶意投诉的认定，属于适用法律错误。涉案专利权在行政诉讼期间尚处于有效状态，因此吴某敏未撤回投诉并无不当。另一审判决在该专利权有效的状态下未就张某被投诉产品是否侵权进行评价，遗漏了张某的诉请，应予纠正。（二）一审法院适用的法律和裁判的范围均超出张某一审诉请范围。张某在一审诉请及一审审理过程中均是以吴某敏滥用专利权恶意投诉构成不正当竞争行为作为诉讼请求，故本案争议焦点应当是被诉行为是否构成《中华人民共和国反不正当竞争法》所禁止的不正当竞争行为，一审法院自行变更案由，主动适用《最高人民法院关于审理电子商务平台知识产权民事案件的指导意见》有误。同时，张某在一审诉请中未要求吴某敏主动撤回投诉，以恢复</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个链接使产品重新上架，一审判决将吴某敏有无及时撤回投诉纳入审理范围，也超出了张某的诉请范围。（三）一审判决认定吴某敏怠于撤回投诉的行为构成侵权，进而责令其承担刊登声明以消除影响的法律责任，属于适用法律错误。吴某敏在专利权依然有效的状态下依法维权的行为受法律保护，不应苛责。涉案产品在专利权无效决定作出前后均在张某网店持续销售，张某亦未提供证据证明因吴某敏未及时撤回投诉对其造成不良影响或评价降低，故无登报消除影响的必要。（四）一审判决金额明显不当，诉讼费分担不合理，属于适用法律错误。</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吴某敏主观并无过错，被投诉产品是否被禁售、是否恢复上架系由拼多多平台决定，且吴某敏此前并不知晓可向平台撤回投诉，其在一审庭审中知晓后即已当庭撤回投诉。</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涉案投诉行为未对张某造成损失，一审判赔金额畸高。包含被投诉产品的三个链接被下架后，张某又在其他链接中重新上架了该产品。一审法院对三款被投诉产品禁售持续期间的损失计算有误。此外，上述三个链接项下还包含多款未被投诉的产品，该些产品下架与吴某敏的被诉行为无因果关系，是张某自身原因及拼多多技术缺陷所致，该部分损失不应计算在本案损害赔偿数额中。</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一审判决酌定的合理维权费用过高，本案中张某未提交合理维权费用票据。</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不合理的诉请赔偿金额导致的过高诉讼费应由张某自行承担。</w:t>
      </w:r>
    </w:p>
    <w:p w14:paraId="41B7F5EE">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张某辩称：（一）确认不侵权之诉中应当对涉案产品是否属于现有设计以及是否侵害涉案专利权进行评价。（二）涉案专利权被宣告无效后，吴某敏直至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日一审第二次开庭时才撤回投诉，导致张某损失巨大。权利人在投诉时其权利尚处于有效状态，但在投诉过程中失权的，失权之前的投诉仍属于错误通知，投诉人应当承担赔偿责任。而在因权利状态不稳定而引发的恶意通知争议中，判断恶意的时间节点应以明知或应知权利不稳定的时间为准，在本案中应当以收到宣告专利权无效决定时间为准。（三）一审法院对张某诉请的审查符合法律规定，并无不当。张某在一审立案前已向吴某敏发出催告函，要求其撤回投诉或者立刻起诉，但吴某敏未予理会，怠于履行自己的谨慎注意义务。后吴某敏未及时撤回投诉，放任可能产生的损害后果扩大，属于明知通知错误仍不及时撤回或者更正的情形，恶意明显，并且由于相关产品链接被下架，客观上对张某的正常经营造成损害，该损害后果与吴某敏怠于撤回投诉行为之间存在因果关系，故一审判决并无不当。（四）一审法院在确定赔偿数额时仅考虑了十二卷笔筒收纳盒的销量情况，并未如吴某敏所述将多款其他产品损失一并计算在内。一审判决确定的合理维权费用及一审诉讼费分担亦也在合理范围内。</w:t>
      </w:r>
    </w:p>
    <w:p w14:paraId="0B20C6A1">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张某向一审法院起诉，请求：</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确认张某销售和许诺销售的纪念币收纳盒产品不侵害专利号为</w:t>
      </w:r>
      <w:r>
        <w:rPr>
          <w:rFonts w:hint="default" w:ascii="Times New Roman" w:hAnsi="Times New Roman" w:eastAsia="仿宋_GB2312" w:cs="Times New Roman"/>
          <w:kern w:val="2"/>
          <w:sz w:val="32"/>
          <w:szCs w:val="32"/>
          <w:lang w:val="en-US" w:eastAsia="zh-CN" w:bidi="ar"/>
        </w:rPr>
        <w:t>ZL</w:t>
      </w:r>
      <w:r>
        <w:rPr>
          <w:rFonts w:hint="eastAsia" w:ascii="Times New Roman" w:hAnsi="Times New Roman" w:eastAsia="仿宋_GB2312" w:cs="Times New Roman"/>
          <w:kern w:val="2"/>
          <w:sz w:val="32"/>
          <w:szCs w:val="32"/>
          <w:lang w:val="en-US" w:eastAsia="zh-CN" w:bidi="ar"/>
        </w:rPr>
        <w:t>2018XXXX5639.8</w:t>
      </w:r>
      <w:r>
        <w:rPr>
          <w:rFonts w:hint="eastAsia" w:ascii="仿宋_GB2312" w:hAnsi="Times New Roman" w:eastAsia="仿宋_GB2312" w:cs="仿宋_GB2312"/>
          <w:kern w:val="2"/>
          <w:sz w:val="32"/>
          <w:szCs w:val="32"/>
          <w:lang w:val="en-US" w:eastAsia="zh-CN" w:bidi="ar"/>
        </w:rPr>
        <w:t>、专利名称为“纪念币收纳盒”的外观设计专利权；</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确认吴某敏的投诉行为构成滥用专利权恶意提起知识产权投诉的不正当竞争行为，并判令其立即停止实施该行为；</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判令吴某敏赔偿张某经济损失及合理维权费用</w:t>
      </w:r>
      <w:r>
        <w:rPr>
          <w:rFonts w:hint="default" w:ascii="Times New Roman" w:hAnsi="Times New Roman" w:eastAsia="仿宋_GB2312" w:cs="Times New Roman"/>
          <w:kern w:val="2"/>
          <w:sz w:val="32"/>
          <w:szCs w:val="32"/>
          <w:lang w:val="en-US" w:eastAsia="zh-CN" w:bidi="ar"/>
        </w:rPr>
        <w:t>1000000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判令吴某敏在《中国知识产权报》《温州日报》《浙江日报》上就其不正当竞争行为刊登道歉声明，消除其恶意投诉带来的影响；</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本案诉讼费用由吴某敏承担。一审审理过程中，张某撤回第二项诉讼请求，变更第四项诉讼请求为“请求判令吴某敏在《中国知识产权报》上就其不正当竞争行为刊登声明，消除影响”，明确第五项诉讼请求中的诉讼费用包含财产保全费用。</w:t>
      </w:r>
    </w:p>
    <w:p w14:paraId="3E4C2A97">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一审法院认定事实：吴某敏于</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日向国家某局申请名称为“纪念币收纳盒”的专利，并获得外观设计专利权，专利号为</w:t>
      </w:r>
      <w:r>
        <w:rPr>
          <w:rFonts w:hint="default" w:ascii="Times New Roman" w:hAnsi="Times New Roman" w:eastAsia="仿宋_GB2312" w:cs="Times New Roman"/>
          <w:kern w:val="2"/>
          <w:sz w:val="32"/>
          <w:szCs w:val="32"/>
          <w:lang w:val="en-US" w:eastAsia="zh-CN" w:bidi="ar"/>
        </w:rPr>
        <w:t>ZL</w:t>
      </w:r>
      <w:r>
        <w:rPr>
          <w:rFonts w:hint="eastAsia" w:ascii="Times New Roman" w:hAnsi="Times New Roman" w:eastAsia="仿宋_GB2312" w:cs="Times New Roman"/>
          <w:kern w:val="2"/>
          <w:sz w:val="32"/>
          <w:szCs w:val="32"/>
          <w:lang w:val="en-US" w:eastAsia="zh-CN" w:bidi="ar"/>
        </w:rPr>
        <w:t>2018XXXX5639.8</w:t>
      </w:r>
      <w:r>
        <w:rPr>
          <w:rFonts w:hint="eastAsia" w:ascii="仿宋_GB2312" w:hAnsi="Times New Roman" w:eastAsia="仿宋_GB2312" w:cs="仿宋_GB2312"/>
          <w:kern w:val="2"/>
          <w:sz w:val="32"/>
          <w:szCs w:val="32"/>
          <w:lang w:val="en-US" w:eastAsia="zh-CN" w:bidi="ar"/>
        </w:rPr>
        <w:t>，授权公告日为</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21</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日，国家某局出具外观设计专利权评价报告，初步结论为全部外观设计未发现存在不符合授予专利权条件的缺陷。</w:t>
      </w:r>
    </w:p>
    <w:p w14:paraId="05F10FEE">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张某在拼多多平台开设“尘缘收藏用品”店铺，销售各类纪念币收纳盒。</w:t>
      </w:r>
    </w:p>
    <w:p w14:paraId="1CAC0A13">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18</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日，吴某敏以其系专利号为</w:t>
      </w:r>
      <w:r>
        <w:rPr>
          <w:rFonts w:hint="default" w:ascii="Times New Roman" w:hAnsi="Times New Roman" w:eastAsia="仿宋_GB2312" w:cs="Times New Roman"/>
          <w:kern w:val="2"/>
          <w:sz w:val="32"/>
          <w:szCs w:val="32"/>
          <w:lang w:val="en-US" w:eastAsia="zh-CN" w:bidi="ar"/>
        </w:rPr>
        <w:t>ZL</w:t>
      </w:r>
      <w:r>
        <w:rPr>
          <w:rFonts w:hint="eastAsia" w:ascii="Times New Roman" w:hAnsi="Times New Roman" w:eastAsia="仿宋_GB2312" w:cs="Times New Roman"/>
          <w:kern w:val="2"/>
          <w:sz w:val="32"/>
          <w:szCs w:val="32"/>
          <w:lang w:val="en-US" w:eastAsia="zh-CN" w:bidi="ar"/>
        </w:rPr>
        <w:t>2018XXXX5639.8</w:t>
      </w:r>
      <w:r>
        <w:rPr>
          <w:rFonts w:hint="eastAsia" w:ascii="仿宋_GB2312" w:hAnsi="Times New Roman" w:eastAsia="仿宋_GB2312" w:cs="仿宋_GB2312"/>
          <w:kern w:val="2"/>
          <w:sz w:val="32"/>
          <w:szCs w:val="32"/>
          <w:lang w:val="en-US" w:eastAsia="zh-CN" w:bidi="ar"/>
        </w:rPr>
        <w:t>、专利名称为“纪念币收纳盒”的外观设计专利权人，针对张某开设在拼多多平台的“尘缘收藏用品”店铺中的三款商品（商品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分别为</w:t>
      </w:r>
      <w:r>
        <w:rPr>
          <w:rFonts w:hint="default" w:ascii="Times New Roman" w:hAnsi="Times New Roman" w:eastAsia="仿宋_GB2312" w:cs="Times New Roman"/>
          <w:kern w:val="2"/>
          <w:sz w:val="32"/>
          <w:szCs w:val="32"/>
          <w:lang w:val="en-US" w:eastAsia="zh-CN" w:bidi="ar"/>
        </w:rPr>
        <w:t>4555777469</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756583614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295670879659</w:t>
      </w:r>
      <w:r>
        <w:rPr>
          <w:rFonts w:hint="eastAsia" w:ascii="仿宋_GB2312" w:hAnsi="Times New Roman" w:eastAsia="仿宋_GB2312" w:cs="仿宋_GB2312"/>
          <w:kern w:val="2"/>
          <w:sz w:val="32"/>
          <w:szCs w:val="32"/>
          <w:lang w:val="en-US" w:eastAsia="zh-CN" w:bidi="ar"/>
        </w:rPr>
        <w:t>），以涉嫌侵害其知识产权为由向该平台发起投诉。投诉材料中附有专利证书、专利权评价报告、带有成都顶峰专利事务所水印的纪念币收纳盒侵权投诉报告等材料。纪念币收纳盒侵权投诉报告对涉案专利及被投诉商品进行了详细比对，并载明分析结论为：被投诉商品的相关设计结构与涉案专利产品的外观设计结构实质相同，被投诉商品侵犯了涉案外观设计专利权。</w:t>
      </w:r>
    </w:p>
    <w:p w14:paraId="22E06058">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拼多多平台向“尘缘收藏用品”店铺发送《知识产权侵权通知》，将上述三款商品被吴某敏投诉的事项告知该店铺。该通知还载明：侵权详情为投诉方吴某敏投诉该商品涉嫌侵犯其知识产权，涉嫌侵权的商品将被禁止销售。针对此次投诉，若贵方主张不侵权，烦请于收到站内信后及时提供商品不侵权声明。同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18</w:t>
      </w:r>
      <w:r>
        <w:rPr>
          <w:rFonts w:hint="eastAsia" w:ascii="仿宋_GB2312" w:hAnsi="Times New Roman" w:eastAsia="仿宋_GB2312" w:cs="仿宋_GB2312"/>
          <w:kern w:val="2"/>
          <w:sz w:val="32"/>
          <w:szCs w:val="32"/>
          <w:lang w:val="en-US" w:eastAsia="zh-CN" w:bidi="ar"/>
        </w:rPr>
        <w:t>日，拼多多平台对“尘缘收藏用品”店铺所售上述三款商品链接分别作出商品禁售处理。</w:t>
      </w:r>
    </w:p>
    <w:p w14:paraId="63E437C4">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日，张某委托律师通过邮件形式向吴某敏邮箱、发送《催告函》，并于次日通过</w:t>
      </w:r>
      <w:r>
        <w:rPr>
          <w:rFonts w:hint="default" w:ascii="Times New Roman" w:hAnsi="Times New Roman" w:eastAsia="仿宋_GB2312" w:cs="Times New Roman"/>
          <w:kern w:val="2"/>
          <w:sz w:val="32"/>
          <w:szCs w:val="32"/>
          <w:lang w:val="en-US" w:eastAsia="zh-CN" w:bidi="ar"/>
        </w:rPr>
        <w:t>EMS</w:t>
      </w:r>
      <w:r>
        <w:rPr>
          <w:rFonts w:hint="eastAsia" w:ascii="仿宋_GB2312" w:hAnsi="Times New Roman" w:eastAsia="仿宋_GB2312" w:cs="仿宋_GB2312"/>
          <w:kern w:val="2"/>
          <w:sz w:val="32"/>
          <w:szCs w:val="32"/>
          <w:lang w:val="en-US" w:eastAsia="zh-CN" w:bidi="ar"/>
        </w:rPr>
        <w:t>快递邮寄至吴某敏住址，《催告函》内容为“吴某敏，受我委托人张某委托，北京盈科（金华）律师事务所指派李峰律师发表如下申明：关于您于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18</w:t>
      </w:r>
      <w:r>
        <w:rPr>
          <w:rFonts w:hint="eastAsia" w:ascii="仿宋_GB2312" w:hAnsi="Times New Roman" w:eastAsia="仿宋_GB2312" w:cs="仿宋_GB2312"/>
          <w:kern w:val="2"/>
          <w:sz w:val="32"/>
          <w:szCs w:val="32"/>
          <w:lang w:val="en-US" w:eastAsia="zh-CN" w:bidi="ar"/>
        </w:rPr>
        <w:t>日针对拼多多店铺‘尘缘收藏用品’名下三个链接的产品进行投诉，商品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分别为</w:t>
      </w:r>
      <w:r>
        <w:rPr>
          <w:rFonts w:hint="default" w:ascii="Times New Roman" w:hAnsi="Times New Roman" w:eastAsia="仿宋_GB2312" w:cs="Times New Roman"/>
          <w:kern w:val="2"/>
          <w:sz w:val="32"/>
          <w:szCs w:val="32"/>
          <w:lang w:val="en-US" w:eastAsia="zh-CN" w:bidi="ar"/>
        </w:rPr>
        <w:t>4555777469</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756583614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295670879659</w:t>
      </w:r>
      <w:r>
        <w:rPr>
          <w:rFonts w:hint="eastAsia" w:ascii="仿宋_GB2312" w:hAnsi="Times New Roman" w:eastAsia="仿宋_GB2312" w:cs="仿宋_GB2312"/>
          <w:kern w:val="2"/>
          <w:sz w:val="32"/>
          <w:szCs w:val="32"/>
          <w:lang w:val="en-US" w:eastAsia="zh-CN" w:bidi="ar"/>
        </w:rPr>
        <w:t>，您的投诉行为导致我委托人产品下架，还请立即撤销投诉或者立即起诉该链接下的产品侵犯您的专利权，如您既不撤销也不起诉产品侵权，我委托人将保留追究您的法律权利，北京盈科（金华）律师事务所，李峰律师”。该</w:t>
      </w:r>
      <w:r>
        <w:rPr>
          <w:rFonts w:hint="default" w:ascii="Times New Roman" w:hAnsi="Times New Roman" w:eastAsia="仿宋_GB2312" w:cs="Times New Roman"/>
          <w:kern w:val="2"/>
          <w:sz w:val="32"/>
          <w:szCs w:val="32"/>
          <w:lang w:val="en-US" w:eastAsia="zh-CN" w:bidi="ar"/>
        </w:rPr>
        <w:t>EMS</w:t>
      </w:r>
      <w:r>
        <w:rPr>
          <w:rFonts w:hint="eastAsia" w:ascii="仿宋_GB2312" w:hAnsi="Times New Roman" w:eastAsia="仿宋_GB2312" w:cs="仿宋_GB2312"/>
          <w:kern w:val="2"/>
          <w:sz w:val="32"/>
          <w:szCs w:val="32"/>
          <w:lang w:val="en-US" w:eastAsia="zh-CN" w:bidi="ar"/>
        </w:rPr>
        <w:t>快递于同年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日显示已签收。吴某敏在一审庭审中确认收到该份《催告函》。</w:t>
      </w:r>
    </w:p>
    <w:p w14:paraId="2A743EC9">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日，吴某敏以上述同样方式对张某开设在拼多多平台的“尘缘收藏用品”店铺内的其中一款商品（商品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为</w:t>
      </w:r>
      <w:r>
        <w:rPr>
          <w:rFonts w:hint="default" w:ascii="Times New Roman" w:hAnsi="Times New Roman" w:eastAsia="仿宋_GB2312" w:cs="Times New Roman"/>
          <w:kern w:val="2"/>
          <w:sz w:val="32"/>
          <w:szCs w:val="32"/>
          <w:lang w:val="en-US" w:eastAsia="zh-CN" w:bidi="ar"/>
        </w:rPr>
        <w:t>363314237545</w:t>
      </w:r>
      <w:r>
        <w:rPr>
          <w:rFonts w:hint="eastAsia" w:ascii="仿宋_GB2312" w:hAnsi="Times New Roman" w:eastAsia="仿宋_GB2312" w:cs="仿宋_GB2312"/>
          <w:kern w:val="2"/>
          <w:sz w:val="32"/>
          <w:szCs w:val="32"/>
          <w:lang w:val="en-US" w:eastAsia="zh-CN" w:bidi="ar"/>
        </w:rPr>
        <w:t>）向该平台发起投诉。同年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日，拼多多平台向“尘缘收藏用品”店铺发送《知识产权侵权通知》，将该款商品被吴某敏投诉的事项告知该店铺。后张某申诉成功。同年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日，吴某敏再次以同样方式向拼多多平台投诉该商品。同年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日，拼多多平台向“尘缘收藏用品”店铺发送《知识产权侵权通知》，再次将该款商品被吴某敏投诉的事项告知该店铺。后张某再次向拼多多平台进行申诉，最终申诉成功。一审庭审中，张某确认该款商品在同年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月恢复销售。</w:t>
      </w:r>
    </w:p>
    <w:p w14:paraId="517A2FAA">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又查明，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日，张某委托代理人李峰通过联合信任时间戳服务中心进行电子证据固化保全。内容显示：</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日，打开“</w:t>
      </w:r>
      <w:r>
        <w:rPr>
          <w:rFonts w:hint="default" w:ascii="Times New Roman" w:hAnsi="Times New Roman" w:eastAsia="仿宋_GB2312" w:cs="Times New Roman"/>
          <w:kern w:val="2"/>
          <w:sz w:val="32"/>
          <w:szCs w:val="32"/>
          <w:lang w:val="en-US" w:eastAsia="zh-CN" w:bidi="ar"/>
        </w:rPr>
        <w:t>www.taobao.com</w:t>
      </w:r>
      <w:r>
        <w:rPr>
          <w:rFonts w:hint="eastAsia" w:ascii="仿宋_GB2312" w:hAnsi="Times New Roman" w:eastAsia="仿宋_GB2312" w:cs="仿宋_GB2312"/>
          <w:kern w:val="2"/>
          <w:sz w:val="32"/>
          <w:szCs w:val="32"/>
          <w:lang w:val="en-US" w:eastAsia="zh-CN" w:bidi="ar"/>
        </w:rPr>
        <w:t>”，通过验证登录“千牛卖家中心”后台 ，点击“已卖出的宝贝”，搜索订单</w:t>
      </w:r>
      <w:r>
        <w:rPr>
          <w:rFonts w:hint="default" w:ascii="Times New Roman" w:hAnsi="Times New Roman" w:eastAsia="仿宋_GB2312" w:cs="Times New Roman"/>
          <w:kern w:val="2"/>
          <w:sz w:val="32"/>
          <w:szCs w:val="32"/>
          <w:lang w:val="en-US" w:eastAsia="zh-CN" w:bidi="ar"/>
        </w:rPr>
        <w:t>2900838117340773</w:t>
      </w:r>
      <w:r>
        <w:rPr>
          <w:rFonts w:hint="eastAsia" w:ascii="仿宋_GB2312" w:hAnsi="Times New Roman" w:eastAsia="仿宋_GB2312" w:cs="仿宋_GB2312"/>
          <w:kern w:val="2"/>
          <w:sz w:val="32"/>
          <w:szCs w:val="32"/>
          <w:lang w:val="en-US" w:eastAsia="zh-CN" w:bidi="ar"/>
        </w:rPr>
        <w:t>，显示买家</w:t>
      </w:r>
      <w:r>
        <w:rPr>
          <w:rFonts w:hint="default" w:ascii="Times New Roman" w:hAnsi="Times New Roman" w:eastAsia="仿宋_GB2312" w:cs="Times New Roman"/>
          <w:kern w:val="2"/>
          <w:sz w:val="32"/>
          <w:szCs w:val="32"/>
          <w:lang w:val="en-US" w:eastAsia="zh-CN" w:bidi="ar"/>
        </w:rPr>
        <w:t>chanming698592</w:t>
      </w:r>
      <w:r>
        <w:rPr>
          <w:rFonts w:hint="eastAsia" w:ascii="仿宋_GB2312" w:hAnsi="Times New Roman" w:eastAsia="仿宋_GB2312" w:cs="仿宋_GB2312"/>
          <w:kern w:val="2"/>
          <w:sz w:val="32"/>
          <w:szCs w:val="32"/>
          <w:lang w:val="en-US" w:eastAsia="zh-CN" w:bidi="ar"/>
        </w:rPr>
        <w:t>于</w:t>
      </w:r>
      <w:r>
        <w:rPr>
          <w:rFonts w:hint="default" w:ascii="Times New Roman" w:hAnsi="Times New Roman" w:eastAsia="仿宋_GB2312" w:cs="Times New Roman"/>
          <w:kern w:val="2"/>
          <w:sz w:val="32"/>
          <w:szCs w:val="32"/>
          <w:lang w:val="en-US" w:eastAsia="zh-CN" w:bidi="ar"/>
        </w:rPr>
        <w:t>2016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日购买了链接名称为“</w:t>
      </w:r>
      <w:r>
        <w:rPr>
          <w:rFonts w:hint="default" w:ascii="Times New Roman" w:hAnsi="Times New Roman" w:eastAsia="仿宋_GB2312" w:cs="Times New Roman"/>
          <w:kern w:val="2"/>
          <w:sz w:val="32"/>
          <w:szCs w:val="32"/>
          <w:lang w:val="en-US" w:eastAsia="zh-CN" w:bidi="ar"/>
        </w:rPr>
        <w:t>27mm</w:t>
      </w:r>
      <w:r>
        <w:rPr>
          <w:rFonts w:hint="eastAsia" w:ascii="仿宋_GB2312" w:hAnsi="Times New Roman" w:eastAsia="仿宋_GB2312" w:cs="仿宋_GB2312"/>
          <w:kern w:val="2"/>
          <w:sz w:val="32"/>
          <w:szCs w:val="32"/>
          <w:lang w:val="en-US" w:eastAsia="zh-CN" w:bidi="ar"/>
        </w:rPr>
        <w:t>硬币圆盒</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元鸡币猴币纪念币保护盒钱币收藏盒</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个包邮”商品一个，总价为</w:t>
      </w:r>
      <w:r>
        <w:rPr>
          <w:rFonts w:hint="default" w:ascii="Times New Roman" w:hAnsi="Times New Roman" w:eastAsia="仿宋_GB2312" w:cs="Times New Roman"/>
          <w:kern w:val="2"/>
          <w:sz w:val="32"/>
          <w:szCs w:val="32"/>
          <w:lang w:val="en-US" w:eastAsia="zh-CN" w:bidi="ar"/>
        </w:rPr>
        <w:t>12.6</w:t>
      </w:r>
      <w:r>
        <w:rPr>
          <w:rFonts w:hint="eastAsia" w:ascii="仿宋_GB2312" w:hAnsi="Times New Roman" w:eastAsia="仿宋_GB2312" w:cs="仿宋_GB2312"/>
          <w:kern w:val="2"/>
          <w:sz w:val="32"/>
          <w:szCs w:val="32"/>
          <w:lang w:val="en-US" w:eastAsia="zh-CN" w:bidi="ar"/>
        </w:rPr>
        <w:t>元，收货地址为吴某敏，</w:t>
      </w:r>
      <w:r>
        <w:rPr>
          <w:rFonts w:hint="default" w:ascii="Times New Roman" w:hAnsi="Times New Roman" w:eastAsia="仿宋_GB2312" w:cs="Times New Roman"/>
          <w:kern w:val="2"/>
          <w:sz w:val="32"/>
          <w:szCs w:val="32"/>
          <w:lang w:val="en-US" w:eastAsia="zh-CN" w:bidi="ar"/>
        </w:rPr>
        <w:t>15858027688</w:t>
      </w:r>
      <w:r>
        <w:rPr>
          <w:rFonts w:hint="eastAsia" w:ascii="仿宋_GB2312" w:hAnsi="Times New Roman" w:eastAsia="仿宋_GB2312" w:cs="仿宋_GB2312"/>
          <w:kern w:val="2"/>
          <w:sz w:val="32"/>
          <w:szCs w:val="32"/>
          <w:lang w:val="en-US" w:eastAsia="zh-CN" w:bidi="ar"/>
        </w:rPr>
        <w:t>，浙江省温州市苍南县，订单状态为：交易成功。</w:t>
      </w:r>
    </w:p>
    <w:p w14:paraId="54D2A231">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另查明，案外人徐某曾对涉案专利权提出无效宣告申请，国家某局于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日予以受理。同年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日，国家某局作出第</w:t>
      </w:r>
      <w:r>
        <w:rPr>
          <w:rFonts w:hint="default" w:ascii="Times New Roman" w:hAnsi="Times New Roman" w:eastAsia="仿宋_GB2312" w:cs="Times New Roman"/>
          <w:kern w:val="2"/>
          <w:sz w:val="32"/>
          <w:szCs w:val="32"/>
          <w:lang w:val="en-US" w:eastAsia="zh-CN" w:bidi="ar"/>
        </w:rPr>
        <w:t>59224</w:t>
      </w:r>
      <w:r>
        <w:rPr>
          <w:rFonts w:hint="eastAsia" w:ascii="仿宋_GB2312" w:hAnsi="Times New Roman" w:eastAsia="仿宋_GB2312" w:cs="仿宋_GB2312"/>
          <w:kern w:val="2"/>
          <w:sz w:val="32"/>
          <w:szCs w:val="32"/>
          <w:lang w:val="en-US" w:eastAsia="zh-CN" w:bidi="ar"/>
        </w:rPr>
        <w:t>号《无效宣告请求审查决定书》，宣告吴某敏涉案专利权全部无效。吴某敏于同年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月底收到上述决定书，不服上述决定，向北京知识产权法院提起诉讼。</w:t>
      </w:r>
    </w:p>
    <w:p w14:paraId="5B1556EC">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日一审庭审中，吴某敏当庭撤回对张某“尘缘收藏用品”店铺三款商品（商品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分别为</w:t>
      </w:r>
      <w:r>
        <w:rPr>
          <w:rFonts w:hint="default" w:ascii="Times New Roman" w:hAnsi="Times New Roman" w:eastAsia="仿宋_GB2312" w:cs="Times New Roman"/>
          <w:kern w:val="2"/>
          <w:sz w:val="32"/>
          <w:szCs w:val="32"/>
          <w:lang w:val="en-US" w:eastAsia="zh-CN" w:bidi="ar"/>
        </w:rPr>
        <w:t>4555777469</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756583614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295670879659</w:t>
      </w:r>
      <w:r>
        <w:rPr>
          <w:rFonts w:hint="eastAsia" w:ascii="仿宋_GB2312" w:hAnsi="Times New Roman" w:eastAsia="仿宋_GB2312" w:cs="仿宋_GB2312"/>
          <w:kern w:val="2"/>
          <w:sz w:val="32"/>
          <w:szCs w:val="32"/>
          <w:lang w:val="en-US" w:eastAsia="zh-CN" w:bidi="ar"/>
        </w:rPr>
        <w:t>）的投诉。张某确认，该三款商品链接已经可以恢复上架。</w:t>
      </w:r>
    </w:p>
    <w:p w14:paraId="4B09FD44">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庭审中，双方当事人确认，吴某敏在向拼多多平台针对涉案三款商品发起投诉的投诉报告中明确，被投诉商品为十二卷币筒收纳盒。该院向双方当事人出示了向某公司调取的涉案三个商品链接在被禁售前的销售数据。经双方当事人当庭核实，三个链接下均有多款商品，其中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为</w:t>
      </w:r>
      <w:r>
        <w:rPr>
          <w:rFonts w:hint="default" w:ascii="Times New Roman" w:hAnsi="Times New Roman" w:eastAsia="仿宋_GB2312" w:cs="Times New Roman"/>
          <w:kern w:val="2"/>
          <w:sz w:val="32"/>
          <w:szCs w:val="32"/>
          <w:lang w:val="en-US" w:eastAsia="zh-CN" w:bidi="ar"/>
        </w:rPr>
        <w:t>295670879659</w:t>
      </w:r>
      <w:r>
        <w:rPr>
          <w:rFonts w:hint="eastAsia" w:ascii="仿宋_GB2312" w:hAnsi="Times New Roman" w:eastAsia="仿宋_GB2312" w:cs="仿宋_GB2312"/>
          <w:kern w:val="2"/>
          <w:sz w:val="32"/>
          <w:szCs w:val="32"/>
          <w:lang w:val="en-US" w:eastAsia="zh-CN" w:bidi="ar"/>
        </w:rPr>
        <w:t>链接下的十二卷币筒收纳盒自</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月至</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月的销量是</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个，销售额为</w:t>
      </w:r>
      <w:r>
        <w:rPr>
          <w:rFonts w:hint="default" w:ascii="Times New Roman" w:hAnsi="Times New Roman" w:eastAsia="仿宋_GB2312" w:cs="Times New Roman"/>
          <w:kern w:val="2"/>
          <w:sz w:val="32"/>
          <w:szCs w:val="32"/>
          <w:lang w:val="en-US" w:eastAsia="zh-CN" w:bidi="ar"/>
        </w:rPr>
        <w:t>165</w:t>
      </w:r>
      <w:r>
        <w:rPr>
          <w:rFonts w:hint="eastAsia" w:ascii="仿宋_GB2312" w:hAnsi="Times New Roman" w:eastAsia="仿宋_GB2312" w:cs="仿宋_GB2312"/>
          <w:kern w:val="2"/>
          <w:sz w:val="32"/>
          <w:szCs w:val="32"/>
          <w:lang w:val="en-US" w:eastAsia="zh-CN" w:bidi="ar"/>
        </w:rPr>
        <w:t>元；商品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为</w:t>
      </w:r>
      <w:r>
        <w:rPr>
          <w:rFonts w:hint="default" w:ascii="Times New Roman" w:hAnsi="Times New Roman" w:eastAsia="仿宋_GB2312" w:cs="Times New Roman"/>
          <w:kern w:val="2"/>
          <w:sz w:val="32"/>
          <w:szCs w:val="32"/>
          <w:lang w:val="en-US" w:eastAsia="zh-CN" w:bidi="ar"/>
        </w:rPr>
        <w:t>4555777469</w:t>
      </w:r>
      <w:r>
        <w:rPr>
          <w:rFonts w:hint="eastAsia" w:ascii="仿宋_GB2312" w:hAnsi="Times New Roman" w:eastAsia="仿宋_GB2312" w:cs="仿宋_GB2312"/>
          <w:kern w:val="2"/>
          <w:sz w:val="32"/>
          <w:szCs w:val="32"/>
          <w:lang w:val="en-US" w:eastAsia="zh-CN" w:bidi="ar"/>
        </w:rPr>
        <w:t>链接下的十二卷币筒收纳盒自</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月至</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月的销量是</w:t>
      </w:r>
      <w:r>
        <w:rPr>
          <w:rFonts w:hint="default" w:ascii="Times New Roman" w:hAnsi="Times New Roman" w:eastAsia="仿宋_GB2312" w:cs="Times New Roman"/>
          <w:kern w:val="2"/>
          <w:sz w:val="32"/>
          <w:szCs w:val="32"/>
          <w:lang w:val="en-US" w:eastAsia="zh-CN" w:bidi="ar"/>
        </w:rPr>
        <w:t>10720</w:t>
      </w:r>
      <w:r>
        <w:rPr>
          <w:rFonts w:hint="eastAsia" w:ascii="仿宋_GB2312" w:hAnsi="Times New Roman" w:eastAsia="仿宋_GB2312" w:cs="仿宋_GB2312"/>
          <w:kern w:val="2"/>
          <w:sz w:val="32"/>
          <w:szCs w:val="32"/>
          <w:lang w:val="en-US" w:eastAsia="zh-CN" w:bidi="ar"/>
        </w:rPr>
        <w:t>个，销售额为</w:t>
      </w:r>
      <w:r>
        <w:rPr>
          <w:rFonts w:hint="default" w:ascii="Times New Roman" w:hAnsi="Times New Roman" w:eastAsia="仿宋_GB2312" w:cs="Times New Roman"/>
          <w:kern w:val="2"/>
          <w:sz w:val="32"/>
          <w:szCs w:val="32"/>
          <w:lang w:val="en-US" w:eastAsia="zh-CN" w:bidi="ar"/>
        </w:rPr>
        <w:t>186087</w:t>
      </w:r>
      <w:r>
        <w:rPr>
          <w:rFonts w:hint="eastAsia" w:ascii="仿宋_GB2312" w:hAnsi="Times New Roman" w:eastAsia="仿宋_GB2312" w:cs="仿宋_GB2312"/>
          <w:kern w:val="2"/>
          <w:sz w:val="32"/>
          <w:szCs w:val="32"/>
          <w:lang w:val="en-US" w:eastAsia="zh-CN" w:bidi="ar"/>
        </w:rPr>
        <w:t>元；商品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为</w:t>
      </w:r>
      <w:r>
        <w:rPr>
          <w:rFonts w:hint="default" w:ascii="Times New Roman" w:hAnsi="Times New Roman" w:eastAsia="仿宋_GB2312" w:cs="Times New Roman"/>
          <w:kern w:val="2"/>
          <w:sz w:val="32"/>
          <w:szCs w:val="32"/>
          <w:lang w:val="en-US" w:eastAsia="zh-CN" w:bidi="ar"/>
        </w:rPr>
        <w:t>756583614</w:t>
      </w:r>
      <w:r>
        <w:rPr>
          <w:rFonts w:hint="eastAsia" w:ascii="仿宋_GB2312" w:hAnsi="Times New Roman" w:eastAsia="仿宋_GB2312" w:cs="仿宋_GB2312"/>
          <w:kern w:val="2"/>
          <w:sz w:val="32"/>
          <w:szCs w:val="32"/>
          <w:lang w:val="en-US" w:eastAsia="zh-CN" w:bidi="ar"/>
        </w:rPr>
        <w:t>链接下的十二卷币筒收纳盒自</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月至</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月的销量是</w:t>
      </w:r>
      <w:r>
        <w:rPr>
          <w:rFonts w:hint="default" w:ascii="Times New Roman" w:hAnsi="Times New Roman" w:eastAsia="仿宋_GB2312" w:cs="Times New Roman"/>
          <w:kern w:val="2"/>
          <w:sz w:val="32"/>
          <w:szCs w:val="32"/>
          <w:lang w:val="en-US" w:eastAsia="zh-CN" w:bidi="ar"/>
        </w:rPr>
        <w:t>564</w:t>
      </w:r>
      <w:r>
        <w:rPr>
          <w:rFonts w:hint="eastAsia" w:ascii="仿宋_GB2312" w:hAnsi="Times New Roman" w:eastAsia="仿宋_GB2312" w:cs="仿宋_GB2312"/>
          <w:kern w:val="2"/>
          <w:sz w:val="32"/>
          <w:szCs w:val="32"/>
          <w:lang w:val="en-US" w:eastAsia="zh-CN" w:bidi="ar"/>
        </w:rPr>
        <w:t>个，销售额为</w:t>
      </w:r>
      <w:r>
        <w:rPr>
          <w:rFonts w:hint="default" w:ascii="Times New Roman" w:hAnsi="Times New Roman" w:eastAsia="仿宋_GB2312" w:cs="Times New Roman"/>
          <w:kern w:val="2"/>
          <w:sz w:val="32"/>
          <w:szCs w:val="32"/>
          <w:lang w:val="en-US" w:eastAsia="zh-CN" w:bidi="ar"/>
        </w:rPr>
        <w:t>10473</w:t>
      </w:r>
      <w:r>
        <w:rPr>
          <w:rFonts w:hint="eastAsia" w:ascii="仿宋_GB2312" w:hAnsi="Times New Roman" w:eastAsia="仿宋_GB2312" w:cs="仿宋_GB2312"/>
          <w:kern w:val="2"/>
          <w:sz w:val="32"/>
          <w:szCs w:val="32"/>
          <w:lang w:val="en-US" w:eastAsia="zh-CN" w:bidi="ar"/>
        </w:rPr>
        <w:t>元。</w:t>
      </w:r>
    </w:p>
    <w:p w14:paraId="0A03DB76">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知识产权权利人认为其知识产权受到侵害的，有权通知电子商务平台经营者采取删除、断开链接、终止交易和服务等必要措施。知识产权权利人发起投诉时权利尚处于有效状态，但投诉过程中失权的，对于失权之前的投诉行为，如投诉人无明显过错，一般无需承担相应赔偿责任，但失权后应及时撤回投诉，其怠于撤回投诉，导致他人商品链接持续下架或禁售的，应承担后续链接被持续下架或禁售期间损失的赔偿责任。本案中，</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月，吴某敏以自己为涉案专利的专利权人，持专利权证书及专利权评价报告通过拼多多平台向张某经营的涉案店铺的四款商品提出投诉，其中有三款商品（商品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分别为</w:t>
      </w:r>
      <w:r>
        <w:rPr>
          <w:rFonts w:hint="default" w:ascii="Times New Roman" w:hAnsi="Times New Roman" w:eastAsia="仿宋_GB2312" w:cs="Times New Roman"/>
          <w:kern w:val="2"/>
          <w:sz w:val="32"/>
          <w:szCs w:val="32"/>
          <w:lang w:val="en-US" w:eastAsia="zh-CN" w:bidi="ar"/>
        </w:rPr>
        <w:t>4555777469</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756583614</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295670879659</w:t>
      </w:r>
      <w:r>
        <w:rPr>
          <w:rFonts w:hint="eastAsia" w:ascii="仿宋_GB2312" w:hAnsi="Times New Roman" w:eastAsia="仿宋_GB2312" w:cs="仿宋_GB2312"/>
          <w:kern w:val="2"/>
          <w:sz w:val="32"/>
          <w:szCs w:val="32"/>
          <w:lang w:val="en-US" w:eastAsia="zh-CN" w:bidi="ar"/>
        </w:rPr>
        <w:t>）被拼多多平台作出禁售处理。后，案外人对涉案专利向国家某局提出无效宣告申请。</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日，国家某局作出了宣告涉案专利权全部无效的无效宣告请求审查决定。吴某敏于同年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底收到无效宣告决定书后，并未向拼多多平台申请撤回上述投诉，导致上述三款商品被长时间禁售。针对吴某敏的投诉行为，应区分两个时间段分别进行评判。第一个行为是吴某敏发起投诉的行为；第二个行为是吴某敏知晓其涉案专利权被宣告无效后的行为。</w:t>
      </w:r>
    </w:p>
    <w:p w14:paraId="10366B78">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第一个行为。该院认为，吴某敏在发起投诉时，其主观上并不具有明显恶意，理由如下：第一，吴某敏发起投诉时其专利权尚处于有效状态，吴某敏作为当时的专利权人有合理理由认为张某销售的涉案四款商品侵犯其涉案专利权，并向拼多多平台提交相应的专利权证书、评价报告、侵权投诉报告等初步证据，其发起投诉的行为并无明显不当。第二，吴某敏申请专利主要出于商业使用的目的，投诉目的是为了让拼多多平台断开侵权链接，并未借此向张某索要额外利益，从其投诉本意来看并无明显恶意。第三，吴某敏发起投诉的过程符合平台投诉规则及流程。第四，被投诉商品与涉案专利均为白色透明长方形塑料收纳盒，单边搭扣开合设计，上下两部分盒体的深度基本相当，上盒体未分格，下盒体内部平分为若干竖格，内部格挡的高度与下盒体外围高度一致，二者仅存在整体尺寸略有差异以及内部竖格为五格还是六格的不同，且在带有成都顶峰专利事务所水印的侵权投诉报告认为被投诉商品侵犯了涉案外观设计专利权的情况下，吴某敏发起投诉，主观上没有恶意。第五，从吴某敏提供的投诉材料中附有的评价报告认为涉案专利未发现存在不符合授予专利权条件的缺陷来看，吴某敏也不明知其专利为现有设计。第六，虽然吴某敏在</w:t>
      </w:r>
      <w:r>
        <w:rPr>
          <w:rFonts w:hint="default" w:ascii="Times New Roman" w:hAnsi="Times New Roman" w:eastAsia="仿宋_GB2312" w:cs="Times New Roman"/>
          <w:kern w:val="2"/>
          <w:sz w:val="32"/>
          <w:szCs w:val="32"/>
          <w:lang w:val="en-US" w:eastAsia="zh-CN" w:bidi="ar"/>
        </w:rPr>
        <w:t>2016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日向张某某平台店铺购买了“</w:t>
      </w:r>
      <w:r>
        <w:rPr>
          <w:rFonts w:hint="default" w:ascii="Times New Roman" w:hAnsi="Times New Roman" w:eastAsia="仿宋_GB2312" w:cs="Times New Roman"/>
          <w:kern w:val="2"/>
          <w:sz w:val="32"/>
          <w:szCs w:val="32"/>
          <w:lang w:val="en-US" w:eastAsia="zh-CN" w:bidi="ar"/>
        </w:rPr>
        <w:t>27mm</w:t>
      </w:r>
      <w:r>
        <w:rPr>
          <w:rFonts w:hint="eastAsia" w:ascii="仿宋_GB2312" w:hAnsi="Times New Roman" w:eastAsia="仿宋_GB2312" w:cs="仿宋_GB2312"/>
          <w:kern w:val="2"/>
          <w:sz w:val="32"/>
          <w:szCs w:val="32"/>
          <w:lang w:val="en-US" w:eastAsia="zh-CN" w:bidi="ar"/>
        </w:rPr>
        <w:t>硬币圆盒</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元鸡币猴币纪念币保护盒钱币收藏盒</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个包邮”商品，但该收纳盒盒体内部的格子凹槽边缘为月牙形，与涉案专利存在较大差异，因此其在申请涉案专利时，并无将他人在先销售的产品直接进行专利申请的恶意。综上，吴某敏发起投诉时并无主观过错，不应承担因后续专利权被无效而导致原投诉行为有误的赔偿责任。</w:t>
      </w:r>
    </w:p>
    <w:p w14:paraId="74B4E411">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第二个行为。该院认为，《最高人民法院关于审理涉电子商务平台知识产权民事案件的指导意见》第六条规定，人民法院认定通知人是否具有“恶意”，可以考量下列因素：提交伪造、变造的权利证明；提交虚假侵权对比的鉴定意见、专家意见；明知权利状态不稳定仍发出通知；明知通知错误仍不及时撤回或者更正的；反复提交错误通知等。本案中，吴某敏在</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月底收到国家某局作出的第</w:t>
      </w:r>
      <w:r>
        <w:rPr>
          <w:rFonts w:hint="default" w:ascii="Times New Roman" w:hAnsi="Times New Roman" w:eastAsia="仿宋_GB2312" w:cs="Times New Roman"/>
          <w:kern w:val="2"/>
          <w:sz w:val="32"/>
          <w:szCs w:val="32"/>
          <w:lang w:val="en-US" w:eastAsia="zh-CN" w:bidi="ar"/>
        </w:rPr>
        <w:t>59224</w:t>
      </w:r>
      <w:r>
        <w:rPr>
          <w:rFonts w:hint="eastAsia" w:ascii="仿宋_GB2312" w:hAnsi="Times New Roman" w:eastAsia="仿宋_GB2312" w:cs="仿宋_GB2312"/>
          <w:kern w:val="2"/>
          <w:sz w:val="32"/>
          <w:szCs w:val="32"/>
          <w:lang w:val="en-US" w:eastAsia="zh-CN" w:bidi="ar"/>
        </w:rPr>
        <w:t>号《无效宣告请求审查决定书》后，应当知道涉案专利权已被宣告无效，其理应尽到谨慎投诉的注意义务，及时撤回针对张某“尘缘收藏用品”店铺涉案三款产品的投诉。但吴某敏怠于撤回投诉的行为，表明其怠于履行自己的谨慎注意义务，放任可能产生的损害后果的扩大，属于“明知通知错误仍不及时撤回或者更正”的情形，主观过错明显，构成恶意；且吴某敏怠于撤回投诉的行为实际造成了张某涉案三款商品链接被长时间下架，客观上对张某的正常经营造成损害，该损害后果与吴某敏怠于撤回投诉行为之间存在因果关系。综上，吴某敏怠于撤回投诉的行为构成侵权，其理应承担刊登声明以消除影响、赔偿损失的法律责任。该院对张某提出的请求吴某敏刊登声明以消除影响并赔偿损失的诉请，予以支持。关于损害赔偿额。吴某敏在</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月底知晓涉案专利权被宣告无效后未及时撤回投诉，直至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日才撤回投诉，导致张某涉案三款商品在涉案专利权被宣告无效后仍处于长期禁售状态。虽然张某未提供相应的证据证明其实际损失以及吴某敏因投诉行为而获得的利益，但张某的实际损失客观存在，该院综合考虑吴某敏侵权的主观过错程度，三款商品禁售持续期间（自</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月底至</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月底），三款商品被禁售前的销售情况，三个商品链接下均有多款商品，侵权行为对张某店铺的影响以及张某为维权而支付的律师费、保全费等合理费用等因素，酌情确定经济损失为</w:t>
      </w:r>
      <w:r>
        <w:rPr>
          <w:rFonts w:hint="default" w:ascii="Times New Roman" w:hAnsi="Times New Roman" w:eastAsia="仿宋_GB2312" w:cs="Times New Roman"/>
          <w:kern w:val="2"/>
          <w:sz w:val="32"/>
          <w:szCs w:val="32"/>
          <w:lang w:val="en-US" w:eastAsia="zh-CN" w:bidi="ar"/>
        </w:rPr>
        <w:t>60000</w:t>
      </w:r>
      <w:r>
        <w:rPr>
          <w:rFonts w:hint="eastAsia" w:ascii="仿宋_GB2312" w:hAnsi="Times New Roman" w:eastAsia="仿宋_GB2312" w:cs="仿宋_GB2312"/>
          <w:kern w:val="2"/>
          <w:sz w:val="32"/>
          <w:szCs w:val="32"/>
          <w:lang w:val="en-US" w:eastAsia="zh-CN" w:bidi="ar"/>
        </w:rPr>
        <w:t>元及合理维权费用为</w:t>
      </w:r>
      <w:r>
        <w:rPr>
          <w:rFonts w:hint="default" w:ascii="Times New Roman" w:hAnsi="Times New Roman" w:eastAsia="仿宋_GB2312" w:cs="Times New Roman"/>
          <w:kern w:val="2"/>
          <w:sz w:val="32"/>
          <w:szCs w:val="32"/>
          <w:lang w:val="en-US" w:eastAsia="zh-CN" w:bidi="ar"/>
        </w:rPr>
        <w:t>30000</w:t>
      </w:r>
      <w:r>
        <w:rPr>
          <w:rFonts w:hint="eastAsia" w:ascii="仿宋_GB2312" w:hAnsi="Times New Roman" w:eastAsia="仿宋_GB2312" w:cs="仿宋_GB2312"/>
          <w:kern w:val="2"/>
          <w:sz w:val="32"/>
          <w:szCs w:val="32"/>
          <w:lang w:val="en-US" w:eastAsia="zh-CN" w:bidi="ar"/>
        </w:rPr>
        <w:t>元。</w:t>
      </w:r>
    </w:p>
    <w:p w14:paraId="57760DCF">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由于商品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为</w:t>
      </w:r>
      <w:r>
        <w:rPr>
          <w:rFonts w:hint="default" w:ascii="Times New Roman" w:hAnsi="Times New Roman" w:eastAsia="仿宋_GB2312" w:cs="Times New Roman"/>
          <w:kern w:val="2"/>
          <w:sz w:val="32"/>
          <w:szCs w:val="32"/>
          <w:lang w:val="en-US" w:eastAsia="zh-CN" w:bidi="ar"/>
        </w:rPr>
        <w:t>363314237545</w:t>
      </w:r>
      <w:r>
        <w:rPr>
          <w:rFonts w:hint="eastAsia" w:ascii="仿宋_GB2312" w:hAnsi="Times New Roman" w:eastAsia="仿宋_GB2312" w:cs="仿宋_GB2312"/>
          <w:kern w:val="2"/>
          <w:sz w:val="32"/>
          <w:szCs w:val="32"/>
          <w:lang w:val="en-US" w:eastAsia="zh-CN" w:bidi="ar"/>
        </w:rPr>
        <w:t>的商品在涉案专利权有效期内被投诉后申诉成功，未被某公司禁售，因此张某主张吴某敏在涉案专利有效期间对该款商品发起投诉的行为构成侵权、需承担相应法律责任的主张，该院不予支持。</w:t>
      </w:r>
    </w:p>
    <w:p w14:paraId="463F1FC1">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四十七条第一款规定，宣告无效的专利权视为自始即不存在。基于吴某敏涉案专利权已被宣告无效，故该院对张某请求确认其所销售、许诺销售的纪念币收纳盒产品不构成专利侵权的诉请，不再予以评判。</w:t>
      </w:r>
    </w:p>
    <w:p w14:paraId="3586A2B7">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一审法院依照《中华人民共和国民法典》第一千一百六十五第一款、第一千一百八十四条，《中华人民共和国电子商务法》第四十二条，《中华人民共和国专利法》第四十七条第一款，《最高人民法院关于审理涉电子商务平台知识产权民事案件的指导意见》第六条及《中华人民共和国民事诉讼法》第六十七条之规定，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26</w:t>
      </w:r>
      <w:r>
        <w:rPr>
          <w:rFonts w:hint="eastAsia" w:ascii="仿宋_GB2312" w:hAnsi="Times New Roman" w:eastAsia="仿宋_GB2312" w:cs="仿宋_GB2312"/>
          <w:kern w:val="2"/>
          <w:sz w:val="32"/>
          <w:szCs w:val="32"/>
          <w:lang w:val="en-US" w:eastAsia="zh-CN" w:bidi="ar"/>
        </w:rPr>
        <w:t>日判决：一、吴某敏于判决生效后十日内赔偿张某经济损失及合理费用共计</w:t>
      </w:r>
      <w:r>
        <w:rPr>
          <w:rFonts w:hint="default" w:ascii="Times New Roman" w:hAnsi="Times New Roman" w:eastAsia="仿宋_GB2312" w:cs="Times New Roman"/>
          <w:kern w:val="2"/>
          <w:sz w:val="32"/>
          <w:szCs w:val="32"/>
          <w:lang w:val="en-US" w:eastAsia="zh-CN" w:bidi="ar"/>
        </w:rPr>
        <w:t>90000</w:t>
      </w:r>
      <w:r>
        <w:rPr>
          <w:rFonts w:hint="eastAsia" w:ascii="仿宋_GB2312" w:hAnsi="Times New Roman" w:eastAsia="仿宋_GB2312" w:cs="仿宋_GB2312"/>
          <w:kern w:val="2"/>
          <w:sz w:val="32"/>
          <w:szCs w:val="32"/>
          <w:lang w:val="en-US" w:eastAsia="zh-CN" w:bidi="ar"/>
        </w:rPr>
        <w:t>元。二、吴某敏于判决生效后三十日内在《中国知识产权报》上就其侵权行为刊登声明（除中缝版面以外，内容须经该院审核），消除影响；若逾期不履行，该院将在《中国知识产权报》上刊登判决主要内容，费用由吴某敏负担。三、驳回张某的其他诉讼请求。一审案件受理费</w:t>
      </w:r>
      <w:r>
        <w:rPr>
          <w:rFonts w:hint="default" w:ascii="Times New Roman" w:hAnsi="Times New Roman" w:eastAsia="仿宋_GB2312" w:cs="Times New Roman"/>
          <w:kern w:val="2"/>
          <w:sz w:val="32"/>
          <w:szCs w:val="32"/>
          <w:lang w:val="en-US" w:eastAsia="zh-CN" w:bidi="ar"/>
        </w:rPr>
        <w:t>13800</w:t>
      </w:r>
      <w:r>
        <w:rPr>
          <w:rFonts w:hint="eastAsia" w:ascii="仿宋_GB2312" w:hAnsi="Times New Roman" w:eastAsia="仿宋_GB2312" w:cs="仿宋_GB2312"/>
          <w:kern w:val="2"/>
          <w:sz w:val="32"/>
          <w:szCs w:val="32"/>
          <w:lang w:val="en-US" w:eastAsia="zh-CN" w:bidi="ar"/>
        </w:rPr>
        <w:t>元，由张某负担</w:t>
      </w:r>
      <w:r>
        <w:rPr>
          <w:rFonts w:hint="default" w:ascii="Times New Roman" w:hAnsi="Times New Roman" w:eastAsia="仿宋_GB2312" w:cs="Times New Roman"/>
          <w:kern w:val="2"/>
          <w:sz w:val="32"/>
          <w:szCs w:val="32"/>
          <w:lang w:val="en-US" w:eastAsia="zh-CN" w:bidi="ar"/>
        </w:rPr>
        <w:t>6279</w:t>
      </w:r>
      <w:r>
        <w:rPr>
          <w:rFonts w:hint="eastAsia" w:ascii="仿宋_GB2312" w:hAnsi="Times New Roman" w:eastAsia="仿宋_GB2312" w:cs="仿宋_GB2312"/>
          <w:kern w:val="2"/>
          <w:sz w:val="32"/>
          <w:szCs w:val="32"/>
          <w:lang w:val="en-US" w:eastAsia="zh-CN" w:bidi="ar"/>
        </w:rPr>
        <w:t>元，吴某敏负担</w:t>
      </w:r>
      <w:r>
        <w:rPr>
          <w:rFonts w:hint="default" w:ascii="Times New Roman" w:hAnsi="Times New Roman" w:eastAsia="仿宋_GB2312" w:cs="Times New Roman"/>
          <w:kern w:val="2"/>
          <w:sz w:val="32"/>
          <w:szCs w:val="32"/>
          <w:lang w:val="en-US" w:eastAsia="zh-CN" w:bidi="ar"/>
        </w:rPr>
        <w:t>7521</w:t>
      </w:r>
      <w:r>
        <w:rPr>
          <w:rFonts w:hint="eastAsia" w:ascii="仿宋_GB2312" w:hAnsi="Times New Roman" w:eastAsia="仿宋_GB2312" w:cs="仿宋_GB2312"/>
          <w:kern w:val="2"/>
          <w:sz w:val="32"/>
          <w:szCs w:val="32"/>
          <w:lang w:val="en-US" w:eastAsia="zh-CN" w:bidi="ar"/>
        </w:rPr>
        <w:t>元。</w:t>
      </w:r>
    </w:p>
    <w:p w14:paraId="32B39351">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二审庭审中，吴某敏向本院提交了（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）京</w:t>
      </w:r>
      <w:r>
        <w:rPr>
          <w:rFonts w:hint="default" w:ascii="Times New Roman" w:hAnsi="Times New Roman" w:eastAsia="仿宋_GB2312" w:cs="Times New Roman"/>
          <w:kern w:val="2"/>
          <w:sz w:val="32"/>
          <w:szCs w:val="32"/>
          <w:lang w:val="en-US" w:eastAsia="zh-CN" w:bidi="ar"/>
        </w:rPr>
        <w:t>73</w:t>
      </w:r>
      <w:r>
        <w:rPr>
          <w:rFonts w:hint="eastAsia" w:ascii="仿宋_GB2312" w:hAnsi="Times New Roman" w:eastAsia="仿宋_GB2312" w:cs="仿宋_GB2312"/>
          <w:kern w:val="2"/>
          <w:sz w:val="32"/>
          <w:szCs w:val="32"/>
          <w:lang w:val="en-US" w:eastAsia="zh-CN" w:bidi="ar"/>
        </w:rPr>
        <w:t>行初</w:t>
      </w:r>
      <w:r>
        <w:rPr>
          <w:rFonts w:hint="default" w:ascii="Times New Roman" w:hAnsi="Times New Roman" w:eastAsia="仿宋_GB2312" w:cs="Times New Roman"/>
          <w:kern w:val="2"/>
          <w:sz w:val="32"/>
          <w:szCs w:val="32"/>
          <w:lang w:val="en-US" w:eastAsia="zh-CN" w:bidi="ar"/>
        </w:rPr>
        <w:t>4453</w:t>
      </w:r>
      <w:r>
        <w:rPr>
          <w:rFonts w:hint="eastAsia" w:ascii="仿宋_GB2312" w:hAnsi="Times New Roman" w:eastAsia="仿宋_GB2312" w:cs="仿宋_GB2312"/>
          <w:kern w:val="2"/>
          <w:sz w:val="32"/>
          <w:szCs w:val="32"/>
          <w:lang w:val="en-US" w:eastAsia="zh-CN" w:bidi="ar"/>
        </w:rPr>
        <w:t>号案件受理通知书，拟证明涉案专利的无效宣告请求审查决定已被提起行政诉讼，专利权现仍有效。二审庭审后，张某向本院提交了（</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）京</w:t>
      </w:r>
      <w:r>
        <w:rPr>
          <w:rFonts w:hint="default" w:ascii="Times New Roman" w:hAnsi="Times New Roman" w:eastAsia="仿宋_GB2312" w:cs="Times New Roman"/>
          <w:kern w:val="2"/>
          <w:sz w:val="32"/>
          <w:szCs w:val="32"/>
          <w:lang w:val="en-US" w:eastAsia="zh-CN" w:bidi="ar"/>
        </w:rPr>
        <w:t>73</w:t>
      </w:r>
      <w:r>
        <w:rPr>
          <w:rFonts w:hint="eastAsia" w:ascii="仿宋_GB2312" w:hAnsi="Times New Roman" w:eastAsia="仿宋_GB2312" w:cs="仿宋_GB2312"/>
          <w:kern w:val="2"/>
          <w:sz w:val="32"/>
          <w:szCs w:val="32"/>
          <w:lang w:val="en-US" w:eastAsia="zh-CN" w:bidi="ar"/>
        </w:rPr>
        <w:t>行初</w:t>
      </w:r>
      <w:r>
        <w:rPr>
          <w:rFonts w:hint="default" w:ascii="Times New Roman" w:hAnsi="Times New Roman" w:eastAsia="仿宋_GB2312" w:cs="Times New Roman"/>
          <w:kern w:val="2"/>
          <w:sz w:val="32"/>
          <w:szCs w:val="32"/>
          <w:lang w:val="en-US" w:eastAsia="zh-CN" w:bidi="ar"/>
        </w:rPr>
        <w:t>4453</w:t>
      </w:r>
      <w:r>
        <w:rPr>
          <w:rFonts w:hint="eastAsia" w:ascii="仿宋_GB2312" w:hAnsi="Times New Roman" w:eastAsia="仿宋_GB2312" w:cs="仿宋_GB2312"/>
          <w:kern w:val="2"/>
          <w:sz w:val="32"/>
          <w:szCs w:val="32"/>
          <w:lang w:val="en-US" w:eastAsia="zh-CN" w:bidi="ar"/>
        </w:rPr>
        <w:t>号行政判决书，拟证明吴某敏的涉案专利权已被宣告无效。经质证，吴某敏对该证据的真实性、合法性无异议，对其关联性有异议，认为该份证据不能作为对其在先行为作出评价的依据。本院经审查认为，该份证据真实、合法，与本案诉争内容具有关联性，予以认定。对于吴某敏提交的该案受理通知书已无认证必要。</w:t>
      </w:r>
    </w:p>
    <w:p w14:paraId="1515E736">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本院对一审判决认定的事实予以确认。二审另查明，北京知识产权法院于</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日作出（</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）京</w:t>
      </w:r>
      <w:r>
        <w:rPr>
          <w:rFonts w:hint="default" w:ascii="Times New Roman" w:hAnsi="Times New Roman" w:eastAsia="仿宋_GB2312" w:cs="Times New Roman"/>
          <w:kern w:val="2"/>
          <w:sz w:val="32"/>
          <w:szCs w:val="32"/>
          <w:lang w:val="en-US" w:eastAsia="zh-CN" w:bidi="ar"/>
        </w:rPr>
        <w:t>73</w:t>
      </w:r>
      <w:r>
        <w:rPr>
          <w:rFonts w:hint="eastAsia" w:ascii="仿宋_GB2312" w:hAnsi="Times New Roman" w:eastAsia="仿宋_GB2312" w:cs="仿宋_GB2312"/>
          <w:kern w:val="2"/>
          <w:sz w:val="32"/>
          <w:szCs w:val="32"/>
          <w:lang w:val="en-US" w:eastAsia="zh-CN" w:bidi="ar"/>
        </w:rPr>
        <w:t>行初</w:t>
      </w:r>
      <w:r>
        <w:rPr>
          <w:rFonts w:hint="default" w:ascii="Times New Roman" w:hAnsi="Times New Roman" w:eastAsia="仿宋_GB2312" w:cs="Times New Roman"/>
          <w:kern w:val="2"/>
          <w:sz w:val="32"/>
          <w:szCs w:val="32"/>
          <w:lang w:val="en-US" w:eastAsia="zh-CN" w:bidi="ar"/>
        </w:rPr>
        <w:t>4453</w:t>
      </w:r>
      <w:r>
        <w:rPr>
          <w:rFonts w:hint="eastAsia" w:ascii="仿宋_GB2312" w:hAnsi="Times New Roman" w:eastAsia="仿宋_GB2312" w:cs="仿宋_GB2312"/>
          <w:kern w:val="2"/>
          <w:sz w:val="32"/>
          <w:szCs w:val="32"/>
          <w:lang w:val="en-US" w:eastAsia="zh-CN" w:bidi="ar"/>
        </w:rPr>
        <w:t>号行政判决，驳回了吴某敏关于撤销第</w:t>
      </w:r>
      <w:r>
        <w:rPr>
          <w:rFonts w:hint="default" w:ascii="Times New Roman" w:hAnsi="Times New Roman" w:eastAsia="仿宋_GB2312" w:cs="Times New Roman"/>
          <w:kern w:val="2"/>
          <w:sz w:val="32"/>
          <w:szCs w:val="32"/>
          <w:lang w:val="en-US" w:eastAsia="zh-CN" w:bidi="ar"/>
        </w:rPr>
        <w:t>59224</w:t>
      </w:r>
      <w:r>
        <w:rPr>
          <w:rFonts w:hint="eastAsia" w:ascii="仿宋_GB2312" w:hAnsi="Times New Roman" w:eastAsia="仿宋_GB2312" w:cs="仿宋_GB2312"/>
          <w:kern w:val="2"/>
          <w:sz w:val="32"/>
          <w:szCs w:val="32"/>
          <w:lang w:val="en-US" w:eastAsia="zh-CN" w:bidi="ar"/>
        </w:rPr>
        <w:t>号无效宣告请求审查决定的诉讼请求。该行政判决作出后，该案当事人均未提起上诉，判决现已生效。</w:t>
      </w:r>
    </w:p>
    <w:p w14:paraId="702049BB">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认为，关于本案争议焦点，首先，一审判决作出时，宣告涉案专利权无效的审查决定仍在行政诉讼程序中而未最终生效，一审法院对被投诉设计是否属于现有设计及是否落入涉案专利权保护范围的问题未予评述，就径行以涉案专利权已自始无效为由认定被投诉行为不侵权不当。但在二审中，上述无效宣告决定已得到生效行政判决确认并发生法律效力，故可以认定张某的被投诉行为不构成侵权，对被投诉设计是否属于现有设计及是否落入涉案专利权保护范围的问题已无作为争议焦点之必要。其次，张某在一审中系以吴某敏恶意投诉构成不正当竞争行为为由要求其承担就不正当竞争行为登报消除影响等法律责任，故本案应为确认不侵害专利权及不正当竞争纠纷，一审法院偏离张某主张范围，径行以投诉行为违反《中华人民共和国电子商务法》相关规定为由认定其构成一般侵权行为不当，应予纠正。综合上述情况，并结合吴某敏的上诉请求和理由，以及张某的答辩意见，本案二审的争议焦点在于：吴某敏的涉案投诉行为是否构成不正当竞争行为，以及若构成不正当竞争，其应承担的民事责任。</w:t>
      </w:r>
    </w:p>
    <w:p w14:paraId="7F2E3FF8">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张某主张的不正当竞争行为是吴某敏在拼多多平台就其在网店内销售的十二卷币筒收纳盒产品发起恶意投诉，损害其合法权益的行为。首先，专利权是经营者获取垄断性竞争优势和经济利益的有力工具，吴某敏以自己申请的“纪念币收纳盒”外观设计专利为权利基础对张某销售的同类产品发起投诉，被投诉产品面临被平台下架的可能性，被投诉经营者的正常交易机会也可能因此而丧失，故涉案投诉行为会对张某的竞争利益及市场竞争秩序产生影响，因而属于应受《中华人民共和国反不正当竞争法》规制的行为。此外，根据双方当事人在二审庭审中的陈述，吴某敏曾就专利产品买卖或加工事宜与张某接洽寻求商业合作，但张某未予同意，进一步印证了吴某敏与张某之间存在竞争关系。</w:t>
      </w:r>
    </w:p>
    <w:p w14:paraId="54E4C31E">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其次，由于被诉行为既不属于《中华人民共和国反不正当竞争法》第二章列举的情形，也未在知识产权专门法中进行规定，故有必要适用《中华人民共和国反不正当竞争法》第二条判断其是否构成不正当竞争。该法第二条第一款、第二款规定：“经营者在生产经营活动中，应当遵循自愿、平等、公平、诚信的原则，遵守法律和商业道德。本法所称的不正当竞争行为，是指经营者在生产经营活动中，违反本法规定，扰乱市场竞争秩序，损害其他经营者或者消费者的合法权益的行为。”虽然一审法院直接对被诉行为是否构成《中华人民共和国电子商务法》规定的“恶意通知”进行评判偏离了张某的诉讼主张，但由于“恶意通知”同时具有竞争法意义上的不正当性，因此该法及《最高人民法院关于审理涉电子商务平台知识产权民事案件的指导意见》中关于“恶意通知”的规定可以作为评判被诉行为正当与否的重要参考。</w:t>
      </w:r>
    </w:p>
    <w:p w14:paraId="126949E1">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张某在二审庭审中称涉案投诉行为的不正当性主要体现在两方面：一是吴某敏曾于</w:t>
      </w:r>
      <w:r>
        <w:rPr>
          <w:rFonts w:hint="default" w:ascii="Times New Roman" w:hAnsi="Times New Roman" w:eastAsia="仿宋_GB2312" w:cs="Times New Roman"/>
          <w:kern w:val="2"/>
          <w:sz w:val="32"/>
          <w:szCs w:val="32"/>
          <w:lang w:val="en-US" w:eastAsia="zh-CN" w:bidi="ar"/>
        </w:rPr>
        <w:t>2016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在张某某平台网店内购买纪念币收纳盒，明知张某在先销售被投诉产品，仍申请专利并对张某进行投诉、打压；二是吴某敏在知晓涉案专利权被无效后未及时撤回投诉，主观恶意明显。对此，本院认为，吴某敏确于</w:t>
      </w:r>
      <w:r>
        <w:rPr>
          <w:rFonts w:hint="default" w:ascii="Times New Roman" w:hAnsi="Times New Roman" w:eastAsia="仿宋_GB2312" w:cs="Times New Roman"/>
          <w:kern w:val="2"/>
          <w:sz w:val="32"/>
          <w:szCs w:val="32"/>
          <w:lang w:val="en-US" w:eastAsia="zh-CN" w:bidi="ar"/>
        </w:rPr>
        <w:t>2016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在张某某平台网店内购买纪念币收纳盒，但该款收纳盒盒体内部的格子凹槽边缘为月牙形，而涉案专利的格子凹槽边缘为齐某形态，两者盒盖与盒体的高度比例亦不同，故不能证明吴某敏具有将他人在先销售的产品直接进行专利申请的恶意。在吴某敏发起投诉时，涉案专利权尚未被宣告无效，也未出现权利状态不稳定的其他情形，吴某敏作为专利权人，依照拼多多平台的相关规则投诉张某网店内与涉案专利外观接近的产品，并不具有不正当性。但吴某敏在</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月底收到国家某局作出的第</w:t>
      </w:r>
      <w:r>
        <w:rPr>
          <w:rFonts w:hint="default" w:ascii="Times New Roman" w:hAnsi="Times New Roman" w:eastAsia="仿宋_GB2312" w:cs="Times New Roman"/>
          <w:kern w:val="2"/>
          <w:sz w:val="32"/>
          <w:szCs w:val="32"/>
          <w:lang w:val="en-US" w:eastAsia="zh-CN" w:bidi="ar"/>
        </w:rPr>
        <w:t>59224</w:t>
      </w:r>
      <w:r>
        <w:rPr>
          <w:rFonts w:hint="eastAsia" w:ascii="仿宋_GB2312" w:hAnsi="Times New Roman" w:eastAsia="仿宋_GB2312" w:cs="仿宋_GB2312"/>
          <w:kern w:val="2"/>
          <w:sz w:val="32"/>
          <w:szCs w:val="32"/>
          <w:lang w:val="en-US" w:eastAsia="zh-CN" w:bidi="ar"/>
        </w:rPr>
        <w:t>号《无效宣告请求审查决定书》后，明知涉案专利权已被宣告无效，未及时撤回针对张某网店内三款产品的投诉，导致该些产品链接长期无法正常上架，主观过错明显。虽然此时上述无效宣告决定因吴某敏提起行政诉讼而未最终生效，但吴某敏据以投诉的专利权已然处于极不稳定的状态，吴某敏在明知涉案投诉行为极可能存在错误并将导致其他经营者合法权益受损的情况下，本应审慎行使自身权利，及时撤回相关投诉。吴某敏上诉称其不知道拼多多平台有撤回投诉的操作，但其作为投诉人理应知晓平台规则，况且在</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张某委托律师向其发送的《催告函》中也已明确要求其撤销投诉，故吴某敏的此节上诉理由显然不能成立。综上，吴某敏的涉案投诉行为有违诚信原则和商业道德，损害了张某的合法权益和正常的市场竞争秩序，构成不正当竞争行为。</w:t>
      </w:r>
    </w:p>
    <w:p w14:paraId="5BE1CD0A">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最后，关于吴某敏应当承担的民事责任。张某诉请吴某敏就其不正当竞争行为刊登声明、消除影响，吴某敏认为其未撤回投诉的行为未对张某造成不良影响或评价降低，一审法院责令其登报消除影响有误。对此本院认为，承担此项民事责任的前提是被诉行为对被侵权人造成了一定范围的不良社会影响，且有必要在不良影响所及之范围内采取公开声明等方式予以消除，但如上所述，涉案投诉行为的不正当性体现在吴某敏未及时撤回投诉，该不正当竞争行为导致的后果仅是已被下架的产品链接无法及时恢复上架，所造成的经济利益损失通过损害赔偿的方式足以弥补，没有证据表明该行为会在社会层面造成张某商誉受损、评价降低等不良影响，因此不符合判令消除影响的前提条件。一审法院责令吴某敏在《中国知识产权报》刊登声明反而可能造成公众困扰，也是对公共媒体资源的浪费，对此应予纠正。吴某敏的此节上诉理由成立，予以支持。</w:t>
      </w:r>
    </w:p>
    <w:p w14:paraId="2DA636F3">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关于损害赔偿数额。根据《最高人民法院关于适用</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中华人民共和国反不正当竞争法</w:t>
      </w:r>
      <w:r>
        <w:rPr>
          <w:rFonts w:hint="default" w:ascii="Times New Roman" w:hAnsi="Times New Roman" w:eastAsia="仿宋_GB2312" w:cs="Times New Roman"/>
          <w:kern w:val="2"/>
          <w:sz w:val="32"/>
          <w:szCs w:val="32"/>
          <w:lang w:val="en-US" w:eastAsia="zh-CN" w:bidi="ar"/>
        </w:rPr>
        <w:t>&gt;</w:t>
      </w:r>
      <w:r>
        <w:rPr>
          <w:rFonts w:hint="eastAsia" w:ascii="仿宋_GB2312" w:hAnsi="Times New Roman" w:eastAsia="仿宋_GB2312" w:cs="仿宋_GB2312"/>
          <w:kern w:val="2"/>
          <w:sz w:val="32"/>
          <w:szCs w:val="32"/>
          <w:lang w:val="en-US" w:eastAsia="zh-CN" w:bidi="ar"/>
        </w:rPr>
        <w:t>若干问题的解释》第二十三条规定：“对于</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4"/>
          <w:rFonts w:hint="eastAsia" w:ascii="仿宋_GB2312" w:hAnsi="Times New Roman" w:eastAsia="仿宋_GB2312" w:cs="仿宋_GB2312"/>
          <w:kern w:val="2"/>
          <w:sz w:val="32"/>
          <w:szCs w:val="32"/>
        </w:rPr>
        <w:t>反不正当竞争法</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4"/>
          <w:rFonts w:hint="eastAsia" w:ascii="仿宋_GB2312" w:hAnsi="Times New Roman" w:eastAsia="仿宋_GB2312" w:cs="仿宋_GB2312"/>
          <w:kern w:val="2"/>
          <w:sz w:val="32"/>
          <w:szCs w:val="32"/>
        </w:rPr>
        <w:t>二条</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4"/>
          <w:rFonts w:hint="eastAsia" w:ascii="仿宋_GB2312" w:hAnsi="Times New Roman" w:eastAsia="仿宋_GB2312" w:cs="仿宋_GB2312"/>
          <w:kern w:val="2"/>
          <w:sz w:val="32"/>
          <w:szCs w:val="32"/>
        </w:rPr>
        <w:t>八条</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4"/>
          <w:rFonts w:hint="eastAsia" w:ascii="仿宋_GB2312" w:hAnsi="Times New Roman" w:eastAsia="仿宋_GB2312" w:cs="仿宋_GB2312"/>
          <w:kern w:val="2"/>
          <w:sz w:val="32"/>
          <w:szCs w:val="32"/>
        </w:rPr>
        <w:t>十一条</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4"/>
          <w:rFonts w:hint="eastAsia" w:ascii="仿宋_GB2312" w:hAnsi="Times New Roman" w:eastAsia="仿宋_GB2312" w:cs="仿宋_GB2312"/>
          <w:kern w:val="2"/>
          <w:sz w:val="32"/>
          <w:szCs w:val="32"/>
        </w:rPr>
        <w:t>十二条</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规定的不正当竞争行为，权利人因被侵权所受到的实际损失、侵权人因侵权所获得的利益难以确定，当事人主张依据</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4"/>
          <w:rFonts w:hint="eastAsia" w:ascii="仿宋_GB2312" w:hAnsi="Times New Roman" w:eastAsia="仿宋_GB2312" w:cs="仿宋_GB2312"/>
          <w:kern w:val="2"/>
          <w:sz w:val="32"/>
          <w:szCs w:val="32"/>
        </w:rPr>
        <w:t>反不正当竞争法</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"javascript:void(0);" </w:instrText>
      </w:r>
      <w:r>
        <w:rPr>
          <w:rFonts w:hint="default" w:ascii="Times New Roman" w:hAnsi="Times New Roman" w:eastAsia="仿宋_GB2312" w:cs="Times New Roman"/>
          <w:kern w:val="2"/>
          <w:sz w:val="28"/>
          <w:szCs w:val="28"/>
          <w:lang w:val="en-US" w:eastAsia="zh-CN" w:bidi="ar"/>
        </w:rPr>
        <w:fldChar w:fldCharType="separate"/>
      </w:r>
      <w:r>
        <w:rPr>
          <w:rStyle w:val="4"/>
          <w:rFonts w:hint="eastAsia" w:ascii="仿宋_GB2312" w:hAnsi="Times New Roman" w:eastAsia="仿宋_GB2312" w:cs="仿宋_GB2312"/>
          <w:kern w:val="2"/>
          <w:sz w:val="32"/>
          <w:szCs w:val="32"/>
        </w:rPr>
        <w:t>十七条</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第四款确定赔偿数额的，人民法院应予支持。”又根据《中华人民共和国反不正当竞争法》第十七条第四款规定：“经营者违反本法第六条、第九条规定，权利人因被侵权所受到的实际损失、侵权人因侵权所获得的利益难以确定的，由人民法院根据侵权行为的情节判决给予权利人五百万元以下的赔偿。”本案中，张某因被侵权所受到的实际损失、吴某敏因侵权所获得的利益均难以确定，一审法院综合考虑吴某敏的主观过错程度、被投诉三款产品被禁售的持续期间和被禁售前的销售情况、三个产品链接下均有多款商品、侵权行为对张某网店的影响等因素，酌情确定经济损失</w:t>
      </w:r>
      <w:r>
        <w:rPr>
          <w:rFonts w:hint="default" w:ascii="Times New Roman" w:hAnsi="Times New Roman" w:eastAsia="仿宋_GB2312" w:cs="Times New Roman"/>
          <w:kern w:val="2"/>
          <w:sz w:val="32"/>
          <w:szCs w:val="32"/>
          <w:lang w:val="en-US" w:eastAsia="zh-CN" w:bidi="ar"/>
        </w:rPr>
        <w:t>60000</w:t>
      </w:r>
      <w:r>
        <w:rPr>
          <w:rFonts w:hint="eastAsia" w:ascii="仿宋_GB2312" w:hAnsi="Times New Roman" w:eastAsia="仿宋_GB2312" w:cs="仿宋_GB2312"/>
          <w:kern w:val="2"/>
          <w:sz w:val="32"/>
          <w:szCs w:val="32"/>
          <w:lang w:val="en-US" w:eastAsia="zh-CN" w:bidi="ar"/>
        </w:rPr>
        <w:t>元，在合理的自由裁量范围内，并无不当；该院酌定的</w:t>
      </w:r>
      <w:r>
        <w:rPr>
          <w:rFonts w:hint="default" w:ascii="Times New Roman" w:hAnsi="Times New Roman" w:eastAsia="仿宋_GB2312" w:cs="Times New Roman"/>
          <w:kern w:val="2"/>
          <w:sz w:val="32"/>
          <w:szCs w:val="32"/>
          <w:lang w:val="en-US" w:eastAsia="zh-CN" w:bidi="ar"/>
        </w:rPr>
        <w:t>30000</w:t>
      </w:r>
      <w:r>
        <w:rPr>
          <w:rFonts w:hint="eastAsia" w:ascii="仿宋_GB2312" w:hAnsi="Times New Roman" w:eastAsia="仿宋_GB2312" w:cs="仿宋_GB2312"/>
          <w:kern w:val="2"/>
          <w:sz w:val="32"/>
          <w:szCs w:val="32"/>
          <w:lang w:val="en-US" w:eastAsia="zh-CN" w:bidi="ar"/>
        </w:rPr>
        <w:t>元合理维权费用中包含律师费、财产保全费等多项费用，亦不存在明显偏高的情形。吴某敏上诉称一审法院未考虑到被投诉的产品链接下架后张某又在其他链接中重新上架了该产品，以及被投诉的产品链接项下还包含多款未被投诉的产品等情况，导致判赔数额畸高。对此本院认为，虽然张某确有在其他链接中重新上架被投诉产品的行为，但系在原链接无法恢复上架状态下的无奈之举，且在流量经济的大背景下，原链接被下架之后，其中累积的销量、评价等隐性商业价值无法再发挥吸引流量的作用，也无法继续累积更新，将导致张某原有商业机会的丧失，而培育一款新的产品链接需要花费额外的营销成本。至于被投诉的产品链接项下还包含其他未被投诉的产品问题，一审法院对此已在事实部分予以查明，其所认定的销量和销售额均仅指向被投诉产品十二卷币筒收纳盒，故吴某敏的此节上诉理由不能成立，不予采纳。</w:t>
      </w:r>
    </w:p>
    <w:p w14:paraId="1B34779B">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吴某敏的上诉请求部分成立，予以支持。原判认定事实清楚，但适用法律错误，应予改判。依照《中华人民共和国反不正当竞争法》第二条、第十七条，《中华人民共和国民法典》第一百七十九条第一款第十项，《最高人民法院关于适用</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中华人民共和国反不正当竞争法</w:t>
      </w:r>
      <w:r>
        <w:rPr>
          <w:rFonts w:hint="default" w:ascii="Times New Roman" w:hAnsi="Times New Roman" w:eastAsia="仿宋_GB2312" w:cs="Times New Roman"/>
          <w:kern w:val="2"/>
          <w:sz w:val="32"/>
          <w:szCs w:val="32"/>
          <w:lang w:val="en-US" w:eastAsia="zh-CN" w:bidi="ar"/>
        </w:rPr>
        <w:t>&gt;</w:t>
      </w:r>
      <w:r>
        <w:rPr>
          <w:rFonts w:hint="eastAsia" w:ascii="仿宋_GB2312" w:hAnsi="Times New Roman" w:eastAsia="仿宋_GB2312" w:cs="仿宋_GB2312"/>
          <w:kern w:val="2"/>
          <w:sz w:val="32"/>
          <w:szCs w:val="32"/>
          <w:lang w:val="en-US" w:eastAsia="zh-CN" w:bidi="ar"/>
        </w:rPr>
        <w:t>若干问题的解释》第二十三条，《中华人民共和国民事诉讼法》第一百七十七条第一款第二项之规定，判决如下：</w:t>
      </w:r>
    </w:p>
    <w:p w14:paraId="354643FB">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一、维持浙江省温州市中级人民法院（</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03</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1592</w:t>
      </w:r>
      <w:r>
        <w:rPr>
          <w:rFonts w:hint="eastAsia" w:ascii="仿宋_GB2312" w:hAnsi="Times New Roman" w:eastAsia="仿宋_GB2312" w:cs="仿宋_GB2312"/>
          <w:kern w:val="2"/>
          <w:sz w:val="32"/>
          <w:szCs w:val="32"/>
          <w:lang w:val="en-US" w:eastAsia="zh-CN" w:bidi="ar"/>
        </w:rPr>
        <w:t>号民事判决第一项，即吴某敏于判决生效后十日内赔偿张某经济损失及合理费用共计</w:t>
      </w:r>
      <w:r>
        <w:rPr>
          <w:rFonts w:hint="default" w:ascii="Times New Roman" w:hAnsi="Times New Roman" w:eastAsia="仿宋_GB2312" w:cs="Times New Roman"/>
          <w:kern w:val="2"/>
          <w:sz w:val="32"/>
          <w:szCs w:val="32"/>
          <w:lang w:val="en-US" w:eastAsia="zh-CN" w:bidi="ar"/>
        </w:rPr>
        <w:t>90000</w:t>
      </w:r>
      <w:r>
        <w:rPr>
          <w:rFonts w:hint="eastAsia" w:ascii="仿宋_GB2312" w:hAnsi="Times New Roman" w:eastAsia="仿宋_GB2312" w:cs="仿宋_GB2312"/>
          <w:kern w:val="2"/>
          <w:sz w:val="32"/>
          <w:szCs w:val="32"/>
          <w:lang w:val="en-US" w:eastAsia="zh-CN" w:bidi="ar"/>
        </w:rPr>
        <w:t>元；</w:t>
      </w:r>
    </w:p>
    <w:p w14:paraId="2092869F">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二、撤销浙江省温州市中级人民法院（</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03</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1592</w:t>
      </w:r>
      <w:r>
        <w:rPr>
          <w:rFonts w:hint="eastAsia" w:ascii="仿宋_GB2312" w:hAnsi="Times New Roman" w:eastAsia="仿宋_GB2312" w:cs="仿宋_GB2312"/>
          <w:kern w:val="2"/>
          <w:sz w:val="32"/>
          <w:szCs w:val="32"/>
          <w:lang w:val="en-US" w:eastAsia="zh-CN" w:bidi="ar"/>
        </w:rPr>
        <w:t>号民事判决第二项；</w:t>
      </w:r>
    </w:p>
    <w:p w14:paraId="6FCD0267">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三、撤销浙江省温州市中级人民法院（</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03</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1592</w:t>
      </w:r>
      <w:r>
        <w:rPr>
          <w:rFonts w:hint="eastAsia" w:ascii="仿宋_GB2312" w:hAnsi="Times New Roman" w:eastAsia="仿宋_GB2312" w:cs="仿宋_GB2312"/>
          <w:kern w:val="2"/>
          <w:sz w:val="32"/>
          <w:szCs w:val="32"/>
          <w:lang w:val="en-US" w:eastAsia="zh-CN" w:bidi="ar"/>
        </w:rPr>
        <w:t>号民事判决第三项；</w:t>
      </w:r>
    </w:p>
    <w:p w14:paraId="55B15BE0">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四、驳回张某的其他诉讼请求。</w:t>
      </w:r>
    </w:p>
    <w:p w14:paraId="6571ECB7">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一审案件受理费</w:t>
      </w:r>
      <w:r>
        <w:rPr>
          <w:rFonts w:hint="default" w:ascii="Times New Roman" w:hAnsi="Times New Roman" w:eastAsia="仿宋_GB2312" w:cs="Times New Roman"/>
          <w:kern w:val="2"/>
          <w:sz w:val="32"/>
          <w:szCs w:val="32"/>
          <w:lang w:val="en-US" w:eastAsia="zh-CN" w:bidi="ar"/>
        </w:rPr>
        <w:t>13800</w:t>
      </w:r>
      <w:r>
        <w:rPr>
          <w:rFonts w:hint="eastAsia" w:ascii="仿宋_GB2312" w:hAnsi="Times New Roman" w:eastAsia="仿宋_GB2312" w:cs="仿宋_GB2312"/>
          <w:kern w:val="2"/>
          <w:sz w:val="32"/>
          <w:szCs w:val="32"/>
          <w:lang w:val="en-US" w:eastAsia="zh-CN" w:bidi="ar"/>
        </w:rPr>
        <w:t>元，由张某负担</w:t>
      </w:r>
      <w:r>
        <w:rPr>
          <w:rFonts w:hint="default" w:ascii="Times New Roman" w:hAnsi="Times New Roman" w:eastAsia="仿宋_GB2312" w:cs="Times New Roman"/>
          <w:kern w:val="2"/>
          <w:sz w:val="32"/>
          <w:szCs w:val="32"/>
          <w:lang w:val="en-US" w:eastAsia="zh-CN" w:bidi="ar"/>
        </w:rPr>
        <w:t>6279</w:t>
      </w:r>
      <w:r>
        <w:rPr>
          <w:rFonts w:hint="eastAsia" w:ascii="仿宋_GB2312" w:hAnsi="Times New Roman" w:eastAsia="仿宋_GB2312" w:cs="仿宋_GB2312"/>
          <w:kern w:val="2"/>
          <w:sz w:val="32"/>
          <w:szCs w:val="32"/>
          <w:lang w:val="en-US" w:eastAsia="zh-CN" w:bidi="ar"/>
        </w:rPr>
        <w:t>元，吴某敏负担</w:t>
      </w:r>
      <w:r>
        <w:rPr>
          <w:rFonts w:hint="default" w:ascii="Times New Roman" w:hAnsi="Times New Roman" w:eastAsia="仿宋_GB2312" w:cs="Times New Roman"/>
          <w:kern w:val="2"/>
          <w:sz w:val="32"/>
          <w:szCs w:val="32"/>
          <w:lang w:val="en-US" w:eastAsia="zh-CN" w:bidi="ar"/>
        </w:rPr>
        <w:t>7521</w:t>
      </w:r>
      <w:r>
        <w:rPr>
          <w:rFonts w:hint="eastAsia" w:ascii="仿宋_GB2312" w:hAnsi="Times New Roman" w:eastAsia="仿宋_GB2312" w:cs="仿宋_GB2312"/>
          <w:kern w:val="2"/>
          <w:sz w:val="32"/>
          <w:szCs w:val="32"/>
          <w:lang w:val="en-US" w:eastAsia="zh-CN" w:bidi="ar"/>
        </w:rPr>
        <w:t>元；二审案件受理费</w:t>
      </w:r>
      <w:r>
        <w:rPr>
          <w:rFonts w:hint="default" w:ascii="Times New Roman" w:hAnsi="Times New Roman" w:eastAsia="仿宋_GB2312" w:cs="Times New Roman"/>
          <w:kern w:val="2"/>
          <w:sz w:val="32"/>
          <w:szCs w:val="32"/>
          <w:lang w:val="en-US" w:eastAsia="zh-CN" w:bidi="ar"/>
        </w:rPr>
        <w:t>2050</w:t>
      </w:r>
      <w:r>
        <w:rPr>
          <w:rFonts w:hint="eastAsia" w:ascii="仿宋_GB2312" w:hAnsi="Times New Roman" w:eastAsia="仿宋_GB2312" w:cs="仿宋_GB2312"/>
          <w:kern w:val="2"/>
          <w:sz w:val="32"/>
          <w:szCs w:val="32"/>
          <w:lang w:val="en-US" w:eastAsia="zh-CN" w:bidi="ar"/>
        </w:rPr>
        <w:t>元，由吴某敏负担。</w:t>
      </w:r>
    </w:p>
    <w:p w14:paraId="27F10B66">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本判决为终审判决。</w:t>
      </w:r>
    </w:p>
    <w:p w14:paraId="54683DC2">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7E5AF037">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472D9600">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0D8C5ED8">
      <w:pPr>
        <w:keepNext w:val="0"/>
        <w:keepLines w:val="0"/>
        <w:widowControl w:val="0"/>
        <w:suppressLineNumbers w:val="0"/>
        <w:spacing w:before="0" w:beforeAutospacing="0" w:after="0" w:afterAutospacing="0" w:line="592" w:lineRule="exact"/>
        <w:ind w:left="0" w:right="0" w:firstLine="640"/>
        <w:jc w:val="center"/>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何</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琼</w:t>
      </w:r>
    </w:p>
    <w:p w14:paraId="7E2BB99F">
      <w:pPr>
        <w:keepNext w:val="0"/>
        <w:keepLines w:val="0"/>
        <w:widowControl w:val="0"/>
        <w:suppressLineNumbers w:val="0"/>
        <w:spacing w:before="0" w:beforeAutospacing="0" w:after="0" w:afterAutospacing="0" w:line="592" w:lineRule="exact"/>
        <w:ind w:left="0" w:right="0" w:firstLine="640"/>
        <w:jc w:val="center"/>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刘</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建</w:t>
      </w: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中</w:t>
      </w:r>
    </w:p>
    <w:p w14:paraId="6EC189A2">
      <w:pPr>
        <w:keepNext w:val="0"/>
        <w:keepLines w:val="0"/>
        <w:widowControl w:val="0"/>
        <w:suppressLineNumbers w:val="0"/>
        <w:wordWrap w:val="0"/>
        <w:spacing w:before="0" w:beforeAutospacing="0" w:after="0" w:afterAutospacing="0" w:line="592" w:lineRule="exact"/>
        <w:ind w:left="0" w:right="0" w:firstLine="64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李</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臻</w:t>
      </w:r>
    </w:p>
    <w:p w14:paraId="320572DC">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65C43156">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75FA23D2">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p w14:paraId="17B91053">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bidi="ar"/>
        </w:rPr>
        <w:t xml:space="preserve"> </w:t>
      </w:r>
    </w:p>
    <w:tbl>
      <w:tblPr>
        <w:tblStyle w:val="2"/>
        <w:tblW w:w="0" w:type="auto"/>
        <w:tblInd w:w="3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3"/>
      </w:tblGrid>
      <w:tr w14:paraId="18FB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3" w:type="dxa"/>
            <w:tcBorders>
              <w:top w:val="nil"/>
              <w:left w:val="nil"/>
              <w:bottom w:val="nil"/>
              <w:right w:val="nil"/>
            </w:tcBorders>
            <w:noWrap w:val="0"/>
            <w:vAlign w:val="top"/>
          </w:tcPr>
          <w:p w14:paraId="2946ADDF">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二</w:t>
            </w:r>
            <w:r>
              <w:rPr>
                <w:rFonts w:hint="eastAsia" w:ascii="仿宋_GB2312" w:hAnsi="宋体" w:eastAsia="仿宋_GB2312" w:cs="仿宋_GB2312"/>
                <w:spacing w:val="14"/>
                <w:kern w:val="0"/>
                <w:sz w:val="32"/>
                <w:szCs w:val="32"/>
                <w:lang w:val="en-US" w:eastAsia="zh-CN" w:bidi="ar"/>
              </w:rPr>
              <w:t>○</w:t>
            </w:r>
            <w:r>
              <w:rPr>
                <w:rFonts w:hint="eastAsia" w:ascii="仿宋_GB2312" w:hAnsi="Times New Roman" w:eastAsia="仿宋_GB2312" w:cs="仿宋_GB2312"/>
                <w:kern w:val="2"/>
                <w:sz w:val="32"/>
                <w:szCs w:val="32"/>
                <w:lang w:val="en-US" w:eastAsia="zh-CN" w:bidi="ar"/>
              </w:rPr>
              <w:t>二三年八月二十九日</w:t>
            </w:r>
          </w:p>
        </w:tc>
      </w:tr>
    </w:tbl>
    <w:p w14:paraId="35F78860">
      <w:pPr>
        <w:keepNext w:val="0"/>
        <w:keepLines w:val="0"/>
        <w:widowControl w:val="0"/>
        <w:suppressLineNumbers w:val="0"/>
        <w:spacing w:before="0" w:beforeAutospacing="0" w:after="0" w:afterAutospacing="0" w:line="592" w:lineRule="exact"/>
        <w:ind w:left="0" w:right="0" w:firstLine="64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本件与原本核对无异</w:t>
      </w:r>
    </w:p>
    <w:p w14:paraId="15590266">
      <w:pPr>
        <w:keepNext w:val="0"/>
        <w:keepLines w:val="0"/>
        <w:widowControl w:val="0"/>
        <w:suppressLineNumbers w:val="0"/>
        <w:spacing w:before="0" w:beforeAutospacing="0" w:after="0" w:afterAutospacing="0" w:line="360" w:lineRule="auto"/>
        <w:ind w:left="0" w:right="0" w:firstLine="645"/>
        <w:jc w:val="both"/>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32"/>
          <w:szCs w:val="32"/>
          <w:lang w:val="en-US" w:eastAsia="zh-CN" w:bidi="ar"/>
        </w:rPr>
        <w:t xml:space="preserve">                      </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书</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记</w:t>
      </w:r>
      <w:r>
        <w:rPr>
          <w:rFonts w:hint="eastAsia"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Times New Roman"/>
          <w:kern w:val="2"/>
          <w:sz w:val="32"/>
          <w:szCs w:val="32"/>
          <w:lang w:val="en-US" w:eastAsia="zh-CN" w:bidi="ar"/>
        </w:rPr>
        <w:t xml:space="preserve"> </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刘</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雨</w:t>
      </w:r>
      <w:r>
        <w:rPr>
          <w:rFonts w:hint="default" w:ascii="Times New Roman" w:hAnsi="Times New Roman" w:eastAsia="仿宋_GB2312" w:cs="Times New Roman"/>
          <w:kern w:val="0"/>
          <w:sz w:val="32"/>
          <w:szCs w:val="32"/>
          <w:lang w:val="en-US" w:eastAsia="zh-CN" w:bidi="ar"/>
        </w:rPr>
        <w:t xml:space="preserve">  </w:t>
      </w:r>
      <w:r>
        <w:rPr>
          <w:rFonts w:hint="eastAsia" w:ascii="仿宋_GB2312" w:hAnsi="Times New Roman" w:eastAsia="仿宋_GB2312" w:cs="仿宋_GB2312"/>
          <w:kern w:val="0"/>
          <w:sz w:val="32"/>
          <w:szCs w:val="32"/>
          <w:lang w:val="en-US" w:eastAsia="zh-CN" w:bidi="ar"/>
        </w:rPr>
        <w:t>潇</w:t>
      </w:r>
    </w:p>
    <w:p w14:paraId="14B6941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EFB08FE"/>
    <w:rsid w:val="172266C1"/>
    <w:rsid w:val="7EFB08FE"/>
    <w:rsid w:val="EFDE94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
      <w:tblCellMar>
        <w:top w:w="0" w:type="dxa"/>
        <w:left w:w="108" w:type="dxa"/>
        <w:bottom w:w="0" w:type="dxa"/>
        <w:right w:w="108" w:type="dxa"/>
      </w:tblCellMar>
    </w:tblPr>
  </w:style>
  <w:style w:type="character" w:styleId="4">
    <w:name w:val="Hyperlink"/>
    <w:basedOn w:val="3"/>
    <w:uiPriority w:val="0"/>
    <w:rPr>
      <w:color w:val="0000FF"/>
      <w:u w:val="single"/>
    </w:rPr>
  </w:style>
  <w:style w:type="character" w:customStyle="1" w:styleId="5">
    <w:name w:val="15"/>
    <w:basedOn w:val="3"/>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2026-07-01T16:47:00Z</dcterms:created>
  <dc:creator>王莉莉</dc:creator>
  <cp:lastModifiedBy>Laurent</cp:lastModifiedBy>
  <dcterms:modified xsi:type="dcterms:W3CDTF">2026-07-18T05:49:03Z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7DFBCA517BC24303981D08B9789664D5_13</vt:lpwstr>
  </property>
</Properties>
</file>