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C1061">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2B89C211">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6B37927E">
      <w:pPr>
        <w:keepNext w:val="0"/>
        <w:keepLines w:val="0"/>
        <w:widowControl w:val="0"/>
        <w:suppressLineNumbers w:val="0"/>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F277468">
      <w:pPr>
        <w:keepNext w:val="0"/>
        <w:keepLines w:val="0"/>
        <w:widowControl w:val="0"/>
        <w:suppressLineNumbers w:val="0"/>
        <w:wordWrap w:val="0"/>
        <w:spacing w:before="0" w:beforeAutospacing="0" w:after="0" w:afterAutospacing="0" w:line="360" w:lineRule="exact"/>
        <w:ind w:left="0" w:right="0" w:firstLine="573"/>
        <w:jc w:val="righ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500</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 xml:space="preserve">   </w:t>
      </w:r>
    </w:p>
    <w:p w14:paraId="1250F132">
      <w:pPr>
        <w:keepNext w:val="0"/>
        <w:keepLines w:val="0"/>
        <w:widowControl w:val="0"/>
        <w:suppressLineNumbers w:val="0"/>
        <w:spacing w:before="0" w:beforeAutospacing="0" w:after="0" w:afterAutospacing="0" w:line="340" w:lineRule="exact"/>
        <w:ind w:left="0" w:right="0" w:firstLine="556" w:firstLineChars="174"/>
        <w:jc w:val="center"/>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56A3755">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上诉人（原审被告）：李某，男，汉族，住山东省定陶县马集镇李刘楼行政村。</w:t>
      </w:r>
    </w:p>
    <w:p w14:paraId="22D69915">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kern w:val="2"/>
          <w:sz w:val="32"/>
          <w:szCs w:val="32"/>
          <w:lang w:val="en-US" w:eastAsia="zh-CN" w:bidi="ar"/>
        </w:rPr>
        <w:t>被上诉人（原审原告）：深圳市启某科技有限公司，住所地广东省深圳市罗湖区。</w:t>
      </w:r>
    </w:p>
    <w:p w14:paraId="04E8506D">
      <w:pPr>
        <w:keepNext w:val="0"/>
        <w:keepLines w:val="0"/>
        <w:widowControl w:val="0"/>
        <w:suppressLineNumbers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color w:val="000000"/>
          <w:kern w:val="2"/>
          <w:sz w:val="32"/>
          <w:szCs w:val="32"/>
          <w:lang w:val="en-US" w:eastAsia="zh-CN" w:bidi="ar"/>
        </w:rPr>
        <w:t>上诉人李某因与被上诉人深圳市启某科技有限公司（以下简称启某公司）侵害外观设计专利权纠纷一案，不服浙江省宁波市中级人民法院（</w:t>
      </w:r>
      <w:r>
        <w:rPr>
          <w:rFonts w:hint="default" w:ascii="Times New Roman" w:hAnsi="Times New Roman" w:eastAsia="仿宋_GB2312" w:cs="Times New Roman"/>
          <w:color w:val="000000"/>
          <w:kern w:val="2"/>
          <w:sz w:val="32"/>
          <w:szCs w:val="32"/>
          <w:lang w:val="en-US" w:eastAsia="zh-CN" w:bidi="ar"/>
        </w:rPr>
        <w:t>2021</w:t>
      </w:r>
      <w:r>
        <w:rPr>
          <w:rFonts w:hint="eastAsia" w:ascii="仿宋_GB2312" w:hAnsi="Times New Roman" w:eastAsia="仿宋_GB2312" w:cs="仿宋_GB2312"/>
          <w:color w:val="000000"/>
          <w:kern w:val="2"/>
          <w:sz w:val="32"/>
          <w:szCs w:val="32"/>
          <w:lang w:val="en-US" w:eastAsia="zh-CN" w:bidi="ar"/>
        </w:rPr>
        <w:t>）浙</w:t>
      </w:r>
      <w:r>
        <w:rPr>
          <w:rFonts w:hint="default" w:ascii="Times New Roman" w:hAnsi="Times New Roman" w:eastAsia="仿宋_GB2312" w:cs="Times New Roman"/>
          <w:color w:val="000000"/>
          <w:kern w:val="2"/>
          <w:sz w:val="32"/>
          <w:szCs w:val="32"/>
          <w:lang w:val="en-US" w:eastAsia="zh-CN" w:bidi="ar"/>
        </w:rPr>
        <w:t>02</w:t>
      </w:r>
      <w:r>
        <w:rPr>
          <w:rFonts w:hint="eastAsia" w:ascii="仿宋_GB2312" w:hAnsi="Times New Roman" w:eastAsia="仿宋_GB2312" w:cs="仿宋_GB2312"/>
          <w:color w:val="000000"/>
          <w:kern w:val="2"/>
          <w:sz w:val="32"/>
          <w:szCs w:val="32"/>
          <w:lang w:val="en-US" w:eastAsia="zh-CN" w:bidi="ar"/>
        </w:rPr>
        <w:t>民初</w:t>
      </w:r>
      <w:r>
        <w:rPr>
          <w:rFonts w:hint="default" w:ascii="Times New Roman" w:hAnsi="Times New Roman" w:eastAsia="仿宋_GB2312" w:cs="Times New Roman"/>
          <w:color w:val="000000"/>
          <w:kern w:val="2"/>
          <w:sz w:val="32"/>
          <w:szCs w:val="32"/>
          <w:lang w:val="en-US" w:eastAsia="zh-CN" w:bidi="ar"/>
        </w:rPr>
        <w:t>476</w:t>
      </w:r>
      <w:r>
        <w:rPr>
          <w:rFonts w:hint="eastAsia" w:ascii="仿宋_GB2312" w:hAnsi="Times New Roman" w:eastAsia="仿宋_GB2312" w:cs="仿宋_GB2312"/>
          <w:color w:val="000000"/>
          <w:kern w:val="2"/>
          <w:sz w:val="32"/>
          <w:szCs w:val="32"/>
          <w:lang w:val="en-US" w:eastAsia="zh-CN" w:bidi="ar"/>
        </w:rPr>
        <w:t>号民事判决，向本院提起上诉。</w:t>
      </w:r>
      <w:r>
        <w:rPr>
          <w:rFonts w:hint="eastAsia" w:ascii="仿宋_GB2312" w:hAnsi="Times New Roman" w:eastAsia="仿宋_GB2312" w:cs="仿宋_GB2312"/>
          <w:kern w:val="2"/>
          <w:sz w:val="32"/>
          <w:szCs w:val="32"/>
          <w:lang w:val="en-US" w:eastAsia="zh-CN" w:bidi="ar"/>
        </w:rPr>
        <w:t>本院于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日立案后，依法组成合议庭进行了审理。经查，原审被告宁波慕某科技有限公司（以下简称慕某公司）已于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日注销，该公司为李某独资的有限责任公司，故本院依法变更李某为本案当事人，李某对此无异议。本案于同年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日公开开庭进行了审理，上诉人李某到庭参加诉讼，被上诉人</w:t>
      </w:r>
      <w:r>
        <w:rPr>
          <w:rFonts w:hint="eastAsia" w:ascii="仿宋_GB2312" w:hAnsi="Times New Roman" w:eastAsia="仿宋_GB2312" w:cs="仿宋_GB2312"/>
          <w:color w:val="000000"/>
          <w:kern w:val="2"/>
          <w:sz w:val="32"/>
          <w:szCs w:val="32"/>
          <w:lang w:val="en-US" w:eastAsia="zh-CN" w:bidi="ar"/>
        </w:rPr>
        <w:t>启某公司</w:t>
      </w:r>
      <w:r>
        <w:rPr>
          <w:rFonts w:hint="eastAsia" w:ascii="仿宋_GB2312" w:hAnsi="Times New Roman" w:eastAsia="仿宋_GB2312" w:cs="仿宋_GB2312"/>
          <w:kern w:val="2"/>
          <w:sz w:val="32"/>
          <w:szCs w:val="32"/>
          <w:lang w:val="en-US" w:eastAsia="zh-CN" w:bidi="ar"/>
        </w:rPr>
        <w:t>经本院传票传唤，无正当理由拒不到庭，本院依法缺席审理。本案现已审理终结。</w:t>
      </w:r>
    </w:p>
    <w:p w14:paraId="3F46BA1D">
      <w:pPr>
        <w:keepNext w:val="0"/>
        <w:keepLines w:val="0"/>
        <w:widowControl w:val="0"/>
        <w:suppressLineNumbers w:val="0"/>
        <w:autoSpaceDE w:val="0"/>
        <w:autoSpaceDN w:val="0"/>
        <w:adjustRightInd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李某上诉请求：撤销一审判决，驳回启某公司的起诉或改判慕某公司及其股东不承担赔偿责任，本案诉讼费由启某公司承担。事实和理由：（一）慕某公司主体不适格，其已经过法定程序清算完毕并完成了注销登记，不再具备诉讼主体资格，一审法院缺席审理并判令其承担赔偿责任有误。（二）被诉侵权产品全部由启某公司购买，慕某公司已经没有库存且已删除了相关销售链接，一审法院判令慕某公司停止销售、许诺销售被诉侵权产品并销毁库存不具有事实基础。（三）被诉侵权产品具有合法来源，产品外包装标注有生产厂家、产品合格证等信息，慕某公司不知道该产品构成侵权，其已经在合理范围内尽到了注意义务，不应当承担赔偿责任。（四）慕某公司经清算净资产</w:t>
      </w:r>
      <w:r>
        <w:rPr>
          <w:rFonts w:hint="default" w:ascii="Times New Roman" w:hAnsi="Times New Roman" w:eastAsia="仿宋_GB2312" w:cs="Times New Roman"/>
          <w:kern w:val="2"/>
          <w:sz w:val="32"/>
          <w:szCs w:val="32"/>
          <w:lang w:val="en-US" w:eastAsia="zh-CN" w:bidi="ar"/>
        </w:rPr>
        <w:t>1000</w:t>
      </w:r>
      <w:r>
        <w:rPr>
          <w:rFonts w:hint="eastAsia" w:ascii="仿宋_GB2312" w:hAnsi="Times New Roman" w:eastAsia="仿宋_GB2312" w:cs="仿宋_GB2312"/>
          <w:kern w:val="2"/>
          <w:sz w:val="32"/>
          <w:szCs w:val="32"/>
          <w:lang w:val="en-US" w:eastAsia="zh-CN" w:bidi="ar"/>
        </w:rPr>
        <w:t>元，应当以该资产为限承担对外债务，且公司和股东均无须对公司以前的债务承担责任。二审庭审中，李某放弃关于其无须对慕某公司注销后的债务承担责任的上诉理由。</w:t>
      </w:r>
    </w:p>
    <w:p w14:paraId="02E5E06D">
      <w:pPr>
        <w:keepNext w:val="0"/>
        <w:keepLines w:val="0"/>
        <w:widowControl w:val="0"/>
        <w:suppressLineNumbers w:val="0"/>
        <w:autoSpaceDE w:val="0"/>
        <w:autoSpaceDN w:val="0"/>
        <w:adjustRightInd w:val="0"/>
        <w:spacing w:before="0" w:beforeAutospacing="0" w:after="0" w:afterAutospacing="0" w:line="57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启某公司提交书面答辩意见称：（一）李某的合法来源抗辩不能成立，一审判决应予以维持。</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慕某公司在一审举证期限内未提供任何证据，也未说明理由，甚至拒不到庭参加诉讼，其二审提供的证据也不属于新的证据，一审判决并不存在法律适用错误。</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即便李某能证明被诉侵权产品系购自案外人，慕某公司在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一件代发</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的销售模式中谋取暴利，未支付合理对价，在主观上存在侵权故意，其合法来源抗辩不能成立。（二）慕某公司并未依法注销，且股东李某应当对该公司债务承担无限连带责任。</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一审法院受理本案后曾联系李某调解，并于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日向其依法送达开庭传票，李某明知涉诉而于同年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21</w:t>
      </w:r>
      <w:r>
        <w:rPr>
          <w:rFonts w:hint="eastAsia" w:ascii="仿宋_GB2312" w:hAnsi="Times New Roman" w:eastAsia="仿宋_GB2312" w:cs="仿宋_GB2312"/>
          <w:kern w:val="2"/>
          <w:sz w:val="32"/>
          <w:szCs w:val="32"/>
          <w:lang w:val="en-US" w:eastAsia="zh-CN" w:bidi="ar"/>
        </w:rPr>
        <w:t>日临近开庭时出具清算报告，</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日仓促注销公司，系为了逃避诉讼及相应的法律责任，因此慕某公司的清算属于非法清算。</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慕某公司清算报告载明</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债权债务已清理完毕；若有未尽债务，股东承诺按出资比例承担责任</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。慕某公司属于一人有限责任公司，应由股东李某承担未尽债务，且根据《中华人民共和国公司法》规定，一人有限责任公司的股东不能证明公司财产独立于股东自身财产的，应当对公司债务承担连带责任。</w:t>
      </w:r>
    </w:p>
    <w:p w14:paraId="16157BD1">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启某公司向一审法院起诉，请求判令慕某公司：</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Times New Roman" w:eastAsia="仿宋_GB2312" w:cs="仿宋_GB2312"/>
          <w:color w:val="000000"/>
          <w:kern w:val="0"/>
          <w:sz w:val="32"/>
          <w:szCs w:val="32"/>
          <w:lang w:val="en-US" w:eastAsia="zh-CN" w:bidi="ar"/>
        </w:rPr>
        <w:t>立即停止对启某公司享有的名称为</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玩具泡泡相机（</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Times New Roman"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、专利号为</w:t>
      </w:r>
      <w:r>
        <w:rPr>
          <w:rFonts w:hint="default" w:ascii="Times New Roman" w:hAnsi="Times New Roman" w:eastAsia="仿宋_GB2312" w:cs="Times New Roman"/>
          <w:color w:val="000000"/>
          <w:kern w:val="0"/>
          <w:sz w:val="32"/>
          <w:szCs w:val="32"/>
          <w:lang w:val="en-US" w:eastAsia="zh-CN" w:bidi="ar"/>
        </w:rPr>
        <w:t>ZL</w:t>
      </w:r>
      <w:r>
        <w:rPr>
          <w:rFonts w:hint="eastAsia" w:ascii="Times New Roman" w:hAnsi="Times New Roman" w:eastAsia="仿宋_GB2312" w:cs="Times New Roman"/>
          <w:color w:val="000000"/>
          <w:kern w:val="0"/>
          <w:sz w:val="32"/>
          <w:szCs w:val="32"/>
          <w:lang w:val="en-US" w:eastAsia="zh-CN" w:bidi="ar"/>
        </w:rPr>
        <w:t>2019xxxx9581.9</w:t>
      </w:r>
      <w:r>
        <w:rPr>
          <w:rFonts w:hint="eastAsia" w:ascii="仿宋_GB2312" w:hAnsi="Times New Roman" w:eastAsia="仿宋_GB2312" w:cs="仿宋_GB2312"/>
          <w:color w:val="000000"/>
          <w:kern w:val="0"/>
          <w:sz w:val="32"/>
          <w:szCs w:val="32"/>
          <w:lang w:val="en-US" w:eastAsia="zh-CN" w:bidi="ar"/>
        </w:rPr>
        <w:t>的外观设计专利的侵权行为</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并销毁库存侵权产品；</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Times New Roman" w:eastAsia="仿宋_GB2312" w:cs="仿宋_GB2312"/>
          <w:color w:val="000000"/>
          <w:kern w:val="0"/>
          <w:sz w:val="32"/>
          <w:szCs w:val="32"/>
          <w:lang w:val="en-US" w:eastAsia="zh-CN" w:bidi="ar"/>
        </w:rPr>
        <w:t>赔偿启某公司经济损失及为制止侵权所支付的合理费用共计</w:t>
      </w:r>
      <w:r>
        <w:rPr>
          <w:rFonts w:hint="default" w:ascii="Times New Roman" w:hAnsi="Times New Roman" w:eastAsia="仿宋_GB2312" w:cs="Times New Roman"/>
          <w:color w:val="000000"/>
          <w:kern w:val="0"/>
          <w:sz w:val="32"/>
          <w:szCs w:val="32"/>
          <w:lang w:val="en-US" w:eastAsia="zh-CN" w:bidi="ar"/>
        </w:rPr>
        <w:t>5</w:t>
      </w:r>
      <w:r>
        <w:rPr>
          <w:rFonts w:hint="eastAsia" w:ascii="仿宋_GB2312" w:hAnsi="Times New Roman" w:eastAsia="仿宋_GB2312" w:cs="仿宋_GB2312"/>
          <w:color w:val="000000"/>
          <w:kern w:val="0"/>
          <w:sz w:val="32"/>
          <w:szCs w:val="32"/>
          <w:lang w:val="en-US" w:eastAsia="zh-CN" w:bidi="ar"/>
        </w:rPr>
        <w:t>万元。</w:t>
      </w:r>
    </w:p>
    <w:p w14:paraId="2A6FE707">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一审法院认定事实：</w:t>
      </w:r>
      <w:r>
        <w:rPr>
          <w:rFonts w:hint="default" w:ascii="Times New Roman" w:hAnsi="Times New Roman" w:eastAsia="仿宋_GB2312" w:cs="Times New Roman"/>
          <w:color w:val="000000"/>
          <w:kern w:val="0"/>
          <w:sz w:val="32"/>
          <w:szCs w:val="32"/>
          <w:lang w:val="en-US" w:eastAsia="zh-CN" w:bidi="ar"/>
        </w:rPr>
        <w:t>2019</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6</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19</w:t>
      </w:r>
      <w:r>
        <w:rPr>
          <w:rFonts w:hint="eastAsia" w:ascii="仿宋_GB2312" w:hAnsi="Times New Roman" w:eastAsia="仿宋_GB2312" w:cs="仿宋_GB2312"/>
          <w:color w:val="000000"/>
          <w:kern w:val="0"/>
          <w:sz w:val="32"/>
          <w:szCs w:val="32"/>
          <w:lang w:val="en-US" w:eastAsia="zh-CN" w:bidi="ar"/>
        </w:rPr>
        <w:t>日，案外人吴某歆向国家知识产权局申请涉案专利权，同年</w:t>
      </w:r>
      <w:r>
        <w:rPr>
          <w:rFonts w:hint="default" w:ascii="Times New Roman" w:hAnsi="Times New Roman" w:eastAsia="仿宋_GB2312" w:cs="Times New Roman"/>
          <w:color w:val="000000"/>
          <w:kern w:val="0"/>
          <w:sz w:val="32"/>
          <w:szCs w:val="32"/>
          <w:lang w:val="en-US" w:eastAsia="zh-CN" w:bidi="ar"/>
        </w:rPr>
        <w:t>12</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17</w:t>
      </w:r>
      <w:r>
        <w:rPr>
          <w:rFonts w:hint="eastAsia" w:ascii="仿宋_GB2312" w:hAnsi="Times New Roman" w:eastAsia="仿宋_GB2312" w:cs="仿宋_GB2312"/>
          <w:color w:val="000000"/>
          <w:kern w:val="0"/>
          <w:sz w:val="32"/>
          <w:szCs w:val="32"/>
          <w:lang w:val="en-US" w:eastAsia="zh-CN" w:bidi="ar"/>
        </w:rPr>
        <w:t>日该专利经核准授权，该专利现属有效。</w:t>
      </w:r>
      <w:r>
        <w:rPr>
          <w:rFonts w:hint="default" w:ascii="Times New Roman" w:hAnsi="Times New Roman" w:eastAsia="仿宋_GB2312" w:cs="Times New Roman"/>
          <w:color w:val="000000"/>
          <w:kern w:val="0"/>
          <w:sz w:val="32"/>
          <w:szCs w:val="32"/>
          <w:lang w:val="en-US" w:eastAsia="zh-CN" w:bidi="ar"/>
        </w:rPr>
        <w:t>2020</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Times New Roman" w:eastAsia="仿宋_GB2312" w:cs="仿宋_GB2312"/>
          <w:color w:val="000000"/>
          <w:kern w:val="0"/>
          <w:sz w:val="32"/>
          <w:szCs w:val="32"/>
          <w:lang w:val="en-US" w:eastAsia="zh-CN" w:bidi="ar"/>
        </w:rPr>
        <w:t>日，权利人将上述外观设计专利独占许可给启某公司使用，启某公司有权以自身名义就侵害涉案专利权的行为开展维权，专利许可使用期限为</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15</w:t>
      </w:r>
      <w:r>
        <w:rPr>
          <w:rFonts w:hint="eastAsia" w:ascii="仿宋_GB2312" w:hAnsi="Times New Roman" w:eastAsia="仿宋_GB2312" w:cs="仿宋_GB2312"/>
          <w:color w:val="000000"/>
          <w:kern w:val="0"/>
          <w:sz w:val="32"/>
          <w:szCs w:val="32"/>
          <w:lang w:val="en-US" w:eastAsia="zh-CN" w:bidi="ar"/>
        </w:rPr>
        <w:t>日。国家知识产权局出具了针对涉案专利的评价报告，结论为符合授权条件。</w:t>
      </w:r>
      <w:r>
        <w:rPr>
          <w:rFonts w:hint="default" w:ascii="Times New Roman" w:hAnsi="Times New Roman" w:eastAsia="仿宋_GB2312" w:cs="Times New Roman"/>
          <w:color w:val="000000"/>
          <w:kern w:val="0"/>
          <w:sz w:val="32"/>
          <w:szCs w:val="32"/>
          <w:lang w:val="en-US" w:eastAsia="zh-CN" w:bidi="ar"/>
        </w:rPr>
        <w:t>2020</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11</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6</w:t>
      </w:r>
      <w:r>
        <w:rPr>
          <w:rFonts w:hint="eastAsia" w:ascii="仿宋_GB2312" w:hAnsi="Times New Roman" w:eastAsia="仿宋_GB2312" w:cs="仿宋_GB2312"/>
          <w:color w:val="000000"/>
          <w:kern w:val="0"/>
          <w:sz w:val="32"/>
          <w:szCs w:val="32"/>
          <w:lang w:val="en-US" w:eastAsia="zh-CN" w:bidi="ar"/>
        </w:rPr>
        <w:t>日，启某公司的委托代理人通过可信时间戳认证方式对在</w:t>
      </w:r>
      <w:r>
        <w:rPr>
          <w:rFonts w:hint="default" w:ascii="Times New Roman" w:hAnsi="Times New Roman" w:eastAsia="仿宋_GB2312" w:cs="Times New Roman"/>
          <w:color w:val="000000"/>
          <w:kern w:val="0"/>
          <w:sz w:val="32"/>
          <w:szCs w:val="32"/>
          <w:lang w:val="en-US" w:eastAsia="zh-CN" w:bidi="ar"/>
        </w:rPr>
        <w:t>1688</w:t>
      </w:r>
      <w:r>
        <w:rPr>
          <w:rFonts w:hint="eastAsia" w:ascii="仿宋_GB2312" w:hAnsi="Times New Roman" w:eastAsia="仿宋_GB2312" w:cs="仿宋_GB2312"/>
          <w:color w:val="000000"/>
          <w:kern w:val="0"/>
          <w:sz w:val="32"/>
          <w:szCs w:val="32"/>
          <w:lang w:val="en-US" w:eastAsia="zh-CN" w:bidi="ar"/>
        </w:rPr>
        <w:t>平台网店购买被诉侵权产品的过程进行了保存，该店铺经营者信息显示为慕某公司。经一审庭审比对，被诉侵权设计与授权外观设计相比整体形状相同，区别点在于动物腮部圆形图案。一审另查明，启某公司为本案诉讼支付了一定的维权合理费用。</w:t>
      </w:r>
    </w:p>
    <w:p w14:paraId="55F8CE0F">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一审法院认为，本案的争议焦点为：一、被诉侵权设计是否落入涉案专利权保护范围；二、如果侵权成立则慕某公司的侵权责任如何承担。</w:t>
      </w:r>
    </w:p>
    <w:p w14:paraId="24997B11">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关于被诉侵权设计是否落入涉案专利权保护范围。经一审比对，被诉侵权设计与授权外观设计相比仅有动物面部图案微小差别，从一般消费者的角度观察难以察觉两者存在明显的区别，可以认定被诉侵权设计落入了涉案外观设计专利权的保护范围。关于慕某公司的责任承担，慕某公司未经启某公司许可，擅自销售、许诺销售落入涉案专利权保护范围的被诉侵权产品，构成专利法上的专利侵权行为，应当承担停止侵权及赔偿损失的民事责任。关于具体赔偿金额，应结合涉案专利的类型及创新程度、涉案专利的实际投入使用情况、被诉侵权产品的售价、慕某公司侵权的性质和范围等因素综合酌定。慕某公司未到庭，该院依法缺席判决。</w:t>
      </w:r>
    </w:p>
    <w:p w14:paraId="40157148">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综上所述，启某公司的部分诉讼请求具有事实和法律依据，该院依法予以支持。依照《中华人民共和国专利法》（</w:t>
      </w:r>
      <w:r>
        <w:rPr>
          <w:rFonts w:hint="default" w:ascii="Times New Roman" w:hAnsi="Times New Roman" w:eastAsia="仿宋_GB2312" w:cs="Times New Roman"/>
          <w:color w:val="000000"/>
          <w:kern w:val="0"/>
          <w:sz w:val="32"/>
          <w:szCs w:val="32"/>
          <w:lang w:val="en-US" w:eastAsia="zh-CN" w:bidi="ar"/>
        </w:rPr>
        <w:t>2008</w:t>
      </w:r>
      <w:r>
        <w:rPr>
          <w:rFonts w:hint="eastAsia" w:ascii="仿宋_GB2312" w:hAnsi="Times New Roman" w:eastAsia="仿宋_GB2312" w:cs="仿宋_GB2312"/>
          <w:color w:val="000000"/>
          <w:kern w:val="0"/>
          <w:sz w:val="32"/>
          <w:szCs w:val="32"/>
          <w:lang w:val="en-US" w:eastAsia="zh-CN" w:bidi="ar"/>
        </w:rPr>
        <w:t>年修正，下同）第十一条第二款、第五十九条第二款、第六十五条，《中华人民共和国民事诉讼法》第一百四十四条的规定，一审法院于</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6</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18</w:t>
      </w:r>
      <w:r>
        <w:rPr>
          <w:rFonts w:hint="eastAsia" w:ascii="仿宋_GB2312" w:hAnsi="Times New Roman" w:eastAsia="仿宋_GB2312" w:cs="仿宋_GB2312"/>
          <w:color w:val="000000"/>
          <w:kern w:val="0"/>
          <w:sz w:val="32"/>
          <w:szCs w:val="32"/>
          <w:lang w:val="en-US" w:eastAsia="zh-CN" w:bidi="ar"/>
        </w:rPr>
        <w:t>日判决：一、慕某公司于判决生效之日起立即停止侵害启某公司享有独占许可实施权的名称为“玩具泡泡相机（</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Times New Roman"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、专利号为</w:t>
      </w:r>
      <w:r>
        <w:rPr>
          <w:rFonts w:hint="default" w:ascii="Times New Roman" w:hAnsi="Times New Roman" w:eastAsia="仿宋_GB2312" w:cs="Times New Roman"/>
          <w:color w:val="000000"/>
          <w:kern w:val="0"/>
          <w:sz w:val="32"/>
          <w:szCs w:val="32"/>
          <w:lang w:val="en-US" w:eastAsia="zh-CN" w:bidi="ar"/>
        </w:rPr>
        <w:t>ZL</w:t>
      </w:r>
      <w:r>
        <w:rPr>
          <w:rFonts w:hint="eastAsia" w:ascii="Times New Roman" w:hAnsi="Times New Roman" w:eastAsia="仿宋_GB2312" w:cs="Times New Roman"/>
          <w:color w:val="000000"/>
          <w:kern w:val="0"/>
          <w:sz w:val="32"/>
          <w:szCs w:val="32"/>
          <w:lang w:val="en-US" w:eastAsia="zh-CN" w:bidi="ar"/>
        </w:rPr>
        <w:t>2019xxxx9581.9</w:t>
      </w:r>
      <w:r>
        <w:rPr>
          <w:rFonts w:hint="eastAsia" w:ascii="仿宋_GB2312" w:hAnsi="Times New Roman" w:eastAsia="仿宋_GB2312" w:cs="仿宋_GB2312"/>
          <w:color w:val="000000"/>
          <w:kern w:val="0"/>
          <w:sz w:val="32"/>
          <w:szCs w:val="32"/>
          <w:lang w:val="en-US" w:eastAsia="zh-CN" w:bidi="ar"/>
        </w:rPr>
        <w:t>的外观设计专利权产品的行为，即立即停止销售、许诺销售落入上述外观设计专利保护范围的被诉侵权产品的行为并销毁库存产品；二、慕某公司赔偿启某公司经济损失及合理费用</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Times New Roman" w:eastAsia="仿宋_GB2312" w:cs="仿宋_GB2312"/>
          <w:color w:val="000000"/>
          <w:kern w:val="0"/>
          <w:sz w:val="32"/>
          <w:szCs w:val="32"/>
          <w:lang w:val="en-US" w:eastAsia="zh-CN" w:bidi="ar"/>
        </w:rPr>
        <w:t>万元；三、驳回启某公司的其他诉讼请求。如果未按判决指定的期间履行给付金钱义务，应当依照《中华人民共和国民事诉讼法》第二百五十三条及相关司法解释之规定，加倍支付迟延履行期间的债务利息。一审案件受理费</w:t>
      </w:r>
      <w:r>
        <w:rPr>
          <w:rFonts w:hint="default" w:ascii="Times New Roman" w:hAnsi="Times New Roman" w:eastAsia="仿宋_GB2312" w:cs="Times New Roman"/>
          <w:color w:val="000000"/>
          <w:kern w:val="0"/>
          <w:sz w:val="32"/>
          <w:szCs w:val="32"/>
          <w:lang w:val="en-US" w:eastAsia="zh-CN" w:bidi="ar"/>
        </w:rPr>
        <w:t>1050</w:t>
      </w:r>
      <w:r>
        <w:rPr>
          <w:rFonts w:hint="eastAsia" w:ascii="仿宋_GB2312" w:hAnsi="Times New Roman" w:eastAsia="仿宋_GB2312" w:cs="仿宋_GB2312"/>
          <w:color w:val="000000"/>
          <w:kern w:val="0"/>
          <w:sz w:val="32"/>
          <w:szCs w:val="32"/>
          <w:lang w:val="en-US" w:eastAsia="zh-CN" w:bidi="ar"/>
        </w:rPr>
        <w:t>元，由启某公司负担</w:t>
      </w:r>
      <w:r>
        <w:rPr>
          <w:rFonts w:hint="default" w:ascii="Times New Roman" w:hAnsi="Times New Roman" w:eastAsia="仿宋_GB2312" w:cs="Times New Roman"/>
          <w:color w:val="000000"/>
          <w:kern w:val="0"/>
          <w:sz w:val="32"/>
          <w:szCs w:val="32"/>
          <w:lang w:val="en-US" w:eastAsia="zh-CN" w:bidi="ar"/>
        </w:rPr>
        <w:t>420</w:t>
      </w:r>
      <w:r>
        <w:rPr>
          <w:rFonts w:hint="eastAsia" w:ascii="仿宋_GB2312" w:hAnsi="Times New Roman" w:eastAsia="仿宋_GB2312" w:cs="仿宋_GB2312"/>
          <w:color w:val="000000"/>
          <w:kern w:val="0"/>
          <w:sz w:val="32"/>
          <w:szCs w:val="32"/>
          <w:lang w:val="en-US" w:eastAsia="zh-CN" w:bidi="ar"/>
        </w:rPr>
        <w:t>元，慕某公司负担</w:t>
      </w:r>
      <w:r>
        <w:rPr>
          <w:rFonts w:hint="default" w:ascii="Times New Roman" w:hAnsi="Times New Roman" w:eastAsia="仿宋_GB2312" w:cs="Times New Roman"/>
          <w:color w:val="000000"/>
          <w:kern w:val="0"/>
          <w:sz w:val="32"/>
          <w:szCs w:val="32"/>
          <w:lang w:val="en-US" w:eastAsia="zh-CN" w:bidi="ar"/>
        </w:rPr>
        <w:t>630</w:t>
      </w:r>
      <w:r>
        <w:rPr>
          <w:rFonts w:hint="eastAsia" w:ascii="仿宋_GB2312" w:hAnsi="Times New Roman" w:eastAsia="仿宋_GB2312" w:cs="仿宋_GB2312"/>
          <w:color w:val="000000"/>
          <w:kern w:val="0"/>
          <w:sz w:val="32"/>
          <w:szCs w:val="32"/>
          <w:lang w:val="en-US" w:eastAsia="zh-CN" w:bidi="ar"/>
        </w:rPr>
        <w:t>元。</w:t>
      </w:r>
    </w:p>
    <w:p w14:paraId="23867A77">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二审中，启某公司未向本院提交新证据。李某向本院提交了三份证据：证据</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Times New Roman" w:eastAsia="仿宋_GB2312" w:cs="仿宋_GB2312"/>
          <w:color w:val="000000"/>
          <w:kern w:val="0"/>
          <w:sz w:val="32"/>
          <w:szCs w:val="32"/>
          <w:lang w:val="en-US" w:eastAsia="zh-CN" w:bidi="ar"/>
        </w:rPr>
        <w:t>慕某公司登记基本情况查询结果、公司清算手续报告，拟证明慕某公司已于</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5</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28</w:t>
      </w:r>
      <w:r>
        <w:rPr>
          <w:rFonts w:hint="eastAsia" w:ascii="仿宋_GB2312" w:hAnsi="Times New Roman" w:eastAsia="仿宋_GB2312" w:cs="仿宋_GB2312"/>
          <w:color w:val="000000"/>
          <w:kern w:val="0"/>
          <w:sz w:val="32"/>
          <w:szCs w:val="32"/>
          <w:lang w:val="en-US" w:eastAsia="zh-CN" w:bidi="ar"/>
        </w:rPr>
        <w:t>日注销，公司共有总资产</w:t>
      </w:r>
      <w:r>
        <w:rPr>
          <w:rFonts w:hint="default" w:ascii="Times New Roman" w:hAnsi="Times New Roman" w:eastAsia="仿宋_GB2312" w:cs="Times New Roman"/>
          <w:color w:val="000000"/>
          <w:kern w:val="0"/>
          <w:sz w:val="32"/>
          <w:szCs w:val="32"/>
          <w:lang w:val="en-US" w:eastAsia="zh-CN" w:bidi="ar"/>
        </w:rPr>
        <w:t>1000</w:t>
      </w:r>
      <w:r>
        <w:rPr>
          <w:rFonts w:hint="eastAsia" w:ascii="仿宋_GB2312" w:hAnsi="Times New Roman" w:eastAsia="仿宋_GB2312" w:cs="仿宋_GB2312"/>
          <w:color w:val="000000"/>
          <w:kern w:val="0"/>
          <w:sz w:val="32"/>
          <w:szCs w:val="32"/>
          <w:lang w:val="en-US" w:eastAsia="zh-CN" w:bidi="ar"/>
        </w:rPr>
        <w:t>元，由股东分配。证据</w:t>
      </w:r>
      <w:r>
        <w:rPr>
          <w:rFonts w:hint="default" w:ascii="Times New Roman" w:hAnsi="Times New Roman" w:eastAsia="仿宋_GB2312" w:cs="Times New Roman"/>
          <w:color w:val="000000"/>
          <w:kern w:val="0"/>
          <w:sz w:val="32"/>
          <w:szCs w:val="32"/>
          <w:lang w:val="en-US" w:eastAsia="zh-CN" w:bidi="ar"/>
        </w:rPr>
        <w:t>2.1688</w:t>
      </w:r>
      <w:r>
        <w:rPr>
          <w:rFonts w:hint="eastAsia" w:ascii="仿宋_GB2312" w:hAnsi="Times New Roman" w:eastAsia="仿宋_GB2312" w:cs="仿宋_GB2312"/>
          <w:color w:val="000000"/>
          <w:kern w:val="0"/>
          <w:sz w:val="32"/>
          <w:szCs w:val="32"/>
          <w:lang w:val="en-US" w:eastAsia="zh-CN" w:bidi="ar"/>
        </w:rPr>
        <w:t>网站购买记录、支付记录及物流信息截图，拟证明慕某公司于</w:t>
      </w:r>
      <w:r>
        <w:rPr>
          <w:rFonts w:hint="default" w:ascii="Times New Roman" w:hAnsi="Times New Roman" w:eastAsia="仿宋_GB2312" w:cs="Times New Roman"/>
          <w:color w:val="000000"/>
          <w:kern w:val="0"/>
          <w:sz w:val="32"/>
          <w:szCs w:val="32"/>
          <w:lang w:val="en-US" w:eastAsia="zh-CN" w:bidi="ar"/>
        </w:rPr>
        <w:t>2020</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12</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13</w:t>
      </w:r>
      <w:r>
        <w:rPr>
          <w:rFonts w:hint="eastAsia" w:ascii="仿宋_GB2312" w:hAnsi="Times New Roman" w:eastAsia="仿宋_GB2312" w:cs="仿宋_GB2312"/>
          <w:color w:val="000000"/>
          <w:kern w:val="0"/>
          <w:sz w:val="32"/>
          <w:szCs w:val="32"/>
          <w:lang w:val="en-US" w:eastAsia="zh-CN" w:bidi="ar"/>
        </w:rPr>
        <w:t>日通过</w:t>
      </w:r>
      <w:r>
        <w:rPr>
          <w:rFonts w:hint="default" w:ascii="Times New Roman" w:hAnsi="Times New Roman" w:eastAsia="仿宋_GB2312" w:cs="Times New Roman"/>
          <w:color w:val="000000"/>
          <w:kern w:val="0"/>
          <w:sz w:val="32"/>
          <w:szCs w:val="32"/>
          <w:lang w:val="en-US" w:eastAsia="zh-CN" w:bidi="ar"/>
        </w:rPr>
        <w:t>1688</w:t>
      </w:r>
      <w:r>
        <w:rPr>
          <w:rFonts w:hint="eastAsia" w:ascii="仿宋_GB2312" w:hAnsi="Times New Roman" w:eastAsia="仿宋_GB2312" w:cs="仿宋_GB2312"/>
          <w:color w:val="000000"/>
          <w:kern w:val="0"/>
          <w:sz w:val="32"/>
          <w:szCs w:val="32"/>
          <w:lang w:val="en-US" w:eastAsia="zh-CN" w:bidi="ar"/>
        </w:rPr>
        <w:t>网站从汕头市树文玩具有限公司购买了三件被诉侵权产品，其购买被诉侵权产品来源合法清晰，符合交易习惯，不具有侵权主观故意，不应承担赔偿责任。证据</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Times New Roman" w:eastAsia="仿宋_GB2312" w:cs="仿宋_GB2312"/>
          <w:color w:val="000000"/>
          <w:kern w:val="0"/>
          <w:sz w:val="32"/>
          <w:szCs w:val="32"/>
          <w:lang w:val="en-US" w:eastAsia="zh-CN" w:bidi="ar"/>
        </w:rPr>
        <w:t>涉案店铺销售记录截图，拟证明被诉侵权产品除启某公司外无其他人购买，慕某公司未给启某公司造成损失，且涉案店铺已没有库存产品。</w:t>
      </w:r>
    </w:p>
    <w:p w14:paraId="56453675">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启某公司发表书面质证意见称，李某提交的证据不属于新证据，并对该些证据的证明目的均有异议，证据</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Times New Roman" w:eastAsia="仿宋_GB2312" w:cs="仿宋_GB2312"/>
          <w:color w:val="000000"/>
          <w:kern w:val="0"/>
          <w:sz w:val="32"/>
          <w:szCs w:val="32"/>
          <w:lang w:val="en-US" w:eastAsia="zh-CN" w:bidi="ar"/>
        </w:rPr>
        <w:t>不能证明慕某公司系依法清算，根据相关法律规定李某应当对该公司债务承担无限连带责任。证据</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Times New Roman" w:eastAsia="仿宋_GB2312" w:cs="仿宋_GB2312"/>
          <w:color w:val="000000"/>
          <w:kern w:val="0"/>
          <w:sz w:val="32"/>
          <w:szCs w:val="32"/>
          <w:lang w:val="en-US" w:eastAsia="zh-CN" w:bidi="ar"/>
        </w:rPr>
        <w:t>所涉订单详情截图页面并未显示购买人主体信息，亦无运单号及物流跟踪信息，无法与被诉侵权产品相对应。证据</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Times New Roman" w:eastAsia="仿宋_GB2312" w:cs="仿宋_GB2312"/>
          <w:color w:val="000000"/>
          <w:kern w:val="0"/>
          <w:sz w:val="32"/>
          <w:szCs w:val="32"/>
          <w:lang w:val="en-US" w:eastAsia="zh-CN" w:bidi="ar"/>
        </w:rPr>
        <w:t>不能证明涉案店铺中被诉侵权产品的实际销量和库存。</w:t>
      </w:r>
    </w:p>
    <w:p w14:paraId="2F06B0E6">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本院经审查认为，李某提交的证据</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Times New Roman" w:eastAsia="仿宋_GB2312" w:cs="仿宋_GB2312"/>
          <w:color w:val="000000"/>
          <w:kern w:val="0"/>
          <w:sz w:val="32"/>
          <w:szCs w:val="32"/>
          <w:lang w:val="en-US" w:eastAsia="zh-CN" w:bidi="ar"/>
        </w:rPr>
        <w:t>具备证据三性，予以认定。证据</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Times New Roman" w:eastAsia="仿宋_GB2312" w:cs="仿宋_GB2312"/>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Times New Roman" w:eastAsia="仿宋_GB2312" w:cs="仿宋_GB2312"/>
          <w:color w:val="000000"/>
          <w:kern w:val="0"/>
          <w:sz w:val="32"/>
          <w:szCs w:val="32"/>
          <w:lang w:val="en-US" w:eastAsia="zh-CN" w:bidi="ar"/>
        </w:rPr>
        <w:t>经庭审在线演示核对，对其形式真实性予以确认，至于能否达到李某主张的证明目的将在下文予以评述。</w:t>
      </w:r>
    </w:p>
    <w:p w14:paraId="2C2DFCF8">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本院二审对一审法院认定的事实予以确认。二审另查明：（一）慕某公司企业类型为有限责任公司（自然人独资），</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5</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28</w:t>
      </w:r>
      <w:r>
        <w:rPr>
          <w:rFonts w:hint="eastAsia" w:ascii="仿宋_GB2312" w:hAnsi="Times New Roman" w:eastAsia="仿宋_GB2312" w:cs="仿宋_GB2312"/>
          <w:color w:val="000000"/>
          <w:kern w:val="0"/>
          <w:sz w:val="32"/>
          <w:szCs w:val="32"/>
          <w:lang w:val="en-US" w:eastAsia="zh-CN" w:bidi="ar"/>
        </w:rPr>
        <w:t>日因决议解散注销，公司清算手续报告载明</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公司债权债务已清理完毕；若有未尽债务，股东承诺按出资比例承担责任</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。（二）</w:t>
      </w:r>
      <w:r>
        <w:rPr>
          <w:rFonts w:hint="default" w:ascii="Times New Roman" w:hAnsi="Times New Roman" w:eastAsia="仿宋_GB2312" w:cs="Times New Roman"/>
          <w:color w:val="000000"/>
          <w:kern w:val="0"/>
          <w:sz w:val="32"/>
          <w:szCs w:val="32"/>
          <w:lang w:val="en-US" w:eastAsia="zh-CN" w:bidi="ar"/>
        </w:rPr>
        <w:t>2020</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12</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13</w:t>
      </w:r>
      <w:r>
        <w:rPr>
          <w:rFonts w:hint="eastAsia" w:ascii="仿宋_GB2312" w:hAnsi="Times New Roman" w:eastAsia="仿宋_GB2312" w:cs="仿宋_GB2312"/>
          <w:color w:val="000000"/>
          <w:kern w:val="0"/>
          <w:sz w:val="32"/>
          <w:szCs w:val="32"/>
          <w:lang w:val="en-US" w:eastAsia="zh-CN" w:bidi="ar"/>
        </w:rPr>
        <w:t>日，李某通过其某平台账号在</w:t>
      </w:r>
      <w:r>
        <w:rPr>
          <w:rFonts w:hint="default" w:ascii="Times New Roman" w:hAnsi="Times New Roman" w:eastAsia="仿宋_GB2312" w:cs="Times New Roman"/>
          <w:color w:val="000000"/>
          <w:kern w:val="0"/>
          <w:sz w:val="32"/>
          <w:szCs w:val="32"/>
          <w:lang w:val="en-US" w:eastAsia="zh-CN" w:bidi="ar"/>
        </w:rPr>
        <w:t>1688</w:t>
      </w:r>
      <w:r>
        <w:rPr>
          <w:rFonts w:hint="eastAsia" w:ascii="仿宋_GB2312" w:hAnsi="Times New Roman" w:eastAsia="仿宋_GB2312" w:cs="仿宋_GB2312"/>
          <w:color w:val="000000"/>
          <w:kern w:val="0"/>
          <w:sz w:val="32"/>
          <w:szCs w:val="32"/>
          <w:lang w:val="en-US" w:eastAsia="zh-CN" w:bidi="ar"/>
        </w:rPr>
        <w:t>网站从树文公司处购买了三件泡泡照相机产品。</w:t>
      </w:r>
    </w:p>
    <w:p w14:paraId="2032EA95">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二审期间，李某认可被诉侵权设计与涉案专利构成近似，本院对此予以确认。根据李某的上诉请求和理由以及启某公司的答辩意见，本院认为，二审的争议焦点在于：李某主张的合法来源抗辩能否成立，以及相应民事责任的承担。</w:t>
      </w:r>
    </w:p>
    <w:p w14:paraId="74BCFC75">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根据《中华人民共和国专利法》第七十条规定：“为生产经营目的使用、许诺销售或者销售不知道是未经专利权人许可而制造并售出的专利侵权产品，能证明该产品合法来源的，不承担赔偿责任。”根据《最高人民法院关于审理侵犯专利权纠纷案件应用法律若干问题的解释（二）》第二十五条规定，上述条款中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不知道</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是指实际不知道且不应当知道；合法来源是指通过合法的销售渠道、通常的买卖合同等正常商业方式取得产品；对于合法来源，许诺销售者或者销售者应当提供符合交易习惯的相关证据。据此，合法来源抗辩的成立既要求被诉侵权产品客观上来源于他人，又要求销售者主观上尽到合理的注意义务。本案中，启某公司于</w:t>
      </w:r>
      <w:r>
        <w:rPr>
          <w:rFonts w:hint="default" w:ascii="Times New Roman" w:hAnsi="Times New Roman" w:eastAsia="仿宋_GB2312" w:cs="Times New Roman"/>
          <w:color w:val="000000"/>
          <w:kern w:val="0"/>
          <w:sz w:val="32"/>
          <w:szCs w:val="32"/>
          <w:lang w:val="en-US" w:eastAsia="zh-CN" w:bidi="ar"/>
        </w:rPr>
        <w:t>2020</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12</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13</w:t>
      </w:r>
      <w:r>
        <w:rPr>
          <w:rFonts w:hint="eastAsia" w:ascii="仿宋_GB2312" w:hAnsi="Times New Roman" w:eastAsia="仿宋_GB2312" w:cs="仿宋_GB2312"/>
          <w:color w:val="000000"/>
          <w:kern w:val="0"/>
          <w:sz w:val="32"/>
          <w:szCs w:val="32"/>
          <w:lang w:val="en-US" w:eastAsia="zh-CN" w:bidi="ar"/>
        </w:rPr>
        <w:t>日</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Times New Roman" w:eastAsia="仿宋_GB2312" w:cs="仿宋_GB2312"/>
          <w:color w:val="000000"/>
          <w:kern w:val="0"/>
          <w:sz w:val="32"/>
          <w:szCs w:val="32"/>
          <w:lang w:val="en-US" w:eastAsia="zh-CN" w:bidi="ar"/>
        </w:rPr>
        <w:t>点</w:t>
      </w:r>
      <w:r>
        <w:rPr>
          <w:rFonts w:hint="default" w:ascii="Times New Roman" w:hAnsi="Times New Roman" w:eastAsia="仿宋_GB2312" w:cs="Times New Roman"/>
          <w:color w:val="000000"/>
          <w:kern w:val="0"/>
          <w:sz w:val="32"/>
          <w:szCs w:val="32"/>
          <w:lang w:val="en-US" w:eastAsia="zh-CN" w:bidi="ar"/>
        </w:rPr>
        <w:t>40</w:t>
      </w:r>
      <w:r>
        <w:rPr>
          <w:rFonts w:hint="eastAsia" w:ascii="仿宋_GB2312" w:hAnsi="Times New Roman" w:eastAsia="仿宋_GB2312" w:cs="仿宋_GB2312"/>
          <w:color w:val="000000"/>
          <w:kern w:val="0"/>
          <w:sz w:val="32"/>
          <w:szCs w:val="32"/>
          <w:lang w:val="en-US" w:eastAsia="zh-CN" w:bidi="ar"/>
        </w:rPr>
        <w:t>分在慕某公司经营的网店下单购买了三件被诉泡泡照相机产品。李某二审提交的购买记录显示，其通过自己的账号于同日</w:t>
      </w:r>
      <w:r>
        <w:rPr>
          <w:rFonts w:hint="default" w:ascii="Times New Roman" w:hAnsi="Times New Roman" w:eastAsia="仿宋_GB2312" w:cs="Times New Roman"/>
          <w:color w:val="000000"/>
          <w:kern w:val="0"/>
          <w:sz w:val="32"/>
          <w:szCs w:val="32"/>
          <w:lang w:val="en-US" w:eastAsia="zh-CN" w:bidi="ar"/>
        </w:rPr>
        <w:t>12</w:t>
      </w:r>
      <w:r>
        <w:rPr>
          <w:rFonts w:hint="eastAsia" w:ascii="仿宋_GB2312" w:hAnsi="Times New Roman" w:eastAsia="仿宋_GB2312" w:cs="仿宋_GB2312"/>
          <w:color w:val="000000"/>
          <w:kern w:val="0"/>
          <w:sz w:val="32"/>
          <w:szCs w:val="32"/>
          <w:lang w:val="en-US" w:eastAsia="zh-CN" w:bidi="ar"/>
        </w:rPr>
        <w:t>点</w:t>
      </w:r>
      <w:r>
        <w:rPr>
          <w:rFonts w:hint="default" w:ascii="Times New Roman" w:hAnsi="Times New Roman" w:eastAsia="仿宋_GB2312" w:cs="Times New Roman"/>
          <w:color w:val="000000"/>
          <w:kern w:val="0"/>
          <w:sz w:val="32"/>
          <w:szCs w:val="32"/>
          <w:lang w:val="en-US" w:eastAsia="zh-CN" w:bidi="ar"/>
        </w:rPr>
        <w:t>08</w:t>
      </w:r>
      <w:r>
        <w:rPr>
          <w:rFonts w:hint="eastAsia" w:ascii="仿宋_GB2312" w:hAnsi="Times New Roman" w:eastAsia="仿宋_GB2312" w:cs="仿宋_GB2312"/>
          <w:color w:val="000000"/>
          <w:kern w:val="0"/>
          <w:sz w:val="32"/>
          <w:szCs w:val="32"/>
          <w:lang w:val="en-US" w:eastAsia="zh-CN" w:bidi="ar"/>
        </w:rPr>
        <w:t>分在</w:t>
      </w:r>
      <w:r>
        <w:rPr>
          <w:rFonts w:hint="default" w:ascii="Times New Roman" w:hAnsi="Times New Roman" w:eastAsia="仿宋_GB2312" w:cs="Times New Roman"/>
          <w:color w:val="000000"/>
          <w:kern w:val="0"/>
          <w:sz w:val="32"/>
          <w:szCs w:val="32"/>
          <w:lang w:val="en-US" w:eastAsia="zh-CN" w:bidi="ar"/>
        </w:rPr>
        <w:t>1688</w:t>
      </w:r>
      <w:r>
        <w:rPr>
          <w:rFonts w:hint="eastAsia" w:ascii="仿宋_GB2312" w:hAnsi="Times New Roman" w:eastAsia="仿宋_GB2312" w:cs="仿宋_GB2312"/>
          <w:color w:val="000000"/>
          <w:kern w:val="0"/>
          <w:sz w:val="32"/>
          <w:szCs w:val="32"/>
          <w:lang w:val="en-US" w:eastAsia="zh-CN" w:bidi="ar"/>
        </w:rPr>
        <w:t>网站向树文公司购买了三件同款泡泡照相机产品，该笔订单显示的收件人、收货地址及联系电话等信息均与启某公司从慕某公司网店购买被诉侵权产品的收件信息完全一致，而启某公司提交的被诉侵权产品快递面单上的寄件人</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邵某丰</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亦与李某提交的向树文公司转账记录的收款账户名对应，可以认定被诉侵权产品的寄件人指向树文公司，故前述证据已形成完整的证据链，足以证明启某公司在慕某公司网店购买的被诉侵权产品来源于树文公司。启某公司认为，慕某公司在</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一件代发</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的交易模式下未支付合理对价，未尽到合理注意义务，对此本院认为，泡泡照相机类玩具产品因成本、质量、品牌等市场因素导致价格有高有低，这本是正常现象，不能以慕某公司进价低售价高就认定其在主观上知道该产品侵权，两者之间并不存在因果关系。本案中，启某公司并未举证证明慕某公司知道或应当知道被诉产品侵权。综上，李某主张的合法来源抗辩成立。</w:t>
      </w:r>
    </w:p>
    <w:p w14:paraId="369EB8BC">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慕某公司销售、许诺销售被诉侵权产品的行为侵害了涉案专利权，应当承担停止侵害的民事责任。李某上诉称被诉侵权产品已无库存，且慕某公司已经注销，相关销售链接也已删除，不应判令其停止销售、许诺销售并销毁库存。对此，本院认为，根据启某公司一审提交的网页截图，被诉侵权产品销售页面显示有</w:t>
      </w:r>
      <w:r>
        <w:rPr>
          <w:rFonts w:hint="default" w:ascii="Times New Roman" w:hAnsi="Times New Roman" w:eastAsia="仿宋_GB2312" w:cs="Times New Roman"/>
          <w:color w:val="000000"/>
          <w:kern w:val="0"/>
          <w:sz w:val="32"/>
          <w:szCs w:val="32"/>
          <w:lang w:val="en-US" w:eastAsia="zh-CN" w:bidi="ar"/>
        </w:rPr>
        <w:t>99244</w:t>
      </w:r>
      <w:r>
        <w:rPr>
          <w:rFonts w:hint="eastAsia" w:ascii="仿宋_GB2312" w:hAnsi="Times New Roman" w:eastAsia="仿宋_GB2312" w:cs="仿宋_GB2312"/>
          <w:color w:val="000000"/>
          <w:kern w:val="0"/>
          <w:sz w:val="32"/>
          <w:szCs w:val="32"/>
          <w:lang w:val="en-US" w:eastAsia="zh-CN" w:bidi="ar"/>
        </w:rPr>
        <w:t>件产品可售，李某二审提交的慕某公司网店销售记录不能证明被诉侵权产品的实际销量和库存，故一审法院判令慕某公司停止销售、许诺销售并销毁库存本无不当，但由于慕某公司现已注销，该判项已无实际意义，故予以变更。</w:t>
      </w:r>
    </w:p>
    <w:p w14:paraId="4117B6EE">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对于损害赔偿的请求，由于被诉侵权产品具有合法来源，慕某公司依法免于承担赔偿责任，但根据《中华人民共和国专利法》第六十五条第一款规定，其仍应对启某公司已支出的维权费用中的合理部分予以赔偿。因慕某公司现已注销，李某作为该公司唯一股东，根据清算报告应当对慕某公司的债务承担责任。本案中，尽管启某公司未提供其已实际支付维权费用的证据，但在案事实显示启某公司一审确实聘请了律师并支出了相应的公证费，故本院酌情确定李某向启某公司支付维权合理费用</w:t>
      </w:r>
      <w:r>
        <w:rPr>
          <w:rFonts w:hint="default" w:ascii="Times New Roman" w:hAnsi="Times New Roman" w:eastAsia="仿宋_GB2312" w:cs="Times New Roman"/>
          <w:color w:val="000000"/>
          <w:kern w:val="0"/>
          <w:sz w:val="32"/>
          <w:szCs w:val="32"/>
          <w:lang w:val="en-US" w:eastAsia="zh-CN" w:bidi="ar"/>
        </w:rPr>
        <w:t>2000</w:t>
      </w:r>
      <w:r>
        <w:rPr>
          <w:rFonts w:hint="eastAsia" w:ascii="仿宋_GB2312" w:hAnsi="Times New Roman" w:eastAsia="仿宋_GB2312" w:cs="仿宋_GB2312"/>
          <w:color w:val="000000"/>
          <w:kern w:val="0"/>
          <w:sz w:val="32"/>
          <w:szCs w:val="32"/>
          <w:lang w:val="en-US" w:eastAsia="zh-CN" w:bidi="ar"/>
        </w:rPr>
        <w:t>元。</w:t>
      </w:r>
    </w:p>
    <w:p w14:paraId="0A20DA37">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此外，《诉讼费用交纳办法》第四十条规定：</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当事人因自身原因未能在举证期限内举证，在二审或者再审期间提出新的证据致使诉讼费用增加的，增加的诉讼费用由该当事人负担。</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本案中，慕某公司和李某本应在一审中提交合法来源证据，却无正当理由未予提交，故二审案件受理费应由李某负担。</w:t>
      </w:r>
    </w:p>
    <w:p w14:paraId="41CE673D">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综上所述，李某的上诉请求部分成立，本院予以支持。一审判决认定事实清楚，但由于二审出现新证据，导致案件事实、法律适用和实体处理发生变化，故本院根据二审查明的事实予以改判。依照《中华人民共和国专利法》第十一条第二款、第六十五条第一款、第七十条，《最高人民法院关于审理侵犯专利权纠纷案件应用法律若干问题的解释（二）》第二十五条，《中华人民共和国民事诉讼法》第一百四十七条、第一百七十七条第一款第二项，判决如下：</w:t>
      </w:r>
    </w:p>
    <w:p w14:paraId="1D080FC6">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一、撤销浙江省宁波市中级人民法院（</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Times New Roman" w:eastAsia="仿宋_GB2312" w:cs="仿宋_GB2312"/>
          <w:color w:val="000000"/>
          <w:kern w:val="0"/>
          <w:sz w:val="32"/>
          <w:szCs w:val="32"/>
          <w:lang w:val="en-US" w:eastAsia="zh-CN" w:bidi="ar"/>
        </w:rPr>
        <w:t>）浙</w:t>
      </w:r>
      <w:r>
        <w:rPr>
          <w:rFonts w:hint="default" w:ascii="Times New Roman" w:hAnsi="Times New Roman" w:eastAsia="仿宋_GB2312" w:cs="Times New Roman"/>
          <w:color w:val="000000"/>
          <w:kern w:val="0"/>
          <w:sz w:val="32"/>
          <w:szCs w:val="32"/>
          <w:lang w:val="en-US" w:eastAsia="zh-CN" w:bidi="ar"/>
        </w:rPr>
        <w:t>02</w:t>
      </w:r>
      <w:r>
        <w:rPr>
          <w:rFonts w:hint="eastAsia" w:ascii="仿宋_GB2312" w:hAnsi="Times New Roman" w:eastAsia="仿宋_GB2312" w:cs="仿宋_GB2312"/>
          <w:color w:val="000000"/>
          <w:kern w:val="0"/>
          <w:sz w:val="32"/>
          <w:szCs w:val="32"/>
          <w:lang w:val="en-US" w:eastAsia="zh-CN" w:bidi="ar"/>
        </w:rPr>
        <w:t>民初</w:t>
      </w:r>
      <w:r>
        <w:rPr>
          <w:rFonts w:hint="default" w:ascii="Times New Roman" w:hAnsi="Times New Roman" w:eastAsia="仿宋_GB2312" w:cs="Times New Roman"/>
          <w:color w:val="000000"/>
          <w:kern w:val="0"/>
          <w:sz w:val="32"/>
          <w:szCs w:val="32"/>
          <w:lang w:val="en-US" w:eastAsia="zh-CN" w:bidi="ar"/>
        </w:rPr>
        <w:t>476</w:t>
      </w:r>
      <w:r>
        <w:rPr>
          <w:rFonts w:hint="eastAsia" w:ascii="仿宋_GB2312" w:hAnsi="Times New Roman" w:eastAsia="仿宋_GB2312" w:cs="仿宋_GB2312"/>
          <w:color w:val="000000"/>
          <w:kern w:val="0"/>
          <w:sz w:val="32"/>
          <w:szCs w:val="32"/>
          <w:lang w:val="en-US" w:eastAsia="zh-CN" w:bidi="ar"/>
        </w:rPr>
        <w:t>号民事判决；</w:t>
      </w:r>
    </w:p>
    <w:p w14:paraId="416A374F">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二、李某于本判决送达之日起十日内赔偿</w:t>
      </w:r>
      <w:r>
        <w:rPr>
          <w:rFonts w:hint="eastAsia" w:ascii="仿宋_GB2312" w:hAnsi="Times New Roman" w:eastAsia="仿宋_GB2312" w:cs="仿宋_GB2312"/>
          <w:kern w:val="2"/>
          <w:sz w:val="32"/>
          <w:szCs w:val="32"/>
          <w:lang w:val="en-US" w:eastAsia="zh-CN" w:bidi="ar"/>
        </w:rPr>
        <w:t>深圳市启某科技有限公司</w:t>
      </w:r>
      <w:r>
        <w:rPr>
          <w:rFonts w:hint="eastAsia" w:ascii="仿宋_GB2312" w:hAnsi="Times New Roman" w:eastAsia="仿宋_GB2312" w:cs="仿宋_GB2312"/>
          <w:color w:val="000000"/>
          <w:kern w:val="0"/>
          <w:sz w:val="32"/>
          <w:szCs w:val="32"/>
          <w:lang w:val="en-US" w:eastAsia="zh-CN" w:bidi="ar"/>
        </w:rPr>
        <w:t>为制止侵权行为所支出的合理费用</w:t>
      </w:r>
      <w:r>
        <w:rPr>
          <w:rFonts w:hint="default" w:ascii="Times New Roman" w:hAnsi="Times New Roman" w:eastAsia="仿宋_GB2312" w:cs="Times New Roman"/>
          <w:color w:val="000000"/>
          <w:kern w:val="0"/>
          <w:sz w:val="32"/>
          <w:szCs w:val="32"/>
          <w:lang w:val="en-US" w:eastAsia="zh-CN" w:bidi="ar"/>
        </w:rPr>
        <w:t>2000</w:t>
      </w:r>
      <w:r>
        <w:rPr>
          <w:rFonts w:hint="eastAsia" w:ascii="仿宋_GB2312" w:hAnsi="Times New Roman" w:eastAsia="仿宋_GB2312" w:cs="仿宋_GB2312"/>
          <w:color w:val="000000"/>
          <w:kern w:val="0"/>
          <w:sz w:val="32"/>
          <w:szCs w:val="32"/>
          <w:lang w:val="en-US" w:eastAsia="zh-CN" w:bidi="ar"/>
        </w:rPr>
        <w:t>元；</w:t>
      </w:r>
    </w:p>
    <w:p w14:paraId="4D40D5B1">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三、驳回</w:t>
      </w:r>
      <w:r>
        <w:rPr>
          <w:rFonts w:hint="eastAsia" w:ascii="仿宋_GB2312" w:hAnsi="Times New Roman" w:eastAsia="仿宋_GB2312" w:cs="仿宋_GB2312"/>
          <w:kern w:val="2"/>
          <w:sz w:val="32"/>
          <w:szCs w:val="32"/>
          <w:lang w:val="en-US" w:eastAsia="zh-CN" w:bidi="ar"/>
        </w:rPr>
        <w:t>深圳市启某科技有限公司</w:t>
      </w:r>
      <w:r>
        <w:rPr>
          <w:rFonts w:hint="eastAsia" w:ascii="仿宋_GB2312" w:hAnsi="Times New Roman" w:eastAsia="仿宋_GB2312" w:cs="仿宋_GB2312"/>
          <w:color w:val="000000"/>
          <w:kern w:val="0"/>
          <w:sz w:val="32"/>
          <w:szCs w:val="32"/>
          <w:lang w:val="en-US" w:eastAsia="zh-CN" w:bidi="ar"/>
        </w:rPr>
        <w:t>的其他诉讼请求。</w:t>
      </w:r>
    </w:p>
    <w:p w14:paraId="4F923E3A">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如果未按本判决指定的期间履行给付金钱义务，应当依照《中华人民共和国民事诉讼法》第二百六十条及相关司法解释之规定，加倍支付迟延履行期间的债务利息。</w:t>
      </w:r>
    </w:p>
    <w:p w14:paraId="093AEA37">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一审案件受理费</w:t>
      </w:r>
      <w:r>
        <w:rPr>
          <w:rFonts w:hint="default" w:ascii="Times New Roman" w:hAnsi="Times New Roman" w:eastAsia="仿宋_GB2312" w:cs="Times New Roman"/>
          <w:color w:val="000000"/>
          <w:kern w:val="0"/>
          <w:sz w:val="32"/>
          <w:szCs w:val="32"/>
          <w:lang w:val="en-US" w:eastAsia="zh-CN" w:bidi="ar"/>
        </w:rPr>
        <w:t>1050</w:t>
      </w:r>
      <w:r>
        <w:rPr>
          <w:rFonts w:hint="eastAsia" w:ascii="仿宋_GB2312" w:hAnsi="Times New Roman" w:eastAsia="仿宋_GB2312" w:cs="仿宋_GB2312"/>
          <w:color w:val="000000"/>
          <w:kern w:val="0"/>
          <w:sz w:val="32"/>
          <w:szCs w:val="32"/>
          <w:lang w:val="en-US" w:eastAsia="zh-CN" w:bidi="ar"/>
        </w:rPr>
        <w:t>元，由</w:t>
      </w:r>
      <w:r>
        <w:rPr>
          <w:rFonts w:hint="eastAsia" w:ascii="仿宋_GB2312" w:hAnsi="Times New Roman" w:eastAsia="仿宋_GB2312" w:cs="仿宋_GB2312"/>
          <w:kern w:val="2"/>
          <w:sz w:val="32"/>
          <w:szCs w:val="32"/>
          <w:lang w:val="en-US" w:eastAsia="zh-CN" w:bidi="ar"/>
        </w:rPr>
        <w:t>深圳市启某科技有限公司</w:t>
      </w:r>
      <w:r>
        <w:rPr>
          <w:rFonts w:hint="eastAsia" w:ascii="仿宋_GB2312" w:hAnsi="Times New Roman" w:eastAsia="仿宋_GB2312" w:cs="仿宋_GB2312"/>
          <w:color w:val="000000"/>
          <w:kern w:val="0"/>
          <w:sz w:val="32"/>
          <w:szCs w:val="32"/>
          <w:lang w:val="en-US" w:eastAsia="zh-CN" w:bidi="ar"/>
        </w:rPr>
        <w:t>负担</w:t>
      </w:r>
      <w:r>
        <w:rPr>
          <w:rFonts w:hint="default" w:ascii="Times New Roman" w:hAnsi="Times New Roman" w:eastAsia="仿宋_GB2312" w:cs="Times New Roman"/>
          <w:color w:val="000000"/>
          <w:kern w:val="0"/>
          <w:sz w:val="32"/>
          <w:szCs w:val="32"/>
          <w:lang w:val="en-US" w:eastAsia="zh-CN" w:bidi="ar"/>
        </w:rPr>
        <w:t>504</w:t>
      </w:r>
      <w:r>
        <w:rPr>
          <w:rFonts w:hint="eastAsia" w:ascii="仿宋_GB2312" w:hAnsi="Times New Roman" w:eastAsia="仿宋_GB2312" w:cs="仿宋_GB2312"/>
          <w:color w:val="000000"/>
          <w:kern w:val="0"/>
          <w:sz w:val="32"/>
          <w:szCs w:val="32"/>
          <w:lang w:val="en-US" w:eastAsia="zh-CN" w:bidi="ar"/>
        </w:rPr>
        <w:t>元，李某负担</w:t>
      </w:r>
      <w:r>
        <w:rPr>
          <w:rFonts w:hint="default" w:ascii="Times New Roman" w:hAnsi="Times New Roman" w:eastAsia="仿宋_GB2312" w:cs="Times New Roman"/>
          <w:color w:val="000000"/>
          <w:kern w:val="0"/>
          <w:sz w:val="32"/>
          <w:szCs w:val="32"/>
          <w:lang w:val="en-US" w:eastAsia="zh-CN" w:bidi="ar"/>
        </w:rPr>
        <w:t>546</w:t>
      </w:r>
      <w:r>
        <w:rPr>
          <w:rFonts w:hint="eastAsia" w:ascii="仿宋_GB2312" w:hAnsi="Times New Roman" w:eastAsia="仿宋_GB2312" w:cs="仿宋_GB2312"/>
          <w:color w:val="000000"/>
          <w:kern w:val="0"/>
          <w:sz w:val="32"/>
          <w:szCs w:val="32"/>
          <w:lang w:val="en-US" w:eastAsia="zh-CN" w:bidi="ar"/>
        </w:rPr>
        <w:t>元；二审案件受理费</w:t>
      </w:r>
      <w:r>
        <w:rPr>
          <w:rFonts w:hint="default" w:ascii="Times New Roman" w:hAnsi="Times New Roman" w:eastAsia="仿宋_GB2312" w:cs="Times New Roman"/>
          <w:color w:val="000000"/>
          <w:kern w:val="0"/>
          <w:sz w:val="32"/>
          <w:szCs w:val="32"/>
          <w:lang w:val="en-US" w:eastAsia="zh-CN" w:bidi="ar"/>
        </w:rPr>
        <w:t>50</w:t>
      </w:r>
      <w:r>
        <w:rPr>
          <w:rFonts w:hint="eastAsia" w:ascii="仿宋_GB2312" w:hAnsi="Times New Roman" w:eastAsia="仿宋_GB2312" w:cs="仿宋_GB2312"/>
          <w:color w:val="000000"/>
          <w:kern w:val="0"/>
          <w:sz w:val="32"/>
          <w:szCs w:val="32"/>
          <w:lang w:val="en-US" w:eastAsia="zh-CN" w:bidi="ar"/>
        </w:rPr>
        <w:t>元，由李某负担。</w:t>
      </w:r>
    </w:p>
    <w:p w14:paraId="639FB519">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本判决为终审判决。</w:t>
      </w:r>
    </w:p>
    <w:p w14:paraId="09041E07">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 xml:space="preserve"> </w:t>
      </w:r>
    </w:p>
    <w:p w14:paraId="7B927457">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 xml:space="preserve"> </w:t>
      </w:r>
    </w:p>
    <w:p w14:paraId="08FD6AAC">
      <w:pPr>
        <w:keepNext w:val="0"/>
        <w:keepLines w:val="0"/>
        <w:widowControl w:val="0"/>
        <w:suppressLineNumbers w:val="0"/>
        <w:overflowPunct w:val="0"/>
        <w:autoSpaceDE w:val="0"/>
        <w:autoSpaceDN w:val="0"/>
        <w:spacing w:before="0" w:beforeAutospacing="0" w:after="0" w:afterAutospacing="0" w:line="572" w:lineRule="exact"/>
        <w:ind w:left="0" w:right="0" w:firstLine="64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 xml:space="preserve"> </w:t>
      </w:r>
    </w:p>
    <w:p w14:paraId="1291BE59">
      <w:pPr>
        <w:keepNext w:val="0"/>
        <w:keepLines w:val="0"/>
        <w:widowControl w:val="0"/>
        <w:suppressLineNumbers w:val="0"/>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37586E3">
      <w:pPr>
        <w:keepNext w:val="0"/>
        <w:keepLines w:val="0"/>
        <w:widowControl w:val="0"/>
        <w:suppressLineNumbers w:val="0"/>
        <w:spacing w:before="0" w:beforeAutospacing="0" w:after="0" w:afterAutospacing="0" w:line="592" w:lineRule="exact"/>
        <w:ind w:left="0" w:leftChars="0" w:right="0" w:firstLine="1280" w:firstLineChars="4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 xml:space="preserve">                  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何</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琼</w:t>
      </w:r>
    </w:p>
    <w:p w14:paraId="4272370A">
      <w:pPr>
        <w:keepNext w:val="0"/>
        <w:keepLines w:val="0"/>
        <w:widowControl w:val="0"/>
        <w:suppressLineNumbers w:val="0"/>
        <w:spacing w:before="0" w:beforeAutospacing="0" w:after="0" w:afterAutospacing="0" w:line="592" w:lineRule="exact"/>
        <w:ind w:left="0" w:leftChars="0" w:right="0" w:firstLine="4160" w:firstLineChars="13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建</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中</w:t>
      </w:r>
    </w:p>
    <w:p w14:paraId="0341AD74">
      <w:pPr>
        <w:keepNext w:val="0"/>
        <w:keepLines w:val="0"/>
        <w:widowControl w:val="0"/>
        <w:suppressLineNumbers w:val="0"/>
        <w:spacing w:before="0" w:beforeAutospacing="0" w:after="0" w:afterAutospacing="0" w:line="592" w:lineRule="exact"/>
        <w:ind w:left="0" w:leftChars="0" w:right="0" w:firstLine="4160" w:firstLineChars="13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遥</w:t>
      </w:r>
    </w:p>
    <w:p w14:paraId="27F1DCDC">
      <w:pPr>
        <w:keepNext w:val="0"/>
        <w:keepLines w:val="0"/>
        <w:widowControl w:val="0"/>
        <w:suppressLineNumbers w:val="0"/>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58E42410">
      <w:pPr>
        <w:keepNext w:val="0"/>
        <w:keepLines w:val="0"/>
        <w:widowControl w:val="0"/>
        <w:suppressLineNumbers w:val="0"/>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DBA55DC">
      <w:pPr>
        <w:keepNext w:val="0"/>
        <w:keepLines w:val="0"/>
        <w:widowControl w:val="0"/>
        <w:suppressLineNumbers w:val="0"/>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54E6E54A">
      <w:pPr>
        <w:keepNext w:val="0"/>
        <w:keepLines w:val="0"/>
        <w:widowControl w:val="0"/>
        <w:suppressLineNumbers w:val="0"/>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tbl>
      <w:tblPr>
        <w:tblStyle w:val="3"/>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7"/>
      </w:tblGrid>
      <w:tr w14:paraId="1341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7" w:type="dxa"/>
            <w:tcBorders>
              <w:top w:val="nil"/>
              <w:left w:val="nil"/>
              <w:bottom w:val="nil"/>
              <w:right w:val="nil"/>
            </w:tcBorders>
            <w:noWrap w:val="0"/>
            <w:vAlign w:val="top"/>
          </w:tcPr>
          <w:p w14:paraId="5D04FFCA">
            <w:pPr>
              <w:pStyle w:val="2"/>
              <w:keepNext w:val="0"/>
              <w:keepLines w:val="0"/>
              <w:widowControl/>
              <w:suppressLineNumbers w:val="0"/>
              <w:spacing w:line="592" w:lineRule="exact"/>
              <w:ind w:left="0" w:firstLine="171" w:firstLineChars="45"/>
              <w:rPr>
                <w:rFonts w:hint="default" w:ascii="Times New Roman" w:hAnsi="Times New Roman" w:eastAsia="仿宋_GB2312" w:cs="Times New Roman"/>
                <w:kern w:val="0"/>
                <w:sz w:val="32"/>
                <w:szCs w:val="32"/>
              </w:rPr>
            </w:pPr>
            <w:r>
              <w:rPr>
                <w:rFonts w:hint="eastAsia" w:ascii="仿宋_GB2312" w:hAnsi="Times New Roman" w:eastAsia="仿宋_GB2312" w:cs="仿宋_GB2312"/>
                <w:spacing w:val="31"/>
                <w:kern w:val="0"/>
                <w:sz w:val="32"/>
                <w:szCs w:val="32"/>
              </w:rPr>
              <w:t>二○二二年七月十二</w:t>
            </w:r>
            <w:r>
              <w:rPr>
                <w:rFonts w:hint="eastAsia" w:ascii="仿宋_GB2312" w:hAnsi="Times New Roman" w:eastAsia="仿宋_GB2312" w:cs="仿宋_GB2312"/>
                <w:spacing w:val="4"/>
                <w:kern w:val="0"/>
                <w:sz w:val="32"/>
                <w:szCs w:val="32"/>
              </w:rPr>
              <w:t>日</w:t>
            </w:r>
          </w:p>
        </w:tc>
      </w:tr>
    </w:tbl>
    <w:p w14:paraId="7422A594">
      <w:pPr>
        <w:keepNext w:val="0"/>
        <w:keepLines w:val="0"/>
        <w:widowControl w:val="0"/>
        <w:suppressLineNumbers w:val="0"/>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本件与原本核对无异</w:t>
      </w:r>
    </w:p>
    <w:p w14:paraId="50E036D2">
      <w:pPr>
        <w:keepNext w:val="0"/>
        <w:keepLines w:val="0"/>
        <w:widowControl w:val="0"/>
        <w:suppressLineNumbers w:val="0"/>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spacing w:val="40"/>
          <w:kern w:val="36"/>
          <w:sz w:val="32"/>
          <w:szCs w:val="32"/>
          <w:lang w:val="en-US" w:eastAsia="zh-CN" w:bidi="ar"/>
        </w:rPr>
        <w:t>法官助理</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杨</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天</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齐</w:t>
      </w:r>
    </w:p>
    <w:p w14:paraId="185ED254">
      <w:pPr>
        <w:keepNext w:val="0"/>
        <w:keepLines w:val="0"/>
        <w:widowControl w:val="0"/>
        <w:suppressLineNumbers w:val="0"/>
        <w:spacing w:before="0" w:beforeAutospacing="0" w:after="0" w:afterAutospacing="0"/>
        <w:ind w:left="0" w:right="0"/>
        <w:jc w:val="both"/>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书</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雨</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潇</w:t>
      </w:r>
    </w:p>
    <w:p w14:paraId="2F13E19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altName w:val="仿宋"/>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5D5FC9D0"/>
    <w:rsid w:val="31231725"/>
    <w:rsid w:val="3F6E9ED8"/>
    <w:rsid w:val="5D5FC9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Arial"/>
      <w:kern w:val="2"/>
      <w:sz w:val="21"/>
      <w:szCs w:val="21"/>
    </w:rPr>
    <w:tblPr>
      <w:tblStyle w:val="3"/>
      <w:tblCellMar>
        <w:top w:w="0" w:type="dxa"/>
        <w:left w:w="108" w:type="dxa"/>
        <w:bottom w:w="0" w:type="dxa"/>
        <w:right w:w="108" w:type="dxa"/>
      </w:tblCellMar>
    </w:tblPr>
  </w:style>
  <w:style w:type="paragraph" w:styleId="2">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仿宋_GB2312" w:cs="Times New Roman"/>
      <w:kern w:val="0"/>
      <w:sz w:val="28"/>
      <w:szCs w:val="2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2026-07-01T16:46:00Z</dcterms:created>
  <dc:creator>王莉莉</dc:creator>
  <cp:lastModifiedBy>Laurent</cp:lastModifiedBy>
  <dcterms:modified xsi:type="dcterms:W3CDTF">2026-07-18T05:49:02Z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CF67688AA9A549B894C55C83777A2B8E_13</vt:lpwstr>
  </property>
</Properties>
</file>