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C8E89">
      <w:pPr>
        <w:keepNext w:val="0"/>
        <w:keepLines w:val="0"/>
        <w:widowControl w:val="0"/>
        <w:suppressLineNumbers w:val="0"/>
        <w:suppressAutoHyphens/>
        <w:spacing w:before="0" w:beforeAutospacing="0" w:after="0" w:afterAutospacing="0" w:line="840" w:lineRule="exact"/>
        <w:ind w:left="0" w:right="0"/>
        <w:jc w:val="center"/>
        <w:rPr>
          <w:rFonts w:hint="default" w:ascii="Times New Roman" w:hAnsi="Times New Roman" w:eastAsia="华文中宋" w:cs="Times New Roman"/>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2C77F1DC">
      <w:pPr>
        <w:keepNext w:val="0"/>
        <w:keepLines w:val="0"/>
        <w:widowControl w:val="0"/>
        <w:suppressLineNumbers w:val="0"/>
        <w:suppressAutoHyphens/>
        <w:spacing w:before="0" w:beforeAutospacing="0" w:after="0" w:afterAutospacing="0" w:line="840" w:lineRule="exact"/>
        <w:ind w:left="-21" w:leftChars="-10" w:right="0"/>
        <w:jc w:val="center"/>
        <w:rPr>
          <w:rFonts w:hint="default" w:ascii="Times New Roman" w:hAnsi="Times New Roman"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7DABD36E">
      <w:pPr>
        <w:keepNext w:val="0"/>
        <w:keepLines w:val="0"/>
        <w:widowControl w:val="0"/>
        <w:suppressLineNumbers w:val="0"/>
        <w:suppressAutoHyphens/>
        <w:spacing w:before="0" w:beforeAutospacing="0" w:after="0" w:afterAutospacing="0" w:line="78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7AAC8514">
      <w:pPr>
        <w:keepNext w:val="0"/>
        <w:keepLines w:val="0"/>
        <w:widowControl w:val="0"/>
        <w:suppressLineNumbers w:val="0"/>
        <w:suppressAutoHyphens/>
        <w:wordWrap w:val="0"/>
        <w:spacing w:before="0" w:beforeAutospacing="0" w:after="0" w:afterAutospacing="0" w:line="360" w:lineRule="exact"/>
        <w:ind w:left="0" w:right="0" w:firstLine="573"/>
        <w:jc w:val="center"/>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272</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 xml:space="preserve"> </w:t>
      </w:r>
    </w:p>
    <w:p w14:paraId="76F95E96">
      <w:pPr>
        <w:keepNext w:val="0"/>
        <w:keepLines w:val="0"/>
        <w:widowControl w:val="0"/>
        <w:suppressLineNumbers w:val="0"/>
        <w:suppressAutoHyphens/>
        <w:spacing w:before="0" w:beforeAutospacing="0" w:after="0" w:afterAutospacing="0" w:line="340" w:lineRule="exact"/>
        <w:ind w:left="0" w:right="0" w:firstLine="556" w:firstLineChars="174"/>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3BE1C836">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上诉人（原审被告）：霸州市康某庄三某五金制品厂，经营场所河北省霸州市康某。</w:t>
      </w:r>
    </w:p>
    <w:p w14:paraId="132EBC75">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被上诉人（原审原告）：王某，女，汉族，住山东省菏泽市曹县楼庄乡南塔。</w:t>
      </w:r>
    </w:p>
    <w:p w14:paraId="37E52938">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原审被告：杭州阿某广告有限公司，住所地浙江省杭州市滨江区。</w:t>
      </w:r>
    </w:p>
    <w:p w14:paraId="5FF6B714">
      <w:pPr>
        <w:keepNext w:val="0"/>
        <w:keepLines w:val="0"/>
        <w:widowControl w:val="0"/>
        <w:suppressLineNumbers w:val="0"/>
        <w:autoSpaceDE w:val="0"/>
        <w:autoSpaceDN/>
        <w:spacing w:before="0" w:beforeAutospacing="0" w:after="0" w:afterAutospacing="0" w:line="660" w:lineRule="exact"/>
        <w:ind w:left="0" w:right="0" w:firstLine="0" w:firstLineChars="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上诉人霸州市康某庄三某五金制品厂（以下简称三某五金厂）因与被上诉人王某、原审被告杭州阿某广告有限公司（以下简称阿某公司）侵害外观设计专利权纠纷一案，不服浙江省杭州市中级人民法院（</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01</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2146</w:t>
      </w:r>
      <w:r>
        <w:rPr>
          <w:rFonts w:hint="eastAsia" w:ascii="仿宋_GB2312" w:hAnsi="Times New Roman" w:eastAsia="仿宋_GB2312" w:cs="仿宋_GB2312"/>
          <w:kern w:val="2"/>
          <w:sz w:val="32"/>
          <w:szCs w:val="32"/>
          <w:lang w:val="en-US" w:eastAsia="zh-CN" w:bidi="ar"/>
        </w:rPr>
        <w:t>号民事判决，向本院提起上诉，本院于</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日立案后，依法组成合议庭，并于同年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日公开开庭进行了审理。三某五金厂的委托诉讼代理人张冬暖、王某的委托诉讼代理人周祥玉、蒋超及阿某公司的委托诉讼代理人林佳欢到庭参加诉讼。本案现已审理终结。</w:t>
      </w:r>
    </w:p>
    <w:p w14:paraId="18E7A188">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三某五金厂上诉请求：撤销一审判决，改判驳回王某一审全部诉讼请求；一、二审诉讼费由王某承担。事实与理由：（一）被诉侵权设计与涉案专利设计</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有明显区别。一是涉案专利通孔为菱形，被诉侵权设计为圆形；二是涉案专利手扣为细长椭圆形，被诉侵权设计为弧形；三是涉案专利底部无任何设计，被诉侵权设计底部装有滑轮。因此，被诉侵权设计并未落入涉案专利权保护范围，三某五金厂未实施侵权行为。（二）被诉侵权产品并非三某五金厂生产，系三某五金厂通过合法途径购买，具有合法来源，三某五金厂对该产品侵害他人专利权并不知情，不应承担赔偿责任。</w:t>
      </w:r>
    </w:p>
    <w:p w14:paraId="2F8F7BEC">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王某辩称，被诉侵权设计与涉案专利构成近似，落入涉案专利权的保护范围，一审法院认定事实清楚，适用法律正确，请求依法驳回三某五金厂的上诉请求，维持原判。</w:t>
      </w:r>
    </w:p>
    <w:p w14:paraId="56A5C223">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阿某公司未发表意见。</w:t>
      </w:r>
    </w:p>
    <w:p w14:paraId="085581FA">
      <w:pPr>
        <w:keepNext w:val="0"/>
        <w:keepLines w:val="0"/>
        <w:widowControl w:val="0"/>
        <w:suppressLineNumbers w:val="0"/>
        <w:wordWrap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王某向一审法院起诉，请求判令三某五金厂、阿某公司：</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立即停止对</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置物篮（</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外观设计专利（专利号</w:t>
      </w:r>
      <w:r>
        <w:rPr>
          <w:rFonts w:hint="default" w:ascii="Times New Roman" w:hAnsi="Times New Roman" w:eastAsia="仿宋_GB2312" w:cs="Times New Roman"/>
          <w:kern w:val="2"/>
          <w:sz w:val="32"/>
          <w:szCs w:val="32"/>
          <w:lang w:val="en-US" w:eastAsia="zh-CN" w:bidi="ar"/>
        </w:rPr>
        <w:t>ZL2019****5403.5</w:t>
      </w:r>
      <w:r>
        <w:rPr>
          <w:rFonts w:hint="eastAsia" w:ascii="仿宋_GB2312" w:hAnsi="Times New Roman" w:eastAsia="仿宋_GB2312" w:cs="仿宋_GB2312"/>
          <w:kern w:val="2"/>
          <w:sz w:val="32"/>
          <w:szCs w:val="32"/>
          <w:lang w:val="en-US" w:eastAsia="zh-CN" w:bidi="ar"/>
        </w:rPr>
        <w:t>）的侵权行为，并销毁库存侵权产品、半成品及制造侵权产品的设备和模具；</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赔偿经济损失以及因调查和制止被诉侵权行为所支付的律师费、公证费、交通费等合理维权费用，合计</w:t>
      </w:r>
      <w:r>
        <w:rPr>
          <w:rFonts w:hint="default" w:ascii="Times New Roman" w:hAnsi="Times New Roman" w:eastAsia="仿宋_GB2312" w:cs="Times New Roman"/>
          <w:kern w:val="2"/>
          <w:sz w:val="32"/>
          <w:szCs w:val="32"/>
          <w:lang w:val="en-US" w:eastAsia="zh-CN" w:bidi="ar"/>
        </w:rPr>
        <w:t>50000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承担本案诉讼费。</w:t>
      </w:r>
    </w:p>
    <w:p w14:paraId="504C788E">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一审法院认定事实：王某系专利号为</w:t>
      </w:r>
      <w:r>
        <w:rPr>
          <w:rFonts w:hint="default" w:ascii="Times New Roman" w:hAnsi="Times New Roman" w:eastAsia="仿宋_GB2312" w:cs="Times New Roman"/>
          <w:kern w:val="2"/>
          <w:sz w:val="32"/>
          <w:szCs w:val="32"/>
          <w:lang w:val="en-US" w:eastAsia="zh-CN" w:bidi="ar"/>
        </w:rPr>
        <w:t>ZL2019****5403.5</w:t>
      </w:r>
      <w:r>
        <w:rPr>
          <w:rFonts w:hint="eastAsia" w:ascii="仿宋_GB2312" w:hAnsi="Times New Roman" w:eastAsia="仿宋_GB2312" w:cs="仿宋_GB2312"/>
          <w:kern w:val="2"/>
          <w:sz w:val="32"/>
          <w:szCs w:val="32"/>
          <w:lang w:val="en-US" w:eastAsia="zh-CN" w:bidi="ar"/>
        </w:rPr>
        <w:t>、名称为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置物篮（</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的外观设计专利的权利人，专利申请日为</w:t>
      </w:r>
      <w:r>
        <w:rPr>
          <w:rFonts w:hint="default" w:ascii="Times New Roman" w:hAnsi="Times New Roman" w:eastAsia="仿宋_GB2312" w:cs="Times New Roman"/>
          <w:kern w:val="2"/>
          <w:sz w:val="32"/>
          <w:szCs w:val="32"/>
          <w:lang w:val="en-US" w:eastAsia="zh-CN" w:bidi="ar"/>
        </w:rPr>
        <w:t>2019</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日，授权公告日为</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日，目前该专利有效。该专利简要说明记载，设计要点在于形状，最能表明设计要点的图片或照片是设计</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立体图。</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日，三某五金厂通过其开设的</w:t>
      </w:r>
      <w:r>
        <w:rPr>
          <w:rFonts w:hint="default" w:ascii="Times New Roman" w:hAnsi="Times New Roman" w:eastAsia="仿宋_GB2312" w:cs="Times New Roman"/>
          <w:kern w:val="2"/>
          <w:sz w:val="32"/>
          <w:szCs w:val="32"/>
          <w:lang w:val="en-US" w:eastAsia="zh-CN" w:bidi="ar"/>
        </w:rPr>
        <w:t>1688</w:t>
      </w:r>
      <w:r>
        <w:rPr>
          <w:rFonts w:hint="eastAsia" w:ascii="仿宋_GB2312" w:hAnsi="Times New Roman" w:eastAsia="仿宋_GB2312" w:cs="仿宋_GB2312"/>
          <w:kern w:val="2"/>
          <w:sz w:val="32"/>
          <w:szCs w:val="32"/>
          <w:lang w:val="en-US" w:eastAsia="zh-CN" w:bidi="ar"/>
        </w:rPr>
        <w:t>店铺以</w:t>
      </w:r>
      <w:r>
        <w:rPr>
          <w:rFonts w:hint="default" w:ascii="Times New Roman" w:hAnsi="Times New Roman" w:eastAsia="仿宋_GB2312" w:cs="Times New Roman"/>
          <w:kern w:val="2"/>
          <w:sz w:val="32"/>
          <w:szCs w:val="32"/>
          <w:lang w:val="en-US" w:eastAsia="zh-CN" w:bidi="ar"/>
        </w:rPr>
        <w:t>69</w:t>
      </w:r>
      <w:r>
        <w:rPr>
          <w:rFonts w:hint="eastAsia" w:ascii="仿宋_GB2312" w:hAnsi="Times New Roman" w:eastAsia="仿宋_GB2312" w:cs="仿宋_GB2312"/>
          <w:kern w:val="2"/>
          <w:sz w:val="32"/>
          <w:szCs w:val="32"/>
          <w:lang w:val="en-US" w:eastAsia="zh-CN" w:bidi="ar"/>
        </w:rPr>
        <w:t>元的价格售出被诉侵权产品</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个，销售页面显示产品图片、价格、品牌</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三木</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90</w:t>
      </w:r>
      <w:r>
        <w:rPr>
          <w:rFonts w:hint="eastAsia" w:ascii="仿宋_GB2312" w:hAnsi="Times New Roman" w:eastAsia="仿宋_GB2312" w:cs="仿宋_GB2312"/>
          <w:kern w:val="2"/>
          <w:sz w:val="32"/>
          <w:szCs w:val="32"/>
          <w:lang w:val="en-US" w:eastAsia="zh-CN" w:bidi="ar"/>
        </w:rPr>
        <w:t>天内成交</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个、</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条评价、大量可售、自有工厂、工厂直接出货等信息。</w:t>
      </w:r>
    </w:p>
    <w:p w14:paraId="23D10307">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经一审庭审比对，王某明确以涉案专利设计</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主张权利，认为被诉侵权产品外观与涉案专利设计</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构成近似。</w:t>
      </w:r>
    </w:p>
    <w:p w14:paraId="2C58F567">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一审另查明，三某五金厂系个体工商户，</w:t>
      </w:r>
      <w:r>
        <w:rPr>
          <w:rFonts w:hint="default" w:ascii="Times New Roman" w:hAnsi="Times New Roman" w:eastAsia="仿宋_GB2312" w:cs="Times New Roman"/>
          <w:kern w:val="2"/>
          <w:sz w:val="32"/>
          <w:szCs w:val="32"/>
          <w:lang w:val="en-US" w:eastAsia="zh-CN" w:bidi="ar"/>
        </w:rPr>
        <w:t>2019</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日经核准成立，经营范围为加工销售五金制品。</w:t>
      </w:r>
    </w:p>
    <w:p w14:paraId="5EA4FE3D">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一审法院认为，专利号为</w:t>
      </w:r>
      <w:r>
        <w:rPr>
          <w:rFonts w:hint="default" w:ascii="Times New Roman" w:hAnsi="Times New Roman" w:eastAsia="仿宋_GB2312" w:cs="Times New Roman"/>
          <w:kern w:val="2"/>
          <w:sz w:val="32"/>
          <w:szCs w:val="32"/>
          <w:lang w:val="en-US" w:eastAsia="zh-CN" w:bidi="ar"/>
        </w:rPr>
        <w:t>ZL2019****5403.5</w:t>
      </w:r>
      <w:r>
        <w:rPr>
          <w:rFonts w:hint="eastAsia" w:ascii="仿宋_GB2312" w:hAnsi="Times New Roman" w:eastAsia="仿宋_GB2312" w:cs="仿宋_GB2312"/>
          <w:kern w:val="2"/>
          <w:sz w:val="32"/>
          <w:szCs w:val="32"/>
          <w:lang w:val="en-US" w:eastAsia="zh-CN" w:bidi="ar"/>
        </w:rPr>
        <w:t>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置物篮（</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外观设计专利在有效期内，专利权人已履行了缴纳专利年费的义务，法律状态稳定，为有效专利，王某作为专利权人有权提起本案诉讼。</w:t>
      </w:r>
    </w:p>
    <w:p w14:paraId="6354F2B7">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案中，被诉侵权产品与涉案专利产品均为置物篮，系相同种类产品；经比对被诉侵权设计与授权外观设计的设计特征，二者的整体视觉效果相同，属近似设计，故应认定被诉侵权设计落入涉案专利权保护范围。结合涉案公证书记载的购买情况、店铺标注品牌</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三木</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自有工厂、工厂直接出货等信息及三某五金厂的经营范围，该院认定三某五金厂未经专利权人许可，以生产经营为目的制造、销售、许诺销售侵权产品，侵害了涉案专利权，应当承担停止侵权、赔偿损失及合理费用、销毁库存侵权产品及半成品的民事责任。因王某未提供初步证据证明三某五金厂存在专用设备和模具，故对其该项诉讼请求不予支持。</w:t>
      </w:r>
    </w:p>
    <w:p w14:paraId="3F19E943">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阿某公司系网络交易平台提供者，已经尽到合理注意义务，并未违反法律、行政法规的规定实施帮助行为，不构成共同侵权，王某亦无证据证明阿某公司实施了侵权行为，其关于阿某公司的诉讼请求，无事实和法律依据，不予支持。</w:t>
      </w:r>
    </w:p>
    <w:p w14:paraId="56ABE159">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关于赔偿数额，综合考虑涉案专利的类型、授权时间，侵权行为的性质，侵权产品售价、销售规模以及权利人的维权合理费用支出等因素，确定赔偿数额（含合理开支）共计</w:t>
      </w:r>
      <w:r>
        <w:rPr>
          <w:rFonts w:hint="default" w:ascii="Times New Roman" w:hAnsi="Times New Roman" w:eastAsia="仿宋_GB2312" w:cs="Times New Roman"/>
          <w:kern w:val="2"/>
          <w:sz w:val="32"/>
          <w:szCs w:val="32"/>
          <w:lang w:val="en-US" w:eastAsia="zh-CN" w:bidi="ar"/>
        </w:rPr>
        <w:t>30000</w:t>
      </w:r>
      <w:r>
        <w:rPr>
          <w:rFonts w:hint="eastAsia" w:ascii="仿宋_GB2312" w:hAnsi="Times New Roman" w:eastAsia="仿宋_GB2312" w:cs="仿宋_GB2312"/>
          <w:kern w:val="2"/>
          <w:sz w:val="32"/>
          <w:szCs w:val="32"/>
          <w:lang w:val="en-US" w:eastAsia="zh-CN" w:bidi="ar"/>
        </w:rPr>
        <w:t>元。</w:t>
      </w:r>
    </w:p>
    <w:p w14:paraId="041867E9">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依照《中华人民共和国专利法》第十一条第二款、第六十四条第二款、第七十一条，《最高人民法院关于审理侵犯专利权纠纷案件应用法律若干问题的解释》第八条、第十条、第十一条，《中华人民共和国民事诉讼法》第六十七条、第一百四十七条之规定，一审法院于</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日判决：一、三某五金厂立即停止制造、销售、许诺销售落入专利号为</w:t>
      </w:r>
      <w:r>
        <w:rPr>
          <w:rFonts w:hint="default" w:ascii="Times New Roman" w:hAnsi="Times New Roman" w:eastAsia="仿宋_GB2312" w:cs="Times New Roman"/>
          <w:kern w:val="2"/>
          <w:sz w:val="32"/>
          <w:szCs w:val="32"/>
          <w:lang w:val="en-US" w:eastAsia="zh-CN" w:bidi="ar"/>
        </w:rPr>
        <w:t>ZL2019****5403.5</w:t>
      </w:r>
      <w:r>
        <w:rPr>
          <w:rFonts w:hint="eastAsia" w:ascii="仿宋_GB2312" w:hAnsi="Times New Roman" w:eastAsia="仿宋_GB2312" w:cs="仿宋_GB2312"/>
          <w:kern w:val="2"/>
          <w:sz w:val="32"/>
          <w:szCs w:val="32"/>
          <w:lang w:val="en-US" w:eastAsia="zh-CN" w:bidi="ar"/>
        </w:rPr>
        <w:t>、名称为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置物篮（</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外观设计专利权保护范围的产品，并销毁库存侵权产品、半成品；二、三某五金厂于判决生效之日起十日内赔偿王某经济损失及为制止侵权所支付的合理费用共计</w:t>
      </w:r>
      <w:r>
        <w:rPr>
          <w:rFonts w:hint="default" w:ascii="Times New Roman" w:hAnsi="Times New Roman" w:eastAsia="仿宋_GB2312" w:cs="Times New Roman"/>
          <w:kern w:val="2"/>
          <w:sz w:val="32"/>
          <w:szCs w:val="32"/>
          <w:lang w:val="en-US" w:eastAsia="zh-CN" w:bidi="ar"/>
        </w:rPr>
        <w:t>30000</w:t>
      </w:r>
      <w:r>
        <w:rPr>
          <w:rFonts w:hint="eastAsia" w:ascii="仿宋_GB2312" w:hAnsi="Times New Roman" w:eastAsia="仿宋_GB2312" w:cs="仿宋_GB2312"/>
          <w:kern w:val="2"/>
          <w:sz w:val="32"/>
          <w:szCs w:val="32"/>
          <w:lang w:val="en-US" w:eastAsia="zh-CN" w:bidi="ar"/>
        </w:rPr>
        <w:t>元；三、驳回王某的其他诉讼请求。如果未按判决指定的期间履行给付金钱义务，应当依照《中华人民共和国民事诉讼法》第二百六十四条之规定，加倍支付迟延履行期间的债务利息。一审案件受理费</w:t>
      </w:r>
      <w:r>
        <w:rPr>
          <w:rFonts w:hint="default" w:ascii="Times New Roman" w:hAnsi="Times New Roman" w:eastAsia="仿宋_GB2312" w:cs="Times New Roman"/>
          <w:kern w:val="2"/>
          <w:sz w:val="32"/>
          <w:szCs w:val="32"/>
          <w:lang w:val="en-US" w:eastAsia="zh-CN" w:bidi="ar"/>
        </w:rPr>
        <w:t>1050</w:t>
      </w:r>
      <w:r>
        <w:rPr>
          <w:rFonts w:hint="eastAsia" w:ascii="仿宋_GB2312" w:hAnsi="Times New Roman" w:eastAsia="仿宋_GB2312" w:cs="仿宋_GB2312"/>
          <w:kern w:val="2"/>
          <w:sz w:val="32"/>
          <w:szCs w:val="32"/>
          <w:lang w:val="en-US" w:eastAsia="zh-CN" w:bidi="ar"/>
        </w:rPr>
        <w:t>元，由三某五金厂负担</w:t>
      </w:r>
      <w:r>
        <w:rPr>
          <w:rFonts w:hint="default" w:ascii="Times New Roman" w:hAnsi="Times New Roman" w:eastAsia="仿宋_GB2312" w:cs="Times New Roman"/>
          <w:kern w:val="2"/>
          <w:sz w:val="32"/>
          <w:szCs w:val="32"/>
          <w:lang w:val="en-US" w:eastAsia="zh-CN" w:bidi="ar"/>
        </w:rPr>
        <w:t>840</w:t>
      </w:r>
      <w:r>
        <w:rPr>
          <w:rFonts w:hint="eastAsia" w:ascii="仿宋_GB2312" w:hAnsi="Times New Roman" w:eastAsia="仿宋_GB2312" w:cs="仿宋_GB2312"/>
          <w:kern w:val="2"/>
          <w:sz w:val="32"/>
          <w:szCs w:val="32"/>
          <w:lang w:val="en-US" w:eastAsia="zh-CN" w:bidi="ar"/>
        </w:rPr>
        <w:t>元，王某负担</w:t>
      </w:r>
      <w:r>
        <w:rPr>
          <w:rFonts w:hint="default" w:ascii="Times New Roman" w:hAnsi="Times New Roman" w:eastAsia="仿宋_GB2312" w:cs="Times New Roman"/>
          <w:kern w:val="2"/>
          <w:sz w:val="32"/>
          <w:szCs w:val="32"/>
          <w:lang w:val="en-US" w:eastAsia="zh-CN" w:bidi="ar"/>
        </w:rPr>
        <w:t>210</w:t>
      </w:r>
      <w:r>
        <w:rPr>
          <w:rFonts w:hint="eastAsia" w:ascii="仿宋_GB2312" w:hAnsi="Times New Roman" w:eastAsia="仿宋_GB2312" w:cs="仿宋_GB2312"/>
          <w:kern w:val="2"/>
          <w:sz w:val="32"/>
          <w:szCs w:val="32"/>
          <w:lang w:val="en-US" w:eastAsia="zh-CN" w:bidi="ar"/>
        </w:rPr>
        <w:t>元。</w:t>
      </w:r>
    </w:p>
    <w:p w14:paraId="6D4E1211">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二审期间，王某、阿某公司均未提交新证据。三某五金厂提交了以下新证据：第一组证据：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三某五金厂与案外人张录超的买卖合同；</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某平台聊天页面截图；</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某平台转账记录截图；</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送货单。该组证据拟证明三某五金厂销售的被诉侵权产品有合法来源。第二组证据：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激光切割机图片及用途简介；</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铁板折弯机图片及用途简介。该组证据拟证明三某五金厂的机器为五金制造机器，不具备制造被诉侵权产品的能力。第三组证据：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复审、无效宣告程序电子文件回执；</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无效宣告请求受理通知书。该组证据拟证明涉案专利已进入无效宣告程序，目前处于不稳定的法律状态。第四组证据：刷单聊天记录，拟证明三某五金厂涉案店铺显示的</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日被诉侵权产品</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件销量系刷单。第五组证据：某平台名称</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豆豆</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的身份信息，拟证明第一组证据中某平台聊天的对象为张录超。第六组证据：买卖合同签字说明，拟证明证据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买卖合同中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王某甲</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的签名为三某五金厂的库管代签，故字迹与送货单不同。</w:t>
      </w:r>
    </w:p>
    <w:p w14:paraId="309A5260">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经质证，王某对上述证据发表意见如下：针对第一组证据，认可证据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的形式真实性，但认为该买卖合同存在倒签可能，不认可其内容真实性；认可证据</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的真实性、合法性，但对其关联性均有异议。针对第二组证据，认可其真实性、合法性，但对关联性有异议。针对第三组证据，认可其真实性、合法性与关联性，但认为该组证据无法实现其证明目的。针对第四至六组证据，不认可其关联性与证明目的，真实性由法院核实。阿某公司对上述证据未发表质证意见。</w:t>
      </w:r>
    </w:p>
    <w:p w14:paraId="2C7A51C3">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本院经审查，认证如下：针对第一组证据，证据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系原件，对其真实性、合法性予以认定，证据</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已在一审中提交，非二审新证据，但鉴于一审法院未采纳，在二审中王某均认可其真实性、合法性，故对证据</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的真实性、合法性亦予认定。证据</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所显示的付款时间、产品数量、价格等信息均能与证据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买卖合同相对应，且买卖合同中注有该产品的外观设计专利号，该外观设计专利图片与本案被诉侵权产品一致，故该组证据与本案存在关联性，能够证明三某五金厂对外采购“脏衣篮”产品的事实，本院予以认定。针对第二组证据，对其真实性、合法性予以认定，但该组证据的机器图片均来源于网络，与三某五金厂的实际生产能力无关，对其关联性不予认定。针对第三组证据，对其真实性、合法性予以认定，但仅凭无效宣告请求受理通知书不足以说明涉案专利权的法律状态，且本案一审中王某已提供了专利权无缺陷的评价报告，故对该组证据不予认定。针对第四、五组证据，经本院庭后核实，对其真实性、合法性予以认定，第六组证据实际系当事人陈述，该些证据分别反映了被诉侵权产品的刷单情况及买卖合同各方主体信息，与本案具有关联性，本院予以认定。</w:t>
      </w:r>
    </w:p>
    <w:p w14:paraId="6F807971">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本院对一审法院查明的事实予以确认。二审另查明，三某五金厂与案外人张录超签订买卖合同，购买名为“脏衣篮（专利号</w:t>
      </w:r>
      <w:r>
        <w:rPr>
          <w:rFonts w:hint="default" w:ascii="Times New Roman" w:hAnsi="Times New Roman" w:eastAsia="仿宋_GB2312" w:cs="Times New Roman"/>
          <w:kern w:val="2"/>
          <w:sz w:val="32"/>
          <w:szCs w:val="32"/>
          <w:lang w:val="en-US" w:eastAsia="zh-CN" w:bidi="ar"/>
        </w:rPr>
        <w:t>ZL202230076024.0</w:t>
      </w:r>
      <w:r>
        <w:rPr>
          <w:rFonts w:hint="eastAsia" w:ascii="仿宋_GB2312" w:hAnsi="Times New Roman" w:eastAsia="仿宋_GB2312" w:cs="仿宋_GB2312"/>
          <w:kern w:val="2"/>
          <w:sz w:val="32"/>
          <w:szCs w:val="32"/>
          <w:lang w:val="en-US" w:eastAsia="zh-CN" w:bidi="ar"/>
        </w:rPr>
        <w:t>）”的产品共</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个，落款日期为</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日。同日三某五金厂将货款</w:t>
      </w:r>
      <w:r>
        <w:rPr>
          <w:rFonts w:hint="default" w:ascii="Times New Roman" w:hAnsi="Times New Roman" w:eastAsia="仿宋_GB2312" w:cs="Times New Roman"/>
          <w:kern w:val="2"/>
          <w:sz w:val="32"/>
          <w:szCs w:val="32"/>
          <w:lang w:val="en-US" w:eastAsia="zh-CN" w:bidi="ar"/>
        </w:rPr>
        <w:t>4500</w:t>
      </w:r>
      <w:r>
        <w:rPr>
          <w:rFonts w:hint="eastAsia" w:ascii="仿宋_GB2312" w:hAnsi="Times New Roman" w:eastAsia="仿宋_GB2312" w:cs="仿宋_GB2312"/>
          <w:kern w:val="2"/>
          <w:sz w:val="32"/>
          <w:szCs w:val="32"/>
          <w:lang w:val="en-US" w:eastAsia="zh-CN" w:bidi="ar"/>
        </w:rPr>
        <w:t>元通过某平台转账至张录超备注名为“豆豆”的某平台号，送货单显示，三某五金厂经营者王某甲于同日收到该批货物。买卖合同所涉专利号为</w:t>
      </w:r>
      <w:r>
        <w:rPr>
          <w:rFonts w:hint="default" w:ascii="Times New Roman" w:hAnsi="Times New Roman" w:eastAsia="仿宋_GB2312" w:cs="Times New Roman"/>
          <w:kern w:val="2"/>
          <w:sz w:val="32"/>
          <w:szCs w:val="32"/>
          <w:lang w:val="en-US" w:eastAsia="zh-CN" w:bidi="ar"/>
        </w:rPr>
        <w:t>ZL202230076024.0</w:t>
      </w:r>
      <w:r>
        <w:rPr>
          <w:rFonts w:hint="eastAsia" w:ascii="仿宋_GB2312" w:hAnsi="Times New Roman" w:eastAsia="仿宋_GB2312" w:cs="仿宋_GB2312"/>
          <w:kern w:val="2"/>
          <w:sz w:val="32"/>
          <w:szCs w:val="32"/>
          <w:lang w:val="en-US" w:eastAsia="zh-CN" w:bidi="ar"/>
        </w:rPr>
        <w:t>、名称为“脏衣服分类箱”的外观设计专利的权利人为张录超，经比对，该专利外观与被诉侵权设计一致。</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日，三某五金厂向备注名为“艾嫂”的某平台用户发送消息称“给我刷刷单”，并附拟刷单的产品截图，截图中含有与本案被诉侵权产品</w:t>
      </w:r>
      <w:r>
        <w:rPr>
          <w:rFonts w:hint="default" w:ascii="Times New Roman" w:hAnsi="Times New Roman" w:eastAsia="仿宋_GB2312" w:cs="Times New Roman"/>
          <w:kern w:val="2"/>
          <w:sz w:val="32"/>
          <w:szCs w:val="32"/>
          <w:lang w:val="en-US" w:eastAsia="zh-CN" w:bidi="ar"/>
        </w:rPr>
        <w:t>ID</w:t>
      </w:r>
      <w:r>
        <w:rPr>
          <w:rFonts w:hint="eastAsia" w:ascii="仿宋_GB2312" w:hAnsi="Times New Roman" w:eastAsia="仿宋_GB2312" w:cs="仿宋_GB2312"/>
          <w:kern w:val="2"/>
          <w:sz w:val="32"/>
          <w:szCs w:val="32"/>
          <w:lang w:val="en-US" w:eastAsia="zh-CN" w:bidi="ar"/>
        </w:rPr>
        <w:t>号一致的产品图片。被诉侵权产品销售页面显示，共有</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条用户评价，其中</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日的评价显示该用户购买量为“</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个”，另两条评价分别为同年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19</w:t>
      </w:r>
      <w:r>
        <w:rPr>
          <w:rFonts w:hint="eastAsia" w:ascii="仿宋_GB2312" w:hAnsi="Times New Roman" w:eastAsia="仿宋_GB2312" w:cs="仿宋_GB2312"/>
          <w:kern w:val="2"/>
          <w:sz w:val="32"/>
          <w:szCs w:val="32"/>
          <w:lang w:val="en-US" w:eastAsia="zh-CN" w:bidi="ar"/>
        </w:rPr>
        <w:t>日购买量“</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个”、</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日购买量“</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个”。</w:t>
      </w:r>
    </w:p>
    <w:p w14:paraId="5130C206">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审中，三某五金厂认可其实施了销售、许诺销售被诉侵权产品的行为。根据三某五金厂的上诉请求、理由及王某的答辩意见，本院认为，本案二审的争议焦点在于：一、被诉侵权设计是否落入涉案专利权保护范围；二、三某五金厂是否实施了制造被诉侵权产品的行为，以及其主张的合法来源抗辩是否成立；三、在侵权成立的前提下，三某五金厂应当承担何种侵权责任。</w:t>
      </w:r>
    </w:p>
    <w:p w14:paraId="2ADE1BAA">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一、被诉侵权设计是否落入涉案专利权保护范围</w:t>
      </w:r>
    </w:p>
    <w:p w14:paraId="1C752E5D">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中华人民共和国专利法》第六十四条第二款之规定，外观设计专利权的保护范围以表示在图片或者照片中的该产品的外观设计为准，简要说明可以用于解释图片或者照片所表示的该产品的外观设计。根据《最高人民法院关于审理侵犯专利权纠纷案件应用法律若干问题的解释》第八条、第十条、第十一条之规定，在与外观设计专利产品相同或者相近种类产品上，采用与授权外观设计相同或者近似的外观设计的，人民法院应当认定被诉侵权设计落入外观设计专利权的保护范围。人民法院应当以外观设计专利产品的一般消费者的知识水平和认知能力，判断外观设计是否相同或者近似。人民法院认定外观设计是否相同或者近似时，应当根据授权外观设计、被诉侵权设计的设计特征，以外观设计的整体视觉效果进行综合判断。</w:t>
      </w:r>
    </w:p>
    <w:p w14:paraId="062D9D8A">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案中，被诉侵权产品与涉案专利产品均为置物篮，系相同种类产品，可以进行比对。经比对，被诉侵权设计与授权外观设计整体构造均分为上下两部分，上部由两个对称的圆角长方体篮筐组成，每个篮筐均设有弧形把手；下部为可倾斜拉出的篮筐设计；上下两层结构表面均有若干镂空小孔。虽然授权外观设计的通孔为菱形，下部篮筐手扣为细长椭圆形，而被诉侵权设计的通孔为圆形，下部篮筐手扣为弧形，但该两处区别均属于细微差异，对整体视觉效果上不具有明显影响。至于被诉侵权设计底部多出的滑轮设计，考虑到该滑轮系位于篮筐底部的可拆卸装置，在整体设计中的占比较小，且属于产品正常使用时不易被直接观察到的部分，不会使整体视觉效果产生实质性差异。因此，应当认为被诉侵权设计与授权外观设计构成近似，被诉侵权设计落入涉案专利权的保护范围。</w:t>
      </w:r>
    </w:p>
    <w:p w14:paraId="2B8BD3AA">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二、三某五金厂是否实施了制造被诉侵权产品的行为，以及其主张的合法来源抗辩是否成立</w:t>
      </w:r>
    </w:p>
    <w:p w14:paraId="7FE37A86">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首先，关于三某五金厂有无实施制造行为的问题。根据在案证据，被诉侵权产品上未标注任何制造者信息，而被诉侵权产品销售网页上明确标注有品牌“三木”、自有工厂等信息，一审法院据此推定三某五金厂实施了制造被诉侵权产品的行为本无不当。但在二审过程中，三某五金厂补充提交了多份新证据，本院经审查认为，该部分证据能够形成相互印证的证据链，足以推翻被诉侵权产品系三某五金厂制造的认定。具体而言，其一，三某五金厂与张录超签订有买卖合同，合同中载明所交易产品的专利号为</w:t>
      </w:r>
      <w:r>
        <w:rPr>
          <w:rFonts w:hint="default" w:ascii="Times New Roman" w:hAnsi="Times New Roman" w:eastAsia="仿宋_GB2312" w:cs="Times New Roman"/>
          <w:kern w:val="2"/>
          <w:sz w:val="32"/>
          <w:szCs w:val="32"/>
          <w:lang w:val="en-US" w:eastAsia="zh-CN" w:bidi="ar"/>
        </w:rPr>
        <w:t>ZL202230076024.0</w:t>
      </w:r>
      <w:r>
        <w:rPr>
          <w:rFonts w:hint="eastAsia" w:ascii="仿宋_GB2312" w:hAnsi="Times New Roman" w:eastAsia="仿宋_GB2312" w:cs="仿宋_GB2312"/>
          <w:kern w:val="2"/>
          <w:sz w:val="32"/>
          <w:szCs w:val="32"/>
          <w:lang w:val="en-US" w:eastAsia="zh-CN" w:bidi="ar"/>
        </w:rPr>
        <w:t>，该专利的权利人即为张录超。经比对，被诉侵权设计与该专利的外观设计图片一致。其二，买卖合同的落款时间及所记载的产品数量、单价等信息，与三某五金厂经营者王某甲和张录超的某平台转账记录以及送货单信息相吻合。其三，虽然被诉侵权产品的用户评价时间最早出现在</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月，略早于上述买卖合同时间，但</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月的两条评价显示的购买数量较少，分别为</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件、</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件，三某五金厂对此解释称系因为提前试销售了零星数量的产品后方签订买卖合同，具有一定合理性，可予采信。最后，被诉侵权产品下的</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条用户评价显示销量虽已超出合同记载的产品数量</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件，但三某五金厂已提供证据证明其中的</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件系刷单形成。综上，三某五金厂提供的证据能够证明被诉侵权产品来源于案外人，并非其制造。一审判决关于三某五金厂制造被诉侵权产品的认定有误，本院予以纠正。</w:t>
      </w:r>
    </w:p>
    <w:p w14:paraId="416C5A7E">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其次，关于合法来源抗辩能否成立的问题。《中华人民共和国专利法》第七十七条规定，为生产经营目的使用、许诺销售或者销售不知道是未经专利权人许可而制造并售出的专利侵权产品，能证明合法来源的，不承担赔偿责任。合法来源抗辩成立的要件包括客观和主观两个方面，具体到本案中，三某五金厂不仅需证明被诉侵权产品在客观上来源于他人，而且应当满足其对侵权行为的发生不存在主观过错的要件。在案证据虽显示被诉侵权产品客观上来源于张录超，但三某五金厂在产品销售网页中明确标注品牌“三木”、自有工厂等信息，对外彰显了产品制造者的身份，与普通销售者相比，其实际获利更大，且能够借此为自身品牌积累更多商誉。因此，根据权利义务对等原则，三某五金厂虽非实际制造者，但其应当承担的注意义务应与制造者相当。现三某五金厂未尽合理注意义务，导致涉案侵权事实的发生，其合法来源抗辩不能成立，应当承担相应的侵权责任。</w:t>
      </w:r>
    </w:p>
    <w:p w14:paraId="6DBEA97D">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三、三某五金厂应当承担的侵权责任</w:t>
      </w:r>
    </w:p>
    <w:p w14:paraId="60E114AD">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某五金厂未经许可，销售、许诺销售被诉侵权产品，侵害王某的涉案专利权，应当承担停止侵害、赔偿损失等侵权责任。对王某要求三某五金厂停止销售、许诺销售，并销毁库存侵权产品的诉讼请求，予以支持；对王某要求销毁半成品及制造侵权产品的设备和模具的诉讼请求，因其未提供任何证据证明销售者三某五金厂持有半成品或相关设备、模具，故不予支持。关于损害赔偿数额，一审法院系适用法定赔偿方法予以确定。本院认为，当权利人因被侵权所受损失或侵权人因侵权所得利益的确切数额难以查明，但有证据证明前述数额明显超过法定赔偿的最高限额或者明显低于法定赔偿的最低限额时，应当基于相关证据并综合案件具体情况，在法定最高限额以上或法定最低限额以下以裁量性方式确定赔偿数额。本案中，考虑到三某五金厂在二审中已尽力举证被诉侵权产品来源，且被诉侵权产品实际销量较小、单价较低，本院综合涉案专利的类型和市场价值、侵权行为的性质、三某五金厂的主观过错程度以及被诉侵权产品的销售数量、销售金额等因素，酌情确定三某五金厂向王某赔偿经济损失及合理费用开支合计</w:t>
      </w:r>
      <w:r>
        <w:rPr>
          <w:rFonts w:hint="default" w:ascii="Times New Roman" w:hAnsi="Times New Roman" w:eastAsia="仿宋_GB2312" w:cs="Times New Roman"/>
          <w:kern w:val="2"/>
          <w:sz w:val="32"/>
          <w:szCs w:val="32"/>
          <w:lang w:val="en-US" w:eastAsia="zh-CN" w:bidi="ar"/>
        </w:rPr>
        <w:t>10000</w:t>
      </w:r>
      <w:r>
        <w:rPr>
          <w:rFonts w:hint="eastAsia" w:ascii="仿宋_GB2312" w:hAnsi="Times New Roman" w:eastAsia="仿宋_GB2312" w:cs="仿宋_GB2312"/>
          <w:kern w:val="2"/>
          <w:sz w:val="32"/>
          <w:szCs w:val="32"/>
          <w:lang w:val="en-US" w:eastAsia="zh-CN" w:bidi="ar"/>
        </w:rPr>
        <w:t>元。</w:t>
      </w:r>
    </w:p>
    <w:p w14:paraId="52631A41">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至于本案的二审诉讼费，考虑到二审系因三某五金厂提交的新证据而改判，该些证据本可在一审中提交，故二审案件受理费应由三某五金厂负担。</w:t>
      </w:r>
    </w:p>
    <w:p w14:paraId="59ABF37B">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三某五金厂的部分上诉理由成立，对其上诉请求中的合理部分予以支持。一审判决本无不当，但由于二审出现新证据，本院根据新查明的事实予以改判。依照《中华人民共和国专利法》第六十四条、第七十七条、第七十一条，《最高人民法院关于审理侵犯专利权纠纷案件应用法律若干问题的解释》第八条、第十条、第十一条，《中华人民共和国民事诉讼法》第一百七十七条第一款第二项之规定，判决如下：</w:t>
      </w:r>
    </w:p>
    <w:p w14:paraId="3D9FBA52">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一、撤销浙江省杭州市中级人民法院（</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01</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2146</w:t>
      </w:r>
      <w:r>
        <w:rPr>
          <w:rFonts w:hint="eastAsia" w:ascii="仿宋_GB2312" w:hAnsi="Times New Roman" w:eastAsia="仿宋_GB2312" w:cs="仿宋_GB2312"/>
          <w:kern w:val="2"/>
          <w:sz w:val="32"/>
          <w:szCs w:val="32"/>
          <w:lang w:val="en-US" w:eastAsia="zh-CN" w:bidi="ar"/>
        </w:rPr>
        <w:t>号民事判决；</w:t>
      </w:r>
    </w:p>
    <w:p w14:paraId="6EED85BD">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二、霸州市康某庄三某五金制品厂立即停止销售、许诺销售落入专利号为</w:t>
      </w:r>
      <w:r>
        <w:rPr>
          <w:rFonts w:hint="default" w:ascii="Times New Roman" w:hAnsi="Times New Roman" w:eastAsia="仿宋_GB2312" w:cs="Times New Roman"/>
          <w:kern w:val="2"/>
          <w:sz w:val="32"/>
          <w:szCs w:val="32"/>
          <w:lang w:val="en-US" w:eastAsia="zh-CN" w:bidi="ar"/>
        </w:rPr>
        <w:t>ZL2019****5403.5</w:t>
      </w:r>
      <w:r>
        <w:rPr>
          <w:rFonts w:hint="eastAsia" w:ascii="仿宋_GB2312" w:hAnsi="Times New Roman" w:eastAsia="仿宋_GB2312" w:cs="仿宋_GB2312"/>
          <w:kern w:val="2"/>
          <w:sz w:val="32"/>
          <w:szCs w:val="32"/>
          <w:lang w:val="en-US" w:eastAsia="zh-CN" w:bidi="ar"/>
        </w:rPr>
        <w:t>、名称为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置物篮（</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外观设计专利权保护范围的产品，并销毁库存侵权产品；</w:t>
      </w:r>
    </w:p>
    <w:p w14:paraId="220494D2">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28"/>
          <w:szCs w:val="28"/>
        </w:rPr>
      </w:pPr>
      <w:r>
        <w:rPr>
          <w:rFonts w:hint="eastAsia" w:ascii="仿宋_GB2312" w:hAnsi="Times New Roman" w:eastAsia="仿宋_GB2312" w:cs="仿宋_GB2312"/>
          <w:kern w:val="2"/>
          <w:sz w:val="32"/>
          <w:szCs w:val="32"/>
          <w:lang w:val="en-US" w:eastAsia="zh-CN" w:bidi="ar"/>
        </w:rPr>
        <w:t>三、霸州市康某庄三某五金制品厂于本判决送达之日起十日内赔偿王某经济损失及为制止侵权所支付的合理开支共计</w:t>
      </w:r>
      <w:r>
        <w:rPr>
          <w:rFonts w:hint="default" w:ascii="Times New Roman" w:hAnsi="Times New Roman" w:eastAsia="仿宋_GB2312" w:cs="Times New Roman"/>
          <w:kern w:val="2"/>
          <w:sz w:val="32"/>
          <w:szCs w:val="32"/>
          <w:lang w:val="en-US" w:eastAsia="zh-CN" w:bidi="ar"/>
        </w:rPr>
        <w:t>10000</w:t>
      </w:r>
      <w:r>
        <w:rPr>
          <w:rFonts w:hint="eastAsia" w:ascii="仿宋_GB2312" w:hAnsi="Times New Roman" w:eastAsia="仿宋_GB2312" w:cs="仿宋_GB2312"/>
          <w:kern w:val="2"/>
          <w:sz w:val="32"/>
          <w:szCs w:val="32"/>
          <w:lang w:val="en-US" w:eastAsia="zh-CN" w:bidi="ar"/>
        </w:rPr>
        <w:t>元；</w:t>
      </w:r>
    </w:p>
    <w:p w14:paraId="1766C34B">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四、驳回王某的其他诉讼请求。</w:t>
      </w:r>
    </w:p>
    <w:p w14:paraId="42BB94CA">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如果未按本判决指定的期间履行给付金钱义务，应当依照《中华人民共和国民事诉讼法》第二百六十四条之规定，加倍支付迟延履行期间的债务利息。</w:t>
      </w:r>
    </w:p>
    <w:p w14:paraId="434A71D7">
      <w:pPr>
        <w:keepNext w:val="0"/>
        <w:keepLines w:val="0"/>
        <w:widowControl w:val="0"/>
        <w:suppressLineNumbers w:val="0"/>
        <w:autoSpaceDE w:val="0"/>
        <w:autoSpaceDN/>
        <w:spacing w:before="0" w:beforeAutospacing="0" w:after="0" w:afterAutospacing="0" w:line="6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一审案件受理费</w:t>
      </w:r>
      <w:r>
        <w:rPr>
          <w:rFonts w:hint="default" w:ascii="Times New Roman" w:hAnsi="Times New Roman" w:eastAsia="仿宋_GB2312" w:cs="Times New Roman"/>
          <w:kern w:val="2"/>
          <w:sz w:val="32"/>
          <w:szCs w:val="32"/>
          <w:lang w:val="en-US" w:eastAsia="zh-CN" w:bidi="ar"/>
        </w:rPr>
        <w:t>1050</w:t>
      </w:r>
      <w:r>
        <w:rPr>
          <w:rFonts w:hint="eastAsia" w:ascii="仿宋_GB2312" w:hAnsi="Times New Roman" w:eastAsia="仿宋_GB2312" w:cs="仿宋_GB2312"/>
          <w:kern w:val="2"/>
          <w:sz w:val="32"/>
          <w:szCs w:val="32"/>
          <w:lang w:val="en-US" w:eastAsia="zh-CN" w:bidi="ar"/>
        </w:rPr>
        <w:t>元，由霸州市康某庄三某五金制品厂负担</w:t>
      </w:r>
      <w:r>
        <w:rPr>
          <w:rFonts w:hint="default" w:ascii="Times New Roman" w:hAnsi="Times New Roman" w:eastAsia="仿宋_GB2312" w:cs="Times New Roman"/>
          <w:kern w:val="2"/>
          <w:sz w:val="32"/>
          <w:szCs w:val="32"/>
          <w:lang w:val="en-US" w:eastAsia="zh-CN" w:bidi="ar"/>
        </w:rPr>
        <w:t>630</w:t>
      </w:r>
      <w:r>
        <w:rPr>
          <w:rFonts w:hint="eastAsia" w:ascii="仿宋_GB2312" w:hAnsi="Times New Roman" w:eastAsia="仿宋_GB2312" w:cs="仿宋_GB2312"/>
          <w:kern w:val="2"/>
          <w:sz w:val="32"/>
          <w:szCs w:val="32"/>
          <w:lang w:val="en-US" w:eastAsia="zh-CN" w:bidi="ar"/>
        </w:rPr>
        <w:t>元，王某负担</w:t>
      </w:r>
      <w:r>
        <w:rPr>
          <w:rFonts w:hint="default" w:ascii="Times New Roman" w:hAnsi="Times New Roman" w:eastAsia="仿宋_GB2312" w:cs="Times New Roman"/>
          <w:kern w:val="2"/>
          <w:sz w:val="32"/>
          <w:szCs w:val="32"/>
          <w:lang w:val="en-US" w:eastAsia="zh-CN" w:bidi="ar"/>
        </w:rPr>
        <w:t>420</w:t>
      </w:r>
      <w:r>
        <w:rPr>
          <w:rFonts w:hint="eastAsia" w:ascii="仿宋_GB2312" w:hAnsi="Times New Roman" w:eastAsia="仿宋_GB2312" w:cs="仿宋_GB2312"/>
          <w:kern w:val="2"/>
          <w:sz w:val="32"/>
          <w:szCs w:val="32"/>
          <w:lang w:val="en-US" w:eastAsia="zh-CN" w:bidi="ar"/>
        </w:rPr>
        <w:t>元；二审案件受理费</w:t>
      </w:r>
      <w:r>
        <w:rPr>
          <w:rFonts w:hint="default" w:ascii="Times New Roman" w:hAnsi="Times New Roman" w:eastAsia="仿宋_GB2312" w:cs="Times New Roman"/>
          <w:kern w:val="2"/>
          <w:sz w:val="32"/>
          <w:szCs w:val="32"/>
          <w:lang w:val="en-US" w:eastAsia="zh-CN" w:bidi="ar"/>
        </w:rPr>
        <w:t>550</w:t>
      </w:r>
      <w:r>
        <w:rPr>
          <w:rFonts w:hint="eastAsia" w:ascii="仿宋_GB2312" w:hAnsi="Times New Roman" w:eastAsia="仿宋_GB2312" w:cs="仿宋_GB2312"/>
          <w:kern w:val="2"/>
          <w:sz w:val="32"/>
          <w:szCs w:val="32"/>
          <w:lang w:val="en-US" w:eastAsia="zh-CN" w:bidi="ar"/>
        </w:rPr>
        <w:t>元，由霸州市康某庄三某五金制品厂负担。</w:t>
      </w:r>
    </w:p>
    <w:p w14:paraId="1A517090">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本判决为终审判决。</w:t>
      </w:r>
    </w:p>
    <w:p w14:paraId="23A5388B">
      <w:pPr>
        <w:pStyle w:val="2"/>
        <w:keepNext w:val="0"/>
        <w:keepLines w:val="0"/>
        <w:widowControl w:val="0"/>
        <w:suppressLineNumbers w:val="0"/>
        <w:autoSpaceDE w:val="0"/>
        <w:autoSpaceDN/>
        <w:spacing w:line="592" w:lineRule="exact"/>
        <w:ind w:left="0" w:right="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 xml:space="preserve"> </w:t>
      </w:r>
    </w:p>
    <w:p w14:paraId="5CDA6C4E">
      <w:pPr>
        <w:pStyle w:val="2"/>
        <w:keepNext w:val="0"/>
        <w:keepLines w:val="0"/>
        <w:widowControl w:val="0"/>
        <w:suppressLineNumbers w:val="0"/>
        <w:autoSpaceDE w:val="0"/>
        <w:autoSpaceDN/>
        <w:spacing w:line="592" w:lineRule="exact"/>
        <w:ind w:left="0" w:right="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 xml:space="preserve"> </w:t>
      </w:r>
    </w:p>
    <w:p w14:paraId="6FF4C4FC">
      <w:pPr>
        <w:pStyle w:val="2"/>
        <w:keepNext w:val="0"/>
        <w:keepLines w:val="0"/>
        <w:widowControl w:val="0"/>
        <w:suppressLineNumbers w:val="0"/>
        <w:autoSpaceDE w:val="0"/>
        <w:autoSpaceDN/>
        <w:spacing w:line="592" w:lineRule="exact"/>
        <w:ind w:left="0" w:right="0"/>
        <w:rPr>
          <w:rFonts w:hint="eastAsia" w:ascii="Times New Roman" w:hAnsi="Times New Roman" w:eastAsia="仿宋_GB2312" w:cs="Times New Roman"/>
          <w:kern w:val="2"/>
          <w:sz w:val="32"/>
          <w:szCs w:val="32"/>
        </w:rPr>
      </w:pPr>
    </w:p>
    <w:p w14:paraId="42CE94D9">
      <w:pPr>
        <w:pStyle w:val="2"/>
        <w:keepNext w:val="0"/>
        <w:keepLines w:val="0"/>
        <w:widowControl w:val="0"/>
        <w:suppressLineNumbers w:val="0"/>
        <w:autoSpaceDE w:val="0"/>
        <w:autoSpaceDN/>
        <w:spacing w:line="592" w:lineRule="exact"/>
        <w:ind w:left="0" w:right="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 xml:space="preserve"> </w:t>
      </w:r>
    </w:p>
    <w:p w14:paraId="349AED6C">
      <w:pPr>
        <w:keepNext w:val="0"/>
        <w:keepLines w:val="0"/>
        <w:widowControl w:val="0"/>
        <w:suppressLineNumbers w:val="0"/>
        <w:tabs>
          <w:tab w:val="left" w:pos="4304"/>
        </w:tabs>
        <w:spacing w:before="0" w:beforeAutospacing="0" w:after="0" w:afterAutospacing="0" w:line="600" w:lineRule="exact"/>
        <w:ind w:left="0" w:right="0" w:firstLine="4489" w:firstLineChars="1403"/>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何</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琼</w:t>
      </w:r>
    </w:p>
    <w:p w14:paraId="451BCD6C">
      <w:pPr>
        <w:keepNext w:val="0"/>
        <w:keepLines w:val="0"/>
        <w:widowControl w:val="0"/>
        <w:suppressLineNumbers w:val="0"/>
        <w:tabs>
          <w:tab w:val="left" w:pos="6456"/>
          <w:tab w:val="left" w:pos="6725"/>
          <w:tab w:val="left" w:pos="7263"/>
        </w:tabs>
        <w:spacing w:before="0" w:beforeAutospacing="0" w:after="0" w:afterAutospacing="0" w:line="600" w:lineRule="exact"/>
        <w:ind w:left="0" w:right="0" w:firstLine="4489" w:firstLineChars="1403"/>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刘</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建</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中</w:t>
      </w:r>
    </w:p>
    <w:p w14:paraId="161044CF">
      <w:pPr>
        <w:keepNext w:val="0"/>
        <w:keepLines w:val="0"/>
        <w:widowControl w:val="0"/>
        <w:suppressLineNumbers w:val="0"/>
        <w:tabs>
          <w:tab w:val="left" w:pos="5918"/>
          <w:tab w:val="left" w:pos="7263"/>
          <w:tab w:val="left" w:pos="8080"/>
        </w:tabs>
        <w:spacing w:before="0" w:beforeAutospacing="0" w:after="0" w:afterAutospacing="0" w:line="600" w:lineRule="exact"/>
        <w:ind w:left="0" w:right="0" w:firstLine="4489" w:firstLineChars="1403"/>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路</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遥</w:t>
      </w:r>
    </w:p>
    <w:p w14:paraId="074F7582">
      <w:pPr>
        <w:keepNext w:val="0"/>
        <w:keepLines w:val="0"/>
        <w:widowControl w:val="0"/>
        <w:suppressLineNumbers w:val="0"/>
        <w:tabs>
          <w:tab w:val="left" w:pos="5918"/>
        </w:tabs>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A3C56A9">
      <w:pPr>
        <w:keepNext w:val="0"/>
        <w:keepLines w:val="0"/>
        <w:widowControl w:val="0"/>
        <w:suppressLineNumbers w:val="0"/>
        <w:tabs>
          <w:tab w:val="left" w:pos="5918"/>
        </w:tabs>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37221C4E">
      <w:pPr>
        <w:keepNext w:val="0"/>
        <w:keepLines w:val="0"/>
        <w:widowControl w:val="0"/>
        <w:suppressLineNumbers w:val="0"/>
        <w:tabs>
          <w:tab w:val="left" w:pos="5918"/>
        </w:tabs>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2B9AEAA1">
      <w:pPr>
        <w:keepNext w:val="0"/>
        <w:keepLines w:val="0"/>
        <w:widowControl w:val="0"/>
        <w:suppressLineNumbers w:val="0"/>
        <w:tabs>
          <w:tab w:val="left" w:pos="5918"/>
        </w:tabs>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tbl>
      <w:tblPr>
        <w:tblStyle w:val="4"/>
        <w:tblW w:w="0" w:type="auto"/>
        <w:tblInd w:w="43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77"/>
      </w:tblGrid>
      <w:tr w14:paraId="4974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4" w:hRule="atLeast"/>
        </w:trPr>
        <w:tc>
          <w:tcPr>
            <w:tcW w:w="3777" w:type="dxa"/>
            <w:tcBorders>
              <w:top w:val="nil"/>
              <w:left w:val="nil"/>
              <w:bottom w:val="nil"/>
              <w:right w:val="nil"/>
            </w:tcBorders>
            <w:noWrap w:val="0"/>
            <w:vAlign w:val="top"/>
          </w:tcPr>
          <w:p w14:paraId="4C7F6D54">
            <w:pPr>
              <w:pStyle w:val="3"/>
              <w:widowControl/>
              <w:spacing w:line="600" w:lineRule="exact"/>
              <w:jc w:val="distribute"/>
              <w:rPr>
                <w:rFonts w:hint="default" w:ascii="Times New Roman" w:hAnsi="Times New Roman" w:eastAsia="仿宋_GB2312" w:cs="Times New Roman"/>
                <w:kern w:val="2"/>
                <w:sz w:val="32"/>
                <w:szCs w:val="32"/>
              </w:rPr>
            </w:pPr>
            <w:r>
              <w:rPr>
                <w:rFonts w:hint="eastAsia" w:ascii="仿宋_GB2312" w:hAnsi="Times New Roman" w:eastAsia="仿宋_GB2312" w:cs="仿宋_GB2312"/>
                <w:spacing w:val="-45"/>
                <w:kern w:val="2"/>
                <w:sz w:val="32"/>
                <w:szCs w:val="32"/>
              </w:rPr>
              <w:t>二○二四年五月六日</w:t>
            </w:r>
          </w:p>
        </w:tc>
      </w:tr>
    </w:tbl>
    <w:p w14:paraId="0B24B6E2">
      <w:pPr>
        <w:keepNext w:val="0"/>
        <w:keepLines w:val="0"/>
        <w:widowControl w:val="0"/>
        <w:suppressLineNumbers w:val="0"/>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1EB0845E">
      <w:pPr>
        <w:keepNext w:val="0"/>
        <w:keepLines w:val="0"/>
        <w:widowControl w:val="0"/>
        <w:suppressLineNumbers w:val="0"/>
        <w:tabs>
          <w:tab w:val="left" w:pos="5649"/>
          <w:tab w:val="left" w:pos="5918"/>
          <w:tab w:val="left" w:pos="6663"/>
          <w:tab w:val="left" w:pos="7801"/>
          <w:tab w:val="left" w:pos="8070"/>
        </w:tabs>
        <w:spacing w:before="0" w:beforeAutospacing="0" w:after="0" w:afterAutospacing="0" w:line="600" w:lineRule="exact"/>
        <w:ind w:left="0" w:right="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书</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记</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雨</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潇</w:t>
      </w:r>
    </w:p>
    <w:p w14:paraId="44FC01B6"/>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B36B5AF0"/>
    <w:rsid w:val="4E907A03"/>
    <w:rsid w:val="B36B5A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4"/>
      <w:tblCellMar>
        <w:top w:w="0" w:type="dxa"/>
        <w:left w:w="108" w:type="dxa"/>
        <w:bottom w:w="0" w:type="dxa"/>
        <w:right w:w="108" w:type="dxa"/>
      </w:tblCellMar>
    </w:tblPr>
  </w:style>
  <w:style w:type="paragraph" w:styleId="2">
    <w:name w:val="Body Text"/>
    <w:basedOn w:val="1"/>
    <w:uiPriority w:val="0"/>
    <w:pPr>
      <w:keepNext w:val="0"/>
      <w:keepLines w:val="0"/>
      <w:widowControl w:val="0"/>
      <w:suppressLineNumbers w:val="0"/>
      <w:spacing w:before="0" w:beforeAutospacing="0" w:after="140" w:afterAutospacing="0" w:line="273" w:lineRule="auto"/>
      <w:jc w:val="both"/>
    </w:pPr>
    <w:rPr>
      <w:rFonts w:hint="default" w:ascii="Times New Roman" w:hAnsi="Times New Roman" w:eastAsia="仿宋_GB2312" w:cs="Times New Roman"/>
      <w:kern w:val="2"/>
      <w:sz w:val="28"/>
      <w:szCs w:val="28"/>
      <w:lang w:val="en-US" w:eastAsia="zh-CN" w:bidi="ar"/>
    </w:rPr>
  </w:style>
  <w:style w:type="paragraph" w:styleId="3">
    <w:name w:val="Date"/>
    <w:basedOn w:val="1"/>
    <w:next w:val="1"/>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仿宋_GB2312" w:cs="Times New Roman"/>
      <w:kern w:val="2"/>
      <w:sz w:val="28"/>
      <w:szCs w:val="28"/>
      <w:lang w:val="en-US" w:eastAsia="zh-CN" w:bidi="ar"/>
    </w:rPr>
  </w:style>
  <w:style w:type="character" w:customStyle="1" w:styleId="6">
    <w:name w:val="15"/>
    <w:basedOn w:val="5"/>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2026-07-01T08:42:00Z</dcterms:created>
  <dc:creator>王莉莉</dc:creator>
  <cp:lastModifiedBy>Laurent</cp:lastModifiedBy>
  <dcterms:modified xsi:type="dcterms:W3CDTF">2026-07-18T05:48:59Z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3E704B1B064A43CA9360EFB108C6BC4F_13</vt:lpwstr>
  </property>
</Properties>
</file>