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F44AD">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1" w:name="_GoBack"/>
      <w:bookmarkEnd w:id="1"/>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5EA17E14">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338023C4">
      <w:pPr>
        <w:keepNext w:val="0"/>
        <w:keepLines w:val="0"/>
        <w:widowControl/>
        <w:suppressLineNumbers w:val="0"/>
        <w:spacing w:before="0" w:beforeAutospacing="0" w:after="0" w:afterAutospacing="0"/>
        <w:ind w:left="0" w:right="0" w:firstLine="640" w:firstLineChars="20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23B740A">
      <w:pPr>
        <w:keepNext w:val="0"/>
        <w:keepLines w:val="0"/>
        <w:widowControl w:val="0"/>
        <w:suppressLineNumbers w:val="0"/>
        <w:wordWrap w:val="0"/>
        <w:spacing w:before="0" w:beforeAutospacing="0" w:after="0" w:afterAutospacing="0" w:line="360" w:lineRule="exact"/>
        <w:ind w:left="0" w:right="0" w:firstLine="573"/>
        <w:jc w:val="center"/>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1141</w:t>
      </w:r>
      <w:r>
        <w:rPr>
          <w:rFonts w:hint="eastAsia" w:ascii="仿宋_GB2312" w:hAnsi="Times New Roman" w:eastAsia="仿宋_GB2312" w:cs="仿宋_GB2312"/>
          <w:kern w:val="2"/>
          <w:sz w:val="32"/>
          <w:szCs w:val="32"/>
          <w:lang w:val="en-US" w:eastAsia="zh-CN" w:bidi="ar"/>
        </w:rPr>
        <w:t>号</w:t>
      </w:r>
    </w:p>
    <w:p w14:paraId="4F60BE5B">
      <w:pPr>
        <w:keepNext w:val="0"/>
        <w:keepLines w:val="0"/>
        <w:widowControl w:val="0"/>
        <w:suppressLineNumbers w:val="0"/>
        <w:autoSpaceDE w:val="0"/>
        <w:autoSpaceDN/>
        <w:adjustRightInd w:val="0"/>
        <w:snapToGrid w:val="0"/>
        <w:spacing w:before="0" w:beforeAutospacing="0" w:after="0" w:afterAutospacing="0" w:line="340" w:lineRule="exact"/>
        <w:ind w:left="0" w:right="0" w:firstLine="633" w:firstLineChars="198"/>
        <w:jc w:val="both"/>
        <w:rPr>
          <w:rFonts w:hint="eastAsia" w:ascii="仿宋_GB2312" w:eastAsia="仿宋_GB2312" w:cs="仿宋_GB2312"/>
          <w:bCs/>
          <w:kern w:val="0"/>
          <w:sz w:val="32"/>
          <w:szCs w:val="32"/>
        </w:rPr>
      </w:pPr>
      <w:bookmarkStart w:id="0" w:name="23"/>
      <w:bookmarkEnd w:id="0"/>
      <w:r>
        <w:rPr>
          <w:rFonts w:hint="eastAsia" w:ascii="仿宋_GB2312" w:hAnsi="Times New Roman" w:eastAsia="仿宋_GB2312" w:cs="仿宋_GB2312"/>
          <w:bCs/>
          <w:kern w:val="0"/>
          <w:sz w:val="32"/>
          <w:szCs w:val="32"/>
          <w:lang w:val="en-US" w:eastAsia="zh-CN" w:bidi="ar"/>
        </w:rPr>
        <w:t xml:space="preserve"> </w:t>
      </w:r>
    </w:p>
    <w:p w14:paraId="4AE15906">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上诉人（原审原告）：佛山市文某尔金极限运动用品有限公司，住所地广东省佛山市南海区。</w:t>
      </w:r>
    </w:p>
    <w:p w14:paraId="4B5F4ACA">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被上诉人（原审被告）：宁波鑫某通信设备有限公司，住所地：宁波市慈溪市。</w:t>
      </w:r>
    </w:p>
    <w:p w14:paraId="41FCACA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被上诉人（原审被告）：何某军，男，汉族，住湖南省永兴县。</w:t>
      </w:r>
    </w:p>
    <w:p w14:paraId="3AB60AF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上诉人佛山市文某尔金极限运动用品有限公司（以下简称文某尔金公司）因与被上诉人宁波鑫某通信设备有限公司（以下简称鑫某公司）、何某军侵害外观设计专利权纠纷一案，不服浙江省宁波市中级人民法院（</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193</w:t>
      </w:r>
      <w:r>
        <w:rPr>
          <w:rFonts w:hint="eastAsia" w:ascii="仿宋_GB2312" w:hAnsi="Times New Roman" w:eastAsia="仿宋_GB2312" w:cs="仿宋_GB2312"/>
          <w:bCs/>
          <w:kern w:val="0"/>
          <w:sz w:val="32"/>
          <w:szCs w:val="32"/>
          <w:lang w:val="en-US" w:eastAsia="zh-CN" w:bidi="ar"/>
        </w:rPr>
        <w:t>号民事判决，向本院提起上诉。本院于</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9</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日立案受理后，依法组成合议庭进行了审理。本案现已审理终结。</w:t>
      </w:r>
    </w:p>
    <w:p w14:paraId="0C29272E">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文某尔金公司上诉请求：撤销一审判决第二、三、四项，改判鑫某公司赔偿文某尔金公司经济损失及合理支出共计</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万元，何某军承担连带责任；一、二审诉讼费用由鑫某公司、何某军承担。事实和理由：原判认定鑫某公司的合法来源抗辩主张成立，不承担赔偿责任，属于认定事实和适用法律错误。（一）关于合法来源抗辩成立的主观要件。</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鑫某公司除销售被诉侵权产品外，同时销售由文某尔金公司制造的专利产品，并展示了涉案专利号和专利证书。由此可知，鑫某公司已经知晓涉案专利权的存在，且被诉侵权产品与涉案专利完全一致，鑫某公司应当知晓被诉侵权产品落入涉案专利权的保护范围，但其仍然销售被诉侵权产品，主观上具有侵权故意。</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鑫某公司经营规模较大，其开设的“鑫某车品专营店”主营业务系“汽配摩托”，鑫某公司对其销售的产品是否侵害他人专利权具有较高的注意义务。</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涉案专利产品价格为</w:t>
      </w:r>
      <w:r>
        <w:rPr>
          <w:rFonts w:hint="default" w:ascii="Times New Roman" w:hAnsi="Times New Roman" w:eastAsia="仿宋_GB2312" w:cs="Times New Roman"/>
          <w:bCs/>
          <w:kern w:val="0"/>
          <w:sz w:val="32"/>
          <w:szCs w:val="32"/>
          <w:lang w:val="en-US" w:eastAsia="zh-CN" w:bidi="ar"/>
        </w:rPr>
        <w:t>276</w:t>
      </w:r>
      <w:r>
        <w:rPr>
          <w:rFonts w:hint="eastAsia" w:ascii="仿宋_GB2312" w:hAnsi="Times New Roman" w:eastAsia="仿宋_GB2312" w:cs="仿宋_GB2312"/>
          <w:bCs/>
          <w:kern w:val="0"/>
          <w:sz w:val="32"/>
          <w:szCs w:val="32"/>
          <w:lang w:val="en-US" w:eastAsia="zh-CN" w:bidi="ar"/>
        </w:rPr>
        <w:t>元</w:t>
      </w:r>
      <w:r>
        <w:rPr>
          <w:rFonts w:hint="default" w:ascii="Times New Roman" w:hAnsi="Times New Roman" w:eastAsia="仿宋_GB2312" w:cs="Times New Roman"/>
          <w:bCs/>
          <w:kern w:val="0"/>
          <w:sz w:val="32"/>
          <w:szCs w:val="32"/>
          <w:lang w:val="en-US" w:eastAsia="zh-CN" w:bidi="ar"/>
        </w:rPr>
        <w:t>/</w:t>
      </w:r>
      <w:r>
        <w:rPr>
          <w:rFonts w:hint="eastAsia" w:ascii="仿宋_GB2312" w:hAnsi="Times New Roman" w:eastAsia="仿宋_GB2312" w:cs="仿宋_GB2312"/>
          <w:bCs/>
          <w:kern w:val="0"/>
          <w:sz w:val="32"/>
          <w:szCs w:val="32"/>
          <w:lang w:val="en-US" w:eastAsia="zh-CN" w:bidi="ar"/>
        </w:rPr>
        <w:t>件，被诉侵权产品单价为</w:t>
      </w:r>
      <w:r>
        <w:rPr>
          <w:rFonts w:hint="default" w:ascii="Times New Roman" w:hAnsi="Times New Roman" w:eastAsia="仿宋_GB2312" w:cs="Times New Roman"/>
          <w:bCs/>
          <w:kern w:val="0"/>
          <w:sz w:val="32"/>
          <w:szCs w:val="32"/>
          <w:lang w:val="en-US" w:eastAsia="zh-CN" w:bidi="ar"/>
        </w:rPr>
        <w:t>78.2</w:t>
      </w:r>
      <w:r>
        <w:rPr>
          <w:rFonts w:hint="eastAsia" w:ascii="仿宋_GB2312" w:hAnsi="Times New Roman" w:eastAsia="仿宋_GB2312" w:cs="仿宋_GB2312"/>
          <w:bCs/>
          <w:kern w:val="0"/>
          <w:sz w:val="32"/>
          <w:szCs w:val="32"/>
          <w:lang w:val="en-US" w:eastAsia="zh-CN" w:bidi="ar"/>
        </w:rPr>
        <w:t>元</w:t>
      </w:r>
      <w:r>
        <w:rPr>
          <w:rFonts w:hint="default" w:ascii="Times New Roman" w:hAnsi="Times New Roman" w:eastAsia="仿宋_GB2312" w:cs="Times New Roman"/>
          <w:bCs/>
          <w:kern w:val="0"/>
          <w:sz w:val="32"/>
          <w:szCs w:val="32"/>
          <w:lang w:val="en-US" w:eastAsia="zh-CN" w:bidi="ar"/>
        </w:rPr>
        <w:t>/</w:t>
      </w:r>
      <w:r>
        <w:rPr>
          <w:rFonts w:hint="eastAsia" w:ascii="仿宋_GB2312" w:hAnsi="Times New Roman" w:eastAsia="仿宋_GB2312" w:cs="仿宋_GB2312"/>
          <w:bCs/>
          <w:kern w:val="0"/>
          <w:sz w:val="32"/>
          <w:szCs w:val="32"/>
          <w:lang w:val="en-US" w:eastAsia="zh-CN" w:bidi="ar"/>
        </w:rPr>
        <w:t>件，差额明显，且被诉侵权产品属于三无产品，鑫某公司据此可以知晓被诉侵权产品侵犯涉案专利权。（二）关于合法来源抗辩成立的客观要件。</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鑫某公司提交的证据无法完整反映被诉侵权产品的购买主体、交易相对方、下单过程、款项支付、与被诉侵权产品是否具有一致性等，无法证明被诉侵权产品系向案外人采购。</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即使公证购买的被诉侵权产品系从案外人处购得，鑫某公司仍无法证明其拼多多店铺显示的“已拼</w:t>
      </w:r>
      <w:r>
        <w:rPr>
          <w:rFonts w:hint="default" w:ascii="Times New Roman" w:hAnsi="Times New Roman" w:eastAsia="仿宋_GB2312" w:cs="Times New Roman"/>
          <w:bCs/>
          <w:kern w:val="0"/>
          <w:sz w:val="32"/>
          <w:szCs w:val="32"/>
          <w:lang w:val="en-US" w:eastAsia="zh-CN" w:bidi="ar"/>
        </w:rPr>
        <w:t>2.4</w:t>
      </w:r>
      <w:r>
        <w:rPr>
          <w:rFonts w:hint="eastAsia" w:ascii="仿宋_GB2312" w:hAnsi="Times New Roman" w:eastAsia="仿宋_GB2312" w:cs="仿宋_GB2312"/>
          <w:bCs/>
          <w:kern w:val="0"/>
          <w:sz w:val="32"/>
          <w:szCs w:val="32"/>
          <w:lang w:val="en-US" w:eastAsia="zh-CN" w:bidi="ar"/>
        </w:rPr>
        <w:t>万件”商品的全部来源。</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即使鑫某公司从案外人处购买产品的物流单号与公证购买被诉侵权产品的物流单号是一致的，但电商平台中购买商品的物流单号是由卖家单方填写，具有随意性，无法证明被诉侵权产品具有合法来源。</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被诉侵权产品销售数量</w:t>
      </w:r>
      <w:r>
        <w:rPr>
          <w:rFonts w:hint="default" w:ascii="Times New Roman" w:hAnsi="Times New Roman" w:eastAsia="仿宋_GB2312" w:cs="Times New Roman"/>
          <w:bCs/>
          <w:kern w:val="0"/>
          <w:sz w:val="32"/>
          <w:szCs w:val="32"/>
          <w:lang w:val="en-US" w:eastAsia="zh-CN" w:bidi="ar"/>
        </w:rPr>
        <w:t>2.4</w:t>
      </w:r>
      <w:r>
        <w:rPr>
          <w:rFonts w:hint="eastAsia" w:ascii="仿宋_GB2312" w:hAnsi="Times New Roman" w:eastAsia="仿宋_GB2312" w:cs="仿宋_GB2312"/>
          <w:bCs/>
          <w:kern w:val="0"/>
          <w:sz w:val="32"/>
          <w:szCs w:val="32"/>
          <w:lang w:val="en-US" w:eastAsia="zh-CN" w:bidi="ar"/>
        </w:rPr>
        <w:t>万件，销售额高达</w:t>
      </w:r>
      <w:r>
        <w:rPr>
          <w:rFonts w:hint="default" w:ascii="Times New Roman" w:hAnsi="Times New Roman" w:eastAsia="仿宋_GB2312" w:cs="Times New Roman"/>
          <w:bCs/>
          <w:kern w:val="0"/>
          <w:sz w:val="32"/>
          <w:szCs w:val="32"/>
          <w:lang w:val="en-US" w:eastAsia="zh-CN" w:bidi="ar"/>
        </w:rPr>
        <w:t>1876800</w:t>
      </w:r>
      <w:r>
        <w:rPr>
          <w:rFonts w:hint="eastAsia" w:ascii="仿宋_GB2312" w:hAnsi="Times New Roman" w:eastAsia="仿宋_GB2312" w:cs="仿宋_GB2312"/>
          <w:bCs/>
          <w:kern w:val="0"/>
          <w:sz w:val="32"/>
          <w:szCs w:val="32"/>
          <w:lang w:val="en-US" w:eastAsia="zh-CN" w:bidi="ar"/>
        </w:rPr>
        <w:t>元，还存在线下或其他销售方式，导致文某尔金公司产品销售额减少</w:t>
      </w:r>
      <w:r>
        <w:rPr>
          <w:rFonts w:hint="default" w:ascii="Times New Roman" w:hAnsi="Times New Roman" w:eastAsia="仿宋_GB2312" w:cs="Times New Roman"/>
          <w:bCs/>
          <w:kern w:val="0"/>
          <w:sz w:val="32"/>
          <w:szCs w:val="32"/>
          <w:lang w:val="en-US" w:eastAsia="zh-CN" w:bidi="ar"/>
        </w:rPr>
        <w:t>3312000</w:t>
      </w:r>
      <w:r>
        <w:rPr>
          <w:rFonts w:hint="eastAsia" w:ascii="仿宋_GB2312" w:hAnsi="Times New Roman" w:eastAsia="仿宋_GB2312" w:cs="仿宋_GB2312"/>
          <w:bCs/>
          <w:kern w:val="0"/>
          <w:sz w:val="32"/>
          <w:szCs w:val="32"/>
          <w:lang w:val="en-US" w:eastAsia="zh-CN" w:bidi="ar"/>
        </w:rPr>
        <w:t>元，文某尔金公司主张的</w:t>
      </w:r>
      <w:r>
        <w:rPr>
          <w:rFonts w:hint="default" w:ascii="Times New Roman" w:hAnsi="Times New Roman" w:eastAsia="仿宋_GB2312" w:cs="Times New Roman"/>
          <w:bCs/>
          <w:kern w:val="0"/>
          <w:sz w:val="32"/>
          <w:szCs w:val="32"/>
          <w:lang w:val="en-US" w:eastAsia="zh-CN" w:bidi="ar"/>
        </w:rPr>
        <w:t>100000</w:t>
      </w:r>
      <w:r>
        <w:rPr>
          <w:rFonts w:hint="eastAsia" w:ascii="仿宋_GB2312" w:hAnsi="Times New Roman" w:eastAsia="仿宋_GB2312" w:cs="仿宋_GB2312"/>
          <w:bCs/>
          <w:kern w:val="0"/>
          <w:sz w:val="32"/>
          <w:szCs w:val="32"/>
          <w:lang w:val="en-US" w:eastAsia="zh-CN" w:bidi="ar"/>
        </w:rPr>
        <w:t>元经济损失和合理支出应得到全额支持。</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鑫某公司主观上具有侵权故意，应加大处罚力度。</w:t>
      </w:r>
      <w:r>
        <w:rPr>
          <w:rFonts w:hint="default" w:ascii="Times New Roman" w:hAnsi="Times New Roman" w:eastAsia="仿宋_GB2312" w:cs="Times New Roman"/>
          <w:bCs/>
          <w:kern w:val="0"/>
          <w:sz w:val="32"/>
          <w:szCs w:val="32"/>
          <w:lang w:val="en-US" w:eastAsia="zh-CN" w:bidi="ar"/>
        </w:rPr>
        <w:t>5.</w:t>
      </w:r>
      <w:r>
        <w:rPr>
          <w:rFonts w:hint="eastAsia" w:ascii="仿宋_GB2312" w:hAnsi="Times New Roman" w:eastAsia="仿宋_GB2312" w:cs="仿宋_GB2312"/>
          <w:bCs/>
          <w:kern w:val="0"/>
          <w:sz w:val="32"/>
          <w:szCs w:val="32"/>
          <w:lang w:val="en-US" w:eastAsia="zh-CN" w:bidi="ar"/>
        </w:rPr>
        <w:t>文某尔金公司为制止侵权行为支出公证费</w:t>
      </w:r>
      <w:r>
        <w:rPr>
          <w:rFonts w:hint="default" w:ascii="Times New Roman" w:hAnsi="Times New Roman" w:eastAsia="仿宋_GB2312" w:cs="Times New Roman"/>
          <w:bCs/>
          <w:kern w:val="0"/>
          <w:sz w:val="32"/>
          <w:szCs w:val="32"/>
          <w:lang w:val="en-US" w:eastAsia="zh-CN" w:bidi="ar"/>
        </w:rPr>
        <w:t>590</w:t>
      </w:r>
      <w:r>
        <w:rPr>
          <w:rFonts w:hint="eastAsia" w:ascii="仿宋_GB2312" w:hAnsi="Times New Roman" w:eastAsia="仿宋_GB2312" w:cs="仿宋_GB2312"/>
          <w:bCs/>
          <w:kern w:val="0"/>
          <w:sz w:val="32"/>
          <w:szCs w:val="32"/>
          <w:lang w:val="en-US" w:eastAsia="zh-CN" w:bidi="ar"/>
        </w:rPr>
        <w:t>元、被诉侵权产品购买费</w:t>
      </w:r>
      <w:r>
        <w:rPr>
          <w:rFonts w:hint="default" w:ascii="Times New Roman" w:hAnsi="Times New Roman" w:eastAsia="仿宋_GB2312" w:cs="Times New Roman"/>
          <w:bCs/>
          <w:kern w:val="0"/>
          <w:sz w:val="32"/>
          <w:szCs w:val="32"/>
          <w:lang w:val="en-US" w:eastAsia="zh-CN" w:bidi="ar"/>
        </w:rPr>
        <w:t>78.2</w:t>
      </w:r>
      <w:r>
        <w:rPr>
          <w:rFonts w:hint="eastAsia" w:ascii="仿宋_GB2312" w:hAnsi="Times New Roman" w:eastAsia="仿宋_GB2312" w:cs="仿宋_GB2312"/>
          <w:bCs/>
          <w:kern w:val="0"/>
          <w:sz w:val="32"/>
          <w:szCs w:val="32"/>
          <w:lang w:val="en-US" w:eastAsia="zh-CN" w:bidi="ar"/>
        </w:rPr>
        <w:t>元、律师费</w:t>
      </w:r>
      <w:r>
        <w:rPr>
          <w:rFonts w:hint="default" w:ascii="Times New Roman" w:hAnsi="Times New Roman" w:eastAsia="仿宋_GB2312" w:cs="Times New Roman"/>
          <w:bCs/>
          <w:kern w:val="0"/>
          <w:sz w:val="32"/>
          <w:szCs w:val="32"/>
          <w:lang w:val="en-US" w:eastAsia="zh-CN" w:bidi="ar"/>
        </w:rPr>
        <w:t>10000</w:t>
      </w:r>
      <w:r>
        <w:rPr>
          <w:rFonts w:hint="eastAsia" w:ascii="仿宋_GB2312" w:hAnsi="Times New Roman" w:eastAsia="仿宋_GB2312" w:cs="仿宋_GB2312"/>
          <w:bCs/>
          <w:kern w:val="0"/>
          <w:sz w:val="32"/>
          <w:szCs w:val="32"/>
          <w:lang w:val="en-US" w:eastAsia="zh-CN" w:bidi="ar"/>
        </w:rPr>
        <w:t>元，共</w:t>
      </w:r>
      <w:r>
        <w:rPr>
          <w:rFonts w:hint="default" w:ascii="Times New Roman" w:hAnsi="Times New Roman" w:eastAsia="仿宋_GB2312" w:cs="Times New Roman"/>
          <w:bCs/>
          <w:kern w:val="0"/>
          <w:sz w:val="32"/>
          <w:szCs w:val="32"/>
          <w:lang w:val="en-US" w:eastAsia="zh-CN" w:bidi="ar"/>
        </w:rPr>
        <w:t>10668.2</w:t>
      </w:r>
      <w:r>
        <w:rPr>
          <w:rFonts w:hint="eastAsia" w:ascii="仿宋_GB2312" w:hAnsi="Times New Roman" w:eastAsia="仿宋_GB2312" w:cs="仿宋_GB2312"/>
          <w:bCs/>
          <w:kern w:val="0"/>
          <w:sz w:val="32"/>
          <w:szCs w:val="32"/>
          <w:lang w:val="en-US" w:eastAsia="zh-CN" w:bidi="ar"/>
        </w:rPr>
        <w:t>元，一审法院仅支持</w:t>
      </w:r>
      <w:r>
        <w:rPr>
          <w:rFonts w:hint="default" w:ascii="Times New Roman" w:hAnsi="Times New Roman" w:eastAsia="仿宋_GB2312" w:cs="Times New Roman"/>
          <w:bCs/>
          <w:kern w:val="0"/>
          <w:sz w:val="32"/>
          <w:szCs w:val="32"/>
          <w:lang w:val="en-US" w:eastAsia="zh-CN" w:bidi="ar"/>
        </w:rPr>
        <w:t>3000</w:t>
      </w:r>
      <w:r>
        <w:rPr>
          <w:rFonts w:hint="eastAsia" w:ascii="仿宋_GB2312" w:hAnsi="Times New Roman" w:eastAsia="仿宋_GB2312" w:cs="仿宋_GB2312"/>
          <w:bCs/>
          <w:kern w:val="0"/>
          <w:sz w:val="32"/>
          <w:szCs w:val="32"/>
          <w:lang w:val="en-US" w:eastAsia="zh-CN" w:bidi="ar"/>
        </w:rPr>
        <w:t>元的合理开支，明显错误。</w:t>
      </w:r>
    </w:p>
    <w:p w14:paraId="01E14A11">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鑫某公司、何某军辩称，鑫某公司主观上没有侵权的故意，且提供了充分证据证明被诉侵权产品具有合法来源。鑫某公司销售的被诉侵权产品是通过案外人一键代发的，销量</w:t>
      </w:r>
      <w:r>
        <w:rPr>
          <w:rFonts w:hint="default" w:ascii="Times New Roman" w:hAnsi="Times New Roman" w:eastAsia="仿宋_GB2312" w:cs="Times New Roman"/>
          <w:bCs/>
          <w:kern w:val="0"/>
          <w:sz w:val="32"/>
          <w:szCs w:val="32"/>
          <w:lang w:val="en-US" w:eastAsia="zh-CN" w:bidi="ar"/>
        </w:rPr>
        <w:t>2.4</w:t>
      </w:r>
      <w:r>
        <w:rPr>
          <w:rFonts w:hint="eastAsia" w:ascii="仿宋_GB2312" w:hAnsi="Times New Roman" w:eastAsia="仿宋_GB2312" w:cs="仿宋_GB2312"/>
          <w:bCs/>
          <w:kern w:val="0"/>
          <w:sz w:val="32"/>
          <w:szCs w:val="32"/>
          <w:lang w:val="en-US" w:eastAsia="zh-CN" w:bidi="ar"/>
        </w:rPr>
        <w:t>万件是刷单所致，实际销量只有文某尔金公司取证的</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件。一审开庭时，何某军本人亲自到庭，现场登入销售系统后台，展示了一件代发的流程，与其一审提供的证据一致，一审法院该事实的认定正确。一审开庭后，何某军通过拼多多平台获取了被诉侵权产品采购上家的信息，现已作为二审新证据提交。鑫某公司提交的证据已经完整反映了购买主体、交易相对方、款项支付情况，与被诉侵权产品信息是对应的。综上，鑫某公司虽然销售、许诺销售被诉侵权产品，但是从拼多多平台上的商家一件代发，已经尽到了合理注意义务，其合法来源抗辩成立。请求驳回文某尔金公司的上诉，维持原判。</w:t>
      </w:r>
    </w:p>
    <w:p w14:paraId="168331EA">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文某尔金公司向一审法院起诉，请求判令：</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鑫某公司、何某军立即停止制造、销售、许诺销售侵害第</w:t>
      </w:r>
      <w:r>
        <w:rPr>
          <w:rFonts w:hint="default" w:ascii="Times New Roman" w:hAnsi="Times New Roman" w:eastAsia="仿宋_GB2312" w:cs="Times New Roman"/>
          <w:bCs/>
          <w:kern w:val="0"/>
          <w:sz w:val="32"/>
          <w:szCs w:val="32"/>
          <w:lang w:val="en-US" w:eastAsia="zh-CN" w:bidi="ar"/>
        </w:rPr>
        <w:t>ZL2018****9830.X</w:t>
      </w:r>
      <w:r>
        <w:rPr>
          <w:rFonts w:hint="eastAsia" w:ascii="仿宋_GB2312" w:hAnsi="Times New Roman" w:eastAsia="仿宋_GB2312" w:cs="仿宋_GB2312"/>
          <w:bCs/>
          <w:kern w:val="0"/>
          <w:sz w:val="32"/>
          <w:szCs w:val="32"/>
          <w:lang w:val="en-US" w:eastAsia="zh-CN" w:bidi="ar"/>
        </w:rPr>
        <w:t>外观设计专利权的产品的行为，销毁被诉侵权产品、专用模具及专用设备；</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鑫某公司赔偿文某尔金公司经济损失及合理支出共计</w:t>
      </w:r>
      <w:r>
        <w:rPr>
          <w:rFonts w:hint="default" w:ascii="Times New Roman" w:hAnsi="Times New Roman" w:eastAsia="仿宋_GB2312" w:cs="Times New Roman"/>
          <w:bCs/>
          <w:kern w:val="0"/>
          <w:sz w:val="32"/>
          <w:szCs w:val="32"/>
          <w:lang w:val="en-US" w:eastAsia="zh-CN" w:bidi="ar"/>
        </w:rPr>
        <w:t>20</w:t>
      </w:r>
      <w:r>
        <w:rPr>
          <w:rFonts w:hint="eastAsia" w:ascii="仿宋_GB2312" w:hAnsi="Times New Roman" w:eastAsia="仿宋_GB2312" w:cs="仿宋_GB2312"/>
          <w:bCs/>
          <w:kern w:val="0"/>
          <w:sz w:val="32"/>
          <w:szCs w:val="32"/>
          <w:lang w:val="en-US" w:eastAsia="zh-CN" w:bidi="ar"/>
        </w:rPr>
        <w:t>万元，何某军承担连带责任；</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某甲公司立即删除销售、许诺销售侵犯第</w:t>
      </w:r>
      <w:r>
        <w:rPr>
          <w:rFonts w:hint="default" w:ascii="Times New Roman" w:hAnsi="Times New Roman" w:eastAsia="仿宋_GB2312" w:cs="Times New Roman"/>
          <w:bCs/>
          <w:kern w:val="0"/>
          <w:sz w:val="32"/>
          <w:szCs w:val="32"/>
          <w:lang w:val="en-US" w:eastAsia="zh-CN" w:bidi="ar"/>
        </w:rPr>
        <w:t>ZL2018****9830.X</w:t>
      </w:r>
      <w:r>
        <w:rPr>
          <w:rFonts w:hint="eastAsia" w:ascii="仿宋_GB2312" w:hAnsi="Times New Roman" w:eastAsia="仿宋_GB2312" w:cs="仿宋_GB2312"/>
          <w:bCs/>
          <w:kern w:val="0"/>
          <w:sz w:val="32"/>
          <w:szCs w:val="32"/>
          <w:lang w:val="en-US" w:eastAsia="zh-CN" w:bidi="ar"/>
        </w:rPr>
        <w:t>外观设计专利权的产品链接。一审审理过程中，文某尔金公司放弃主张第</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项诉讼请求。</w:t>
      </w:r>
    </w:p>
    <w:p w14:paraId="4742B700">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一审法院认定事实：梁某是专利号为</w:t>
      </w:r>
      <w:r>
        <w:rPr>
          <w:rFonts w:hint="default" w:ascii="Times New Roman" w:hAnsi="Times New Roman" w:eastAsia="仿宋_GB2312" w:cs="Times New Roman"/>
          <w:bCs/>
          <w:kern w:val="0"/>
          <w:sz w:val="32"/>
          <w:szCs w:val="32"/>
          <w:lang w:val="en-US" w:eastAsia="zh-CN" w:bidi="ar"/>
        </w:rPr>
        <w:t>ZL2018****9830.X</w:t>
      </w:r>
      <w:r>
        <w:rPr>
          <w:rFonts w:hint="eastAsia" w:ascii="仿宋_GB2312" w:hAnsi="Times New Roman" w:eastAsia="仿宋_GB2312" w:cs="仿宋_GB2312"/>
          <w:bCs/>
          <w:kern w:val="0"/>
          <w:sz w:val="32"/>
          <w:szCs w:val="32"/>
          <w:lang w:val="en-US" w:eastAsia="zh-CN" w:bidi="ar"/>
        </w:rPr>
        <w:t>，名称为“骨磷式护具”外观设计专利的专利权人，该专利申请日为</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6</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9</w:t>
      </w:r>
      <w:r>
        <w:rPr>
          <w:rFonts w:hint="eastAsia" w:ascii="仿宋_GB2312" w:hAnsi="Times New Roman" w:eastAsia="仿宋_GB2312" w:cs="仿宋_GB2312"/>
          <w:bCs/>
          <w:kern w:val="0"/>
          <w:sz w:val="32"/>
          <w:szCs w:val="32"/>
          <w:lang w:val="en-US" w:eastAsia="zh-CN" w:bidi="ar"/>
        </w:rPr>
        <w:t>日，授权公告日为同年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日，专利证书载明了该外观设计专利的主视图、后视图、左视图、俯视图、仰视图、立体图，简要说明中载明本外观设计产品的用途：用于运动时保护人体腿部及关节，设计要点：在于形状和图案，最能表明本外观设计要点的图片或照片：主视图，该专利至今有效。</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日，梁某与文某尔金公司签订专利实施许可合同，文某尔金公司取得涉案专利的独占实施许可，许可期限自协议签订之日至专利权失效。</w:t>
      </w:r>
      <w:r>
        <w:rPr>
          <w:rFonts w:hint="default" w:ascii="Times New Roman" w:hAnsi="Times New Roman" w:eastAsia="仿宋_GB2312" w:cs="Times New Roman"/>
          <w:bCs/>
          <w:kern w:val="0"/>
          <w:sz w:val="32"/>
          <w:szCs w:val="32"/>
          <w:lang w:val="en-US" w:eastAsia="zh-CN" w:bidi="ar"/>
        </w:rPr>
        <w:t>2021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日，国家某局出具外观设计专利权评价报告，初步结论为全部外观设计未发现存在不符合授予专利权条件的缺陷。</w:t>
      </w:r>
    </w:p>
    <w:p w14:paraId="35377563">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val="en-US" w:eastAsia="zh-CN" w:bidi="ar"/>
        </w:rPr>
        <w:t>2021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13</w:t>
      </w:r>
      <w:r>
        <w:rPr>
          <w:rFonts w:hint="eastAsia" w:ascii="仿宋_GB2312" w:hAnsi="Times New Roman" w:eastAsia="仿宋_GB2312" w:cs="仿宋_GB2312"/>
          <w:bCs/>
          <w:kern w:val="0"/>
          <w:sz w:val="32"/>
          <w:szCs w:val="32"/>
          <w:lang w:val="en-US" w:eastAsia="zh-CN" w:bidi="ar"/>
        </w:rPr>
        <w:t>日，文某尔金公司的委托代理人收取</w:t>
      </w:r>
      <w:r>
        <w:rPr>
          <w:rFonts w:hint="default" w:ascii="Times New Roman" w:hAnsi="Times New Roman" w:eastAsia="仿宋_GB2312" w:cs="Times New Roman"/>
          <w:bCs/>
          <w:kern w:val="0"/>
          <w:sz w:val="32"/>
          <w:szCs w:val="32"/>
          <w:lang w:val="en-US" w:eastAsia="zh-CN" w:bidi="ar"/>
        </w:rPr>
        <w:t>EMS</w:t>
      </w:r>
      <w:r>
        <w:rPr>
          <w:rFonts w:hint="eastAsia" w:ascii="仿宋_GB2312" w:hAnsi="Times New Roman" w:eastAsia="仿宋_GB2312" w:cs="仿宋_GB2312"/>
          <w:bCs/>
          <w:kern w:val="0"/>
          <w:sz w:val="32"/>
          <w:szCs w:val="32"/>
          <w:lang w:val="en-US" w:eastAsia="zh-CN" w:bidi="ar"/>
        </w:rPr>
        <w:t>快递单号为</w:t>
      </w:r>
      <w:r>
        <w:rPr>
          <w:rFonts w:hint="default" w:ascii="Times New Roman" w:hAnsi="Times New Roman" w:eastAsia="仿宋_GB2312" w:cs="Times New Roman"/>
          <w:bCs/>
          <w:kern w:val="0"/>
          <w:sz w:val="32"/>
          <w:szCs w:val="32"/>
          <w:lang w:val="en-US" w:eastAsia="zh-CN" w:bidi="ar"/>
        </w:rPr>
        <w:t>9885545296967</w:t>
      </w:r>
      <w:r>
        <w:rPr>
          <w:rFonts w:hint="eastAsia" w:ascii="仿宋_GB2312" w:hAnsi="Times New Roman" w:eastAsia="仿宋_GB2312" w:cs="仿宋_GB2312"/>
          <w:bCs/>
          <w:kern w:val="0"/>
          <w:sz w:val="32"/>
          <w:szCs w:val="32"/>
          <w:lang w:val="en-US" w:eastAsia="zh-CN" w:bidi="ar"/>
        </w:rPr>
        <w:t>包裹。该包裹内的产品系同年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日从拼某站鑫某公司经营的“鑫某车品专营店”店铺购买的“护膝夏天摩托车护肘护腕防摔护具越野机车骑行装备膝盖防护四季通”“护膝（两件套）”产品</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件，价格为</w:t>
      </w:r>
      <w:r>
        <w:rPr>
          <w:rFonts w:hint="default" w:ascii="Times New Roman" w:hAnsi="Times New Roman" w:eastAsia="仿宋_GB2312" w:cs="Times New Roman"/>
          <w:bCs/>
          <w:kern w:val="0"/>
          <w:sz w:val="32"/>
          <w:szCs w:val="32"/>
          <w:lang w:val="en-US" w:eastAsia="zh-CN" w:bidi="ar"/>
        </w:rPr>
        <w:t>78.20</w:t>
      </w:r>
      <w:r>
        <w:rPr>
          <w:rFonts w:hint="eastAsia" w:ascii="仿宋_GB2312" w:hAnsi="Times New Roman" w:eastAsia="仿宋_GB2312" w:cs="仿宋_GB2312"/>
          <w:bCs/>
          <w:kern w:val="0"/>
          <w:sz w:val="32"/>
          <w:szCs w:val="32"/>
          <w:lang w:val="en-US" w:eastAsia="zh-CN" w:bidi="ar"/>
        </w:rPr>
        <w:t>元。鑫某公司销售的上述产品来源于拼某站店铺“安心摩配”，通过一件代发的方式由该店铺直接发货，付款金额为</w:t>
      </w:r>
      <w:r>
        <w:rPr>
          <w:rFonts w:hint="default" w:ascii="Times New Roman" w:hAnsi="Times New Roman" w:eastAsia="仿宋_GB2312" w:cs="Times New Roman"/>
          <w:bCs/>
          <w:kern w:val="0"/>
          <w:sz w:val="32"/>
          <w:szCs w:val="32"/>
          <w:lang w:val="en-US" w:eastAsia="zh-CN" w:bidi="ar"/>
        </w:rPr>
        <w:t>65</w:t>
      </w:r>
      <w:r>
        <w:rPr>
          <w:rFonts w:hint="eastAsia" w:ascii="仿宋_GB2312" w:hAnsi="Times New Roman" w:eastAsia="仿宋_GB2312" w:cs="仿宋_GB2312"/>
          <w:bCs/>
          <w:kern w:val="0"/>
          <w:sz w:val="32"/>
          <w:szCs w:val="32"/>
          <w:lang w:val="en-US" w:eastAsia="zh-CN" w:bidi="ar"/>
        </w:rPr>
        <w:t>元。</w:t>
      </w:r>
    </w:p>
    <w:p w14:paraId="78C3EF44">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鑫某公司某乙公司（自然人独资），成立于</w:t>
      </w:r>
      <w:r>
        <w:rPr>
          <w:rFonts w:hint="default" w:ascii="Times New Roman" w:hAnsi="Times New Roman" w:eastAsia="仿宋_GB2312" w:cs="Times New Roman"/>
          <w:bCs/>
          <w:kern w:val="0"/>
          <w:sz w:val="32"/>
          <w:szCs w:val="32"/>
          <w:lang w:val="en-US" w:eastAsia="zh-CN" w:bidi="ar"/>
        </w:rPr>
        <w:t>2021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7</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7</w:t>
      </w:r>
      <w:r>
        <w:rPr>
          <w:rFonts w:hint="eastAsia" w:ascii="仿宋_GB2312" w:hAnsi="Times New Roman" w:eastAsia="仿宋_GB2312" w:cs="仿宋_GB2312"/>
          <w:bCs/>
          <w:kern w:val="0"/>
          <w:sz w:val="32"/>
          <w:szCs w:val="32"/>
          <w:lang w:val="en-US" w:eastAsia="zh-CN" w:bidi="ar"/>
        </w:rPr>
        <w:t>日，注册资本</w:t>
      </w:r>
      <w:r>
        <w:rPr>
          <w:rFonts w:hint="default" w:ascii="Times New Roman" w:hAnsi="Times New Roman" w:eastAsia="仿宋_GB2312" w:cs="Times New Roman"/>
          <w:bCs/>
          <w:kern w:val="0"/>
          <w:sz w:val="32"/>
          <w:szCs w:val="32"/>
          <w:lang w:val="en-US" w:eastAsia="zh-CN" w:bidi="ar"/>
        </w:rPr>
        <w:t>100</w:t>
      </w:r>
      <w:r>
        <w:rPr>
          <w:rFonts w:hint="eastAsia" w:ascii="仿宋_GB2312" w:hAnsi="Times New Roman" w:eastAsia="仿宋_GB2312" w:cs="仿宋_GB2312"/>
          <w:bCs/>
          <w:kern w:val="0"/>
          <w:sz w:val="32"/>
          <w:szCs w:val="32"/>
          <w:lang w:val="en-US" w:eastAsia="zh-CN" w:bidi="ar"/>
        </w:rPr>
        <w:t>万元，经营范围包括一般项目：通信设备销售；电子产品销售；电子元器件零售；电子元器件批发；日用品销售；工艺美术品及收藏品批发（象牙及其制品除外）；销售代理；通讯设备修理；智能车载设备销售；技术服务、技术开发、技术咨询、技术交流、技术转让、技术推广；数字视频监控系统销售；商务代理代办；家用电器销售；鞋帽批发；鞋帽零售；针纺织品销售；服装服饰批发；服装服饰零售；五金产品销售；建筑材料销售；纸制品销售；互联网销售（除销售需要许可的商品）。</w:t>
      </w:r>
    </w:p>
    <w:p w14:paraId="6B0463E1">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经一审比对，文某尔金公司认为被诉侵权产品与涉案外观设计专利没有不同；鑫某公司、何某军认为除侧面的字母不同外，其他没有大的差别。</w:t>
      </w:r>
    </w:p>
    <w:p w14:paraId="713329A7">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一审法院认为，文某尔金公司依法享有涉案外观设计专利权的独占实施许可，该专利权合法有效，应受法律保护。外观设计专利权的保护范围是表示在专利授权文件中的外观设计图片或照片中的该产品的外观设计。判断被诉侵权设计与所保护的外观设计是否相同或近似，需对整体视觉效果进行综合判断，以一般消费者的知识水平和认知能力进行观察。经一审比对，被诉侵权产品与涉案专利两者在整体视觉效果上仅存在细微差异，应认定两者构成相似，被诉侵权产品落入涉案专利权保护范围。</w:t>
      </w:r>
    </w:p>
    <w:p w14:paraId="02C6D944">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本案中，因文某尔金公司未提供证据证明何某军以其个人身份存在侵权行为，故该院对文某尔金公司要求何某军停止侵权的相关诉请不予支持。根据现有证据可以认定鑫某公司存在未经专利权人许可，销售、许诺销售落入涉案专利保护范围的产品的行为，构成专利侵权。文某尔金公司要求鑫某公司停止销售、许诺销售的诉请，该院予以支持。文某尔金公司要求鑫某公司停止制造并销毁模具的诉请，因现有证据不足以证明鑫某公司存在制造行为，故该院对此不予支持。鑫某公司主张其销售的涉案侵权产品系从案外人处进货取得具有合法来源，且提供的证据足以证明其该主张，鑫某公司的合法来源抗辩成立，在本案中不承担赔偿责任，但因侵权成立，文某尔金公司亦存在合理费用支出，鑫某公司应就文某尔金公司的合理维权费用予以分担，根据本案的实际情况，该院酌定金额为</w:t>
      </w:r>
      <w:r>
        <w:rPr>
          <w:rFonts w:hint="default" w:ascii="Times New Roman" w:hAnsi="Times New Roman" w:eastAsia="仿宋_GB2312" w:cs="Times New Roman"/>
          <w:bCs/>
          <w:kern w:val="0"/>
          <w:sz w:val="32"/>
          <w:szCs w:val="32"/>
          <w:lang w:val="en-US" w:eastAsia="zh-CN" w:bidi="ar"/>
        </w:rPr>
        <w:t>3000</w:t>
      </w:r>
      <w:r>
        <w:rPr>
          <w:rFonts w:hint="eastAsia" w:ascii="仿宋_GB2312" w:hAnsi="Times New Roman" w:eastAsia="仿宋_GB2312" w:cs="仿宋_GB2312"/>
          <w:bCs/>
          <w:kern w:val="0"/>
          <w:sz w:val="32"/>
          <w:szCs w:val="32"/>
          <w:lang w:val="en-US" w:eastAsia="zh-CN" w:bidi="ar"/>
        </w:rPr>
        <w:t>元。因文某尔金公司未提供证据证明鑫某公司尚有库存，故该院对文某尔金公司要求销毁库存产品的诉请亦不予支持。何某军系某丙公司即鑫某公司的股东，其未提供证据证明证明公司财产独立于自己的财产</w:t>
      </w:r>
      <w:r>
        <w:rPr>
          <w:rFonts w:hint="default" w:ascii="Times New Roman" w:hAnsi="Times New Roman" w:eastAsia="仿宋_GB2312" w:cs="Times New Roman"/>
          <w:bCs/>
          <w:kern w:val="0"/>
          <w:sz w:val="32"/>
          <w:szCs w:val="32"/>
          <w:lang w:val="en-US" w:eastAsia="zh-CN" w:bidi="ar"/>
        </w:rPr>
        <w:t>,</w:t>
      </w:r>
      <w:r>
        <w:rPr>
          <w:rFonts w:hint="eastAsia" w:ascii="仿宋_GB2312" w:hAnsi="Times New Roman" w:eastAsia="仿宋_GB2312" w:cs="仿宋_GB2312"/>
          <w:bCs/>
          <w:kern w:val="0"/>
          <w:sz w:val="32"/>
          <w:szCs w:val="32"/>
          <w:lang w:val="en-US" w:eastAsia="zh-CN" w:bidi="ar"/>
        </w:rPr>
        <w:t>应对鑫某公司应承担的合理维权费用承担连带责任。据此，一审法院依照《中华人民共和国专利法》第十一条第二款、第六十四条第二款、第七十七条，《中华人民共和国公司法》第六十三条，《最高人民法院关于审理侵犯专利权纠纷案件应用法律若干问题的解释》第八条、第十条、第十一条的规定，于</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7</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21</w:t>
      </w:r>
      <w:r>
        <w:rPr>
          <w:rFonts w:hint="eastAsia" w:ascii="仿宋_GB2312" w:hAnsi="Times New Roman" w:eastAsia="仿宋_GB2312" w:cs="仿宋_GB2312"/>
          <w:bCs/>
          <w:kern w:val="0"/>
          <w:sz w:val="32"/>
          <w:szCs w:val="32"/>
          <w:lang w:val="en-US" w:eastAsia="zh-CN" w:bidi="ar"/>
        </w:rPr>
        <w:t>日判决：一、鑫某公司立即停止销售、许诺销售侵害文某尔金公司享有独占实施许可的专利号为</w:t>
      </w:r>
      <w:r>
        <w:rPr>
          <w:rFonts w:hint="default" w:ascii="Times New Roman" w:hAnsi="Times New Roman" w:eastAsia="仿宋_GB2312" w:cs="Times New Roman"/>
          <w:bCs/>
          <w:kern w:val="0"/>
          <w:sz w:val="32"/>
          <w:szCs w:val="32"/>
          <w:lang w:val="en-US" w:eastAsia="zh-CN" w:bidi="ar"/>
        </w:rPr>
        <w:t>ZL2018****9830.X</w:t>
      </w:r>
      <w:r>
        <w:rPr>
          <w:rFonts w:hint="eastAsia" w:ascii="仿宋_GB2312" w:hAnsi="Times New Roman" w:eastAsia="仿宋_GB2312" w:cs="仿宋_GB2312"/>
          <w:bCs/>
          <w:kern w:val="0"/>
          <w:sz w:val="32"/>
          <w:szCs w:val="32"/>
          <w:lang w:val="en-US" w:eastAsia="zh-CN" w:bidi="ar"/>
        </w:rPr>
        <w:t>、名称为“骨磷式护具”的外观设计专利权的产品的行为；二、鑫某公司于判决生效后十日内支付文某尔金公司</w:t>
      </w:r>
      <w:r>
        <w:rPr>
          <w:rFonts w:hint="default" w:ascii="Times New Roman" w:hAnsi="Times New Roman" w:eastAsia="仿宋_GB2312" w:cs="Times New Roman"/>
          <w:bCs/>
          <w:kern w:val="0"/>
          <w:sz w:val="32"/>
          <w:szCs w:val="32"/>
          <w:lang w:val="en-US" w:eastAsia="zh-CN" w:bidi="ar"/>
        </w:rPr>
        <w:t>3000</w:t>
      </w:r>
      <w:r>
        <w:rPr>
          <w:rFonts w:hint="eastAsia" w:ascii="仿宋_GB2312" w:hAnsi="Times New Roman" w:eastAsia="仿宋_GB2312" w:cs="仿宋_GB2312"/>
          <w:bCs/>
          <w:kern w:val="0"/>
          <w:sz w:val="32"/>
          <w:szCs w:val="32"/>
          <w:lang w:val="en-US" w:eastAsia="zh-CN" w:bidi="ar"/>
        </w:rPr>
        <w:t>元；三、何某军对鑫某公司的上述款项承担连带责任。如果未按判决指定的期间履行给付金钱义务，应当依照《中华人民共和国民事诉讼法》第二百六十条及相关司法解释之规定，加倍支付迟延履行期间的债务利息。四、驳回文某尔金公司的其他诉讼请求。一审案件受理费</w:t>
      </w:r>
      <w:r>
        <w:rPr>
          <w:rFonts w:hint="default" w:ascii="Times New Roman" w:hAnsi="Times New Roman" w:eastAsia="仿宋_GB2312" w:cs="Times New Roman"/>
          <w:bCs/>
          <w:kern w:val="0"/>
          <w:sz w:val="32"/>
          <w:szCs w:val="32"/>
          <w:lang w:val="en-US" w:eastAsia="zh-CN" w:bidi="ar"/>
        </w:rPr>
        <w:t>4300</w:t>
      </w:r>
      <w:r>
        <w:rPr>
          <w:rFonts w:hint="eastAsia" w:ascii="仿宋_GB2312" w:hAnsi="Times New Roman" w:eastAsia="仿宋_GB2312" w:cs="仿宋_GB2312"/>
          <w:bCs/>
          <w:kern w:val="0"/>
          <w:sz w:val="32"/>
          <w:szCs w:val="32"/>
          <w:lang w:val="en-US" w:eastAsia="zh-CN" w:bidi="ar"/>
        </w:rPr>
        <w:t>元，由文某尔金公司负担</w:t>
      </w:r>
      <w:r>
        <w:rPr>
          <w:rFonts w:hint="default" w:ascii="Times New Roman" w:hAnsi="Times New Roman" w:eastAsia="仿宋_GB2312" w:cs="Times New Roman"/>
          <w:bCs/>
          <w:kern w:val="0"/>
          <w:sz w:val="32"/>
          <w:szCs w:val="32"/>
          <w:lang w:val="en-US" w:eastAsia="zh-CN" w:bidi="ar"/>
        </w:rPr>
        <w:t>2117</w:t>
      </w:r>
      <w:r>
        <w:rPr>
          <w:rFonts w:hint="eastAsia" w:ascii="仿宋_GB2312" w:hAnsi="Times New Roman" w:eastAsia="仿宋_GB2312" w:cs="仿宋_GB2312"/>
          <w:bCs/>
          <w:kern w:val="0"/>
          <w:sz w:val="32"/>
          <w:szCs w:val="32"/>
          <w:lang w:val="en-US" w:eastAsia="zh-CN" w:bidi="ar"/>
        </w:rPr>
        <w:t>元，由鑫某公司、何某军负担</w:t>
      </w:r>
      <w:r>
        <w:rPr>
          <w:rFonts w:hint="default" w:ascii="Times New Roman" w:hAnsi="Times New Roman" w:eastAsia="仿宋_GB2312" w:cs="Times New Roman"/>
          <w:bCs/>
          <w:kern w:val="0"/>
          <w:sz w:val="32"/>
          <w:szCs w:val="32"/>
          <w:lang w:val="en-US" w:eastAsia="zh-CN" w:bidi="ar"/>
        </w:rPr>
        <w:t>2183</w:t>
      </w:r>
      <w:r>
        <w:rPr>
          <w:rFonts w:hint="eastAsia" w:ascii="仿宋_GB2312" w:hAnsi="Times New Roman" w:eastAsia="仿宋_GB2312" w:cs="仿宋_GB2312"/>
          <w:bCs/>
          <w:kern w:val="0"/>
          <w:sz w:val="32"/>
          <w:szCs w:val="32"/>
          <w:lang w:val="en-US" w:eastAsia="zh-CN" w:bidi="ar"/>
        </w:rPr>
        <w:t>元。</w:t>
      </w:r>
    </w:p>
    <w:p w14:paraId="13ED0C99">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二审中，文某尔金公司未向本院提交新的证据。鑫某公司提交了拼多多平台披露的“安心摩配”店铺信息，拟证明鑫某公司销售的被诉侵权产品系由“安心摩配”店铺一件代发，该产品具有合法来源。文某尔金公司经质证认为，该证据不属于新证据，对证据三性和证明目的均不认可。本院经审查认为，该证据系拼多多客服对用户的意见反馈，证据内容所涉及的订单和产品等信息与被诉侵权产品的购买订单信息能够相互印证，在无相反证据的情况下，本院予以认定。</w:t>
      </w:r>
    </w:p>
    <w:p w14:paraId="3353E5AD">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结合双方一审提交的证据，本院二审补充查明，</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除“鑫某车品专营店”之外，鑫某公司在拼某站同时经营“鑫某汽车用品专营店”，该店铺销售一款“</w:t>
      </w:r>
      <w:r>
        <w:rPr>
          <w:rFonts w:hint="default" w:ascii="Times New Roman" w:hAnsi="Times New Roman" w:eastAsia="仿宋_GB2312" w:cs="Times New Roman"/>
          <w:bCs/>
          <w:kern w:val="0"/>
          <w:sz w:val="32"/>
          <w:szCs w:val="32"/>
          <w:lang w:val="en-US" w:eastAsia="zh-CN" w:bidi="ar"/>
        </w:rPr>
        <w:t>ones again</w:t>
      </w:r>
      <w:r>
        <w:rPr>
          <w:rFonts w:hint="eastAsia" w:ascii="仿宋_GB2312" w:hAnsi="Times New Roman" w:eastAsia="仿宋_GB2312" w:cs="仿宋_GB2312"/>
          <w:bCs/>
          <w:kern w:val="0"/>
          <w:sz w:val="32"/>
          <w:szCs w:val="32"/>
          <w:lang w:val="en-US" w:eastAsia="zh-CN" w:bidi="ar"/>
        </w:rPr>
        <w:t>摩托车护膝冬季保暖四件套男女骑行骑士装备防摔护具”，销售价格</w:t>
      </w:r>
      <w:r>
        <w:rPr>
          <w:rFonts w:hint="default" w:ascii="Times New Roman" w:hAnsi="Times New Roman" w:eastAsia="仿宋_GB2312" w:cs="Times New Roman"/>
          <w:bCs/>
          <w:kern w:val="0"/>
          <w:sz w:val="32"/>
          <w:szCs w:val="32"/>
          <w:lang w:val="en-US" w:eastAsia="zh-CN" w:bidi="ar"/>
        </w:rPr>
        <w:t>126.72</w:t>
      </w:r>
      <w:r>
        <w:rPr>
          <w:rFonts w:hint="eastAsia" w:ascii="仿宋_GB2312" w:hAnsi="Times New Roman" w:eastAsia="仿宋_GB2312" w:cs="仿宋_GB2312"/>
          <w:bCs/>
          <w:kern w:val="0"/>
          <w:sz w:val="32"/>
          <w:szCs w:val="32"/>
          <w:lang w:val="en-US" w:eastAsia="zh-CN" w:bidi="ar"/>
        </w:rPr>
        <w:t>元起，已拼</w:t>
      </w:r>
      <w:r>
        <w:rPr>
          <w:rFonts w:hint="default" w:ascii="Times New Roman" w:hAnsi="Times New Roman" w:eastAsia="仿宋_GB2312" w:cs="Times New Roman"/>
          <w:bCs/>
          <w:kern w:val="0"/>
          <w:sz w:val="32"/>
          <w:szCs w:val="32"/>
          <w:lang w:val="en-US" w:eastAsia="zh-CN" w:bidi="ar"/>
        </w:rPr>
        <w:t>7167</w:t>
      </w:r>
      <w:r>
        <w:rPr>
          <w:rFonts w:hint="eastAsia" w:ascii="仿宋_GB2312" w:hAnsi="Times New Roman" w:eastAsia="仿宋_GB2312" w:cs="仿宋_GB2312"/>
          <w:bCs/>
          <w:kern w:val="0"/>
          <w:sz w:val="32"/>
          <w:szCs w:val="32"/>
          <w:lang w:val="en-US" w:eastAsia="zh-CN" w:bidi="ar"/>
        </w:rPr>
        <w:t>件，其中“护膝两件套”价格为</w:t>
      </w:r>
      <w:r>
        <w:rPr>
          <w:rFonts w:hint="default" w:ascii="Times New Roman" w:hAnsi="Times New Roman" w:eastAsia="仿宋_GB2312" w:cs="Times New Roman"/>
          <w:bCs/>
          <w:kern w:val="0"/>
          <w:sz w:val="32"/>
          <w:szCs w:val="32"/>
          <w:lang w:val="en-US" w:eastAsia="zh-CN" w:bidi="ar"/>
        </w:rPr>
        <w:t>151.04</w:t>
      </w:r>
      <w:r>
        <w:rPr>
          <w:rFonts w:hint="eastAsia" w:ascii="仿宋_GB2312" w:hAnsi="Times New Roman" w:eastAsia="仿宋_GB2312" w:cs="仿宋_GB2312"/>
          <w:bCs/>
          <w:kern w:val="0"/>
          <w:sz w:val="32"/>
          <w:szCs w:val="32"/>
          <w:lang w:val="en-US" w:eastAsia="zh-CN" w:bidi="ar"/>
        </w:rPr>
        <w:t>元，该产品外观与涉案专利一致，产品销售详情页面显示该产品已获实用新型和外观设计专利，专利号为</w:t>
      </w:r>
      <w:r>
        <w:rPr>
          <w:rFonts w:hint="default" w:ascii="Times New Roman" w:hAnsi="Times New Roman" w:eastAsia="仿宋_GB2312" w:cs="Times New Roman"/>
          <w:bCs/>
          <w:kern w:val="0"/>
          <w:sz w:val="32"/>
          <w:szCs w:val="32"/>
          <w:lang w:val="en-US" w:eastAsia="zh-CN" w:bidi="ar"/>
        </w:rPr>
        <w:t>ZL2018****9830.X</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ZL2018****3183.8.X</w:t>
      </w:r>
      <w:r>
        <w:rPr>
          <w:rFonts w:hint="eastAsia" w:ascii="仿宋_GB2312" w:hAnsi="Times New Roman" w:eastAsia="仿宋_GB2312" w:cs="仿宋_GB2312"/>
          <w:bCs/>
          <w:kern w:val="0"/>
          <w:sz w:val="32"/>
          <w:szCs w:val="32"/>
          <w:lang w:val="en-US" w:eastAsia="zh-CN" w:bidi="ar"/>
        </w:rPr>
        <w:t>，文某尔金公司认可该产品系其生产的专利产品。</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文某尔金公司公证购买的被诉侵权产品系由拼多多店铺“安心摩配”一件代发。“安心摩配”的入驻人姓名为廖某。</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鑫某公司公司提交的后台订单查询记录共显示两笔订单，一笔为文某尔金公司购买，另一笔订单销售数量</w:t>
      </w:r>
      <w:r>
        <w:rPr>
          <w:rFonts w:hint="default" w:ascii="Times New Roman" w:hAnsi="Times New Roman" w:eastAsia="仿宋_GB2312" w:cs="Times New Roman"/>
          <w:bCs/>
          <w:kern w:val="0"/>
          <w:sz w:val="32"/>
          <w:szCs w:val="32"/>
          <w:lang w:val="en-US" w:eastAsia="zh-CN" w:bidi="ar"/>
        </w:rPr>
        <w:t>24036</w:t>
      </w:r>
      <w:r>
        <w:rPr>
          <w:rFonts w:hint="eastAsia" w:ascii="仿宋_GB2312" w:hAnsi="Times New Roman" w:eastAsia="仿宋_GB2312" w:cs="仿宋_GB2312"/>
          <w:bCs/>
          <w:kern w:val="0"/>
          <w:sz w:val="32"/>
          <w:szCs w:val="32"/>
          <w:lang w:val="en-US" w:eastAsia="zh-CN" w:bidi="ar"/>
        </w:rPr>
        <w:t>件，实收金额</w:t>
      </w:r>
      <w:r>
        <w:rPr>
          <w:rFonts w:hint="default" w:ascii="Times New Roman" w:hAnsi="Times New Roman" w:eastAsia="仿宋_GB2312" w:cs="Times New Roman"/>
          <w:bCs/>
          <w:kern w:val="0"/>
          <w:sz w:val="32"/>
          <w:szCs w:val="32"/>
          <w:lang w:val="en-US" w:eastAsia="zh-CN" w:bidi="ar"/>
        </w:rPr>
        <w:t>0.01</w:t>
      </w:r>
      <w:r>
        <w:rPr>
          <w:rFonts w:hint="eastAsia" w:ascii="仿宋_GB2312" w:hAnsi="Times New Roman" w:eastAsia="仿宋_GB2312" w:cs="仿宋_GB2312"/>
          <w:bCs/>
          <w:kern w:val="0"/>
          <w:sz w:val="32"/>
          <w:szCs w:val="32"/>
          <w:lang w:val="en-US" w:eastAsia="zh-CN" w:bidi="ar"/>
        </w:rPr>
        <w:t>元。</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文某尔金公司为制止侵权支出了公证费、律师费等维权费用。本院二审查明的其他事实与一审认定的一致。</w:t>
      </w:r>
    </w:p>
    <w:p w14:paraId="369630E2">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各方对于被诉侵权设计落入涉案专利权保护范围均无异议。根据文某尔金公司的上诉理由和请求以及鑫某公司、何某军的答辩意见，本案二审的争议焦点在于：鑫某公司提出的合法来源抗辩是否成立；鑫某公司、何某军应当承担的法律责任。</w:t>
      </w:r>
    </w:p>
    <w:p w14:paraId="622065C5">
      <w:pPr>
        <w:keepNext w:val="0"/>
        <w:keepLines w:val="0"/>
        <w:widowControl/>
        <w:suppressLineNumbers w:val="0"/>
        <w:spacing w:before="0" w:beforeAutospacing="0" w:after="0" w:afterAutospacing="0"/>
        <w:ind w:left="0" w:right="0" w:firstLine="640" w:firstLineChars="200"/>
        <w:jc w:val="left"/>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本院认为，《中华人民共和国专利法》第七十七条规定，为生产经营目的使用、许诺销售或者销售不知道是未经专利权人许可而制造并售出的专利侵权产品，能证明该产品合法来源的，不承担赔偿责任。《最高人民法院关于审理侵犯专利权纠纷案件应用法律若干问题的解释（二）》第二十五条规定，为生产经营目的使用、许诺销售或者销售不知道是未经专利权人许可而制造并售出的专利侵权产品，且举证证明该产品合法来源的，对于权利人请求停止上述使用、许诺销售、销售行为的主张，人民法院应予支持，但被诉侵权产品的使用者举证证明其已支付该产品的合理对价的除外。本条第一款所称不知道，是指实际不知道且不应当知道。本条第一款所称合法来源，是指通过合法的销售渠道、通常的买卖合同等正常商业方式取得产品。对于合法来源，使用者、许诺销售者或者销售者应当提供符合交易习惯的相关证据。故合法来源抗辩成立需要符合主观要件和客观要件。</w:t>
      </w:r>
    </w:p>
    <w:p w14:paraId="6A5D7173">
      <w:pPr>
        <w:keepNext w:val="0"/>
        <w:keepLines w:val="0"/>
        <w:widowControl/>
        <w:suppressLineNumbers w:val="0"/>
        <w:spacing w:before="0" w:beforeAutospacing="0" w:after="0" w:afterAutospacing="0"/>
        <w:ind w:left="0" w:right="0" w:firstLine="640" w:firstLineChars="200"/>
        <w:jc w:val="left"/>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本案中，鑫某公司提供了一件代发的订单，交易时间、收货人信息等与被诉侵权产品销售订单信息能够相互对应，证明买家在其店铺下单后，鑫某公司又从拼多多网店“安心摩配”下单，并由该店铺将商品直接寄给买家，被诉侵权产品来源于第三方，符合合法来源抗辩成立的客观要件。虽然被诉侵权产品销售页面显示已拼</w:t>
      </w:r>
      <w:r>
        <w:rPr>
          <w:rFonts w:hint="default" w:ascii="Times New Roman" w:hAnsi="Times New Roman" w:eastAsia="仿宋_GB2312" w:cs="Times New Roman"/>
          <w:bCs/>
          <w:kern w:val="0"/>
          <w:sz w:val="32"/>
          <w:szCs w:val="32"/>
          <w:lang w:val="en-US" w:eastAsia="zh-CN" w:bidi="ar"/>
        </w:rPr>
        <w:t>2.4</w:t>
      </w:r>
      <w:r>
        <w:rPr>
          <w:rFonts w:hint="eastAsia" w:ascii="仿宋_GB2312" w:hAnsi="Times New Roman" w:eastAsia="仿宋_GB2312" w:cs="仿宋_GB2312"/>
          <w:bCs/>
          <w:kern w:val="0"/>
          <w:sz w:val="32"/>
          <w:szCs w:val="32"/>
          <w:lang w:val="en-US" w:eastAsia="zh-CN" w:bidi="ar"/>
        </w:rPr>
        <w:t>万件，但从实收金额</w:t>
      </w:r>
      <w:r>
        <w:rPr>
          <w:rFonts w:hint="default" w:ascii="Times New Roman" w:hAnsi="Times New Roman" w:eastAsia="仿宋_GB2312" w:cs="Times New Roman"/>
          <w:bCs/>
          <w:kern w:val="0"/>
          <w:sz w:val="32"/>
          <w:szCs w:val="32"/>
          <w:lang w:val="en-US" w:eastAsia="zh-CN" w:bidi="ar"/>
        </w:rPr>
        <w:t>0.01</w:t>
      </w:r>
      <w:r>
        <w:rPr>
          <w:rFonts w:hint="eastAsia" w:ascii="仿宋_GB2312" w:hAnsi="Times New Roman" w:eastAsia="仿宋_GB2312" w:cs="仿宋_GB2312"/>
          <w:bCs/>
          <w:kern w:val="0"/>
          <w:sz w:val="32"/>
          <w:szCs w:val="32"/>
          <w:lang w:val="en-US" w:eastAsia="zh-CN" w:bidi="ar"/>
        </w:rPr>
        <w:t>元来看，不足以认定系真实交易。主观要件方面，鑫某公司作为销售者，理应对其销售的涉案产品是否侵害他人专利权承担合理注意义务。鑫某公司在拼多多网店同时经营两家店铺，其中“鑫某汽车用品专营店”销售专利产品，并在销售页面标明了涉案专利专利号，且该产品销量较大，鑫某公司知道文某尔金公司涉案专利权的存在。但其在“鑫某车品专营店”同时售卖被诉侵权产品，外观与专利产品基本一致，价格却相差一倍，鑫某公司作为专业经营摩配用品的商家，对该产品落入涉案专利权保护范围应当具有识别能力，却仍进行销售，主观上难谓善意，其不符合合法来源抗辩成立的主观要件，不能以此为由免除赔偿责任。一审判决认定鑫某公司提出的合法来源抗辩成立有误，本院予以纠正。</w:t>
      </w:r>
    </w:p>
    <w:p w14:paraId="65B34926">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鑫某公司实施了销售、许诺销售侵害文某尔金公司涉案专利权的产品的行为，应当承担停止侵权、赔偿损失的法律责任。文某尔金公司关于停止制造、销毁模具的诉讼请求缺乏证据，本院不予支持。关于赔偿数额，文某尔金公司因被侵权受到的实际损失、鑫某公司因侵权所获得的利益均难以确定，文某尔金公司虽然提交了专利授权合同，但没有明确的专利许可使用费可以参考，故本院将综合考虑涉案专利权的类型及授权时间、被诉侵权行为的性质、持续时间、规模及后果、侵权人的过错程度、权利人为制止侵权支付的合理费用等因素，综合确定赔偿数额。本院注意到：</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涉案专利为外观设计专利，授权公告日为</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日，文某尔金公司为独占被许可人；</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鑫某公司实施了销售、许诺销售行为；</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涉案侵权产品系由案外人一件代发，单价</w:t>
      </w:r>
      <w:r>
        <w:rPr>
          <w:rFonts w:hint="default" w:ascii="Times New Roman" w:hAnsi="Times New Roman" w:eastAsia="仿宋_GB2312" w:cs="Times New Roman"/>
          <w:bCs/>
          <w:kern w:val="0"/>
          <w:sz w:val="32"/>
          <w:szCs w:val="32"/>
          <w:lang w:val="en-US" w:eastAsia="zh-CN" w:bidi="ar"/>
        </w:rPr>
        <w:t>78.2</w:t>
      </w:r>
      <w:r>
        <w:rPr>
          <w:rFonts w:hint="eastAsia" w:ascii="仿宋_GB2312" w:hAnsi="Times New Roman" w:eastAsia="仿宋_GB2312" w:cs="仿宋_GB2312"/>
          <w:bCs/>
          <w:kern w:val="0"/>
          <w:sz w:val="32"/>
          <w:szCs w:val="32"/>
          <w:lang w:val="en-US" w:eastAsia="zh-CN" w:bidi="ar"/>
        </w:rPr>
        <w:t>元，网店显示已拼</w:t>
      </w:r>
      <w:r>
        <w:rPr>
          <w:rFonts w:hint="default" w:ascii="Times New Roman" w:hAnsi="Times New Roman" w:eastAsia="仿宋_GB2312" w:cs="Times New Roman"/>
          <w:bCs/>
          <w:kern w:val="0"/>
          <w:sz w:val="32"/>
          <w:szCs w:val="32"/>
          <w:lang w:val="en-US" w:eastAsia="zh-CN" w:bidi="ar"/>
        </w:rPr>
        <w:t>2.4</w:t>
      </w:r>
      <w:r>
        <w:rPr>
          <w:rFonts w:hint="eastAsia" w:ascii="仿宋_GB2312" w:hAnsi="Times New Roman" w:eastAsia="仿宋_GB2312" w:cs="仿宋_GB2312"/>
          <w:bCs/>
          <w:kern w:val="0"/>
          <w:sz w:val="32"/>
          <w:szCs w:val="32"/>
          <w:lang w:val="en-US" w:eastAsia="zh-CN" w:bidi="ar"/>
        </w:rPr>
        <w:t>万件，但鑫某公司存在刷单行为；</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文某尔金公司为制止侵权行为进行公证保全、聘请律师出庭支付了维权费用。综上，本院酌情确定鑫某公司赔偿文某尔金公司经济损失（含合理维权费用）</w:t>
      </w:r>
      <w:r>
        <w:rPr>
          <w:rFonts w:hint="default" w:ascii="Times New Roman" w:hAnsi="Times New Roman" w:eastAsia="仿宋_GB2312" w:cs="Times New Roman"/>
          <w:bCs/>
          <w:kern w:val="0"/>
          <w:sz w:val="32"/>
          <w:szCs w:val="32"/>
          <w:lang w:val="en-US" w:eastAsia="zh-CN" w:bidi="ar"/>
        </w:rPr>
        <w:t>20000</w:t>
      </w:r>
      <w:r>
        <w:rPr>
          <w:rFonts w:hint="eastAsia" w:ascii="仿宋_GB2312" w:hAnsi="Times New Roman" w:eastAsia="仿宋_GB2312" w:cs="仿宋_GB2312"/>
          <w:bCs/>
          <w:kern w:val="0"/>
          <w:sz w:val="32"/>
          <w:szCs w:val="32"/>
          <w:lang w:val="en-US" w:eastAsia="zh-CN" w:bidi="ar"/>
        </w:rPr>
        <w:t>元。何某军系某丙公司鑫某公司的股东，其未提供证据证明公司财产独立于自己的财产，应对鑫某公司的债务承担连带责任。</w:t>
      </w:r>
    </w:p>
    <w:p w14:paraId="463AB832">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综上，文某尔金公司的上诉理由部分成立，对其上诉请求中合理部分应予支持。一审判决认定事实基本清楚，但适用法律部分有误，应予纠正。据此，依照《中华人民共和国专利法》第十一条第二款、第六十四条第二款、第七十一条、第七十七条，《中华人民共和国公司法》第六十三条，《最高人民法院关于审理侵犯专利权纠纷案件应用法律若干问题的解释》第八条、第十条、第十一条，《中华人民共和国民事诉讼法》第一百七十七条第一款第二项规定，判决如下：</w:t>
      </w:r>
    </w:p>
    <w:p w14:paraId="3551D9C5">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一、维持浙江省宁波市中级人民法院（</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193</w:t>
      </w:r>
      <w:r>
        <w:rPr>
          <w:rFonts w:hint="eastAsia" w:ascii="仿宋_GB2312" w:hAnsi="Times New Roman" w:eastAsia="仿宋_GB2312" w:cs="仿宋_GB2312"/>
          <w:bCs/>
          <w:kern w:val="0"/>
          <w:sz w:val="32"/>
          <w:szCs w:val="32"/>
          <w:lang w:val="en-US" w:eastAsia="zh-CN" w:bidi="ar"/>
        </w:rPr>
        <w:t>号民事判决第一项，即宁波鑫某通信设备有限公司立即停止销售、许诺销售侵害佛山市文某尔金极限运动用品有限公司享有独占实施许可的专利号为</w:t>
      </w:r>
      <w:r>
        <w:rPr>
          <w:rFonts w:hint="default" w:ascii="Times New Roman" w:hAnsi="Times New Roman" w:eastAsia="仿宋_GB2312" w:cs="Times New Roman"/>
          <w:bCs/>
          <w:kern w:val="0"/>
          <w:sz w:val="32"/>
          <w:szCs w:val="32"/>
          <w:lang w:val="en-US" w:eastAsia="zh-CN" w:bidi="ar"/>
        </w:rPr>
        <w:t>ZL2018****9830.X</w:t>
      </w:r>
      <w:r>
        <w:rPr>
          <w:rFonts w:hint="eastAsia" w:ascii="仿宋_GB2312" w:hAnsi="Times New Roman" w:eastAsia="仿宋_GB2312" w:cs="仿宋_GB2312"/>
          <w:bCs/>
          <w:kern w:val="0"/>
          <w:sz w:val="32"/>
          <w:szCs w:val="32"/>
          <w:lang w:val="en-US" w:eastAsia="zh-CN" w:bidi="ar"/>
        </w:rPr>
        <w:t>、名称为“骨磷式护具”的外观设计专利权的产品的行为；</w:t>
      </w:r>
    </w:p>
    <w:p w14:paraId="6E827037">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二、撤销浙江省宁波市中级人民法院（</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193</w:t>
      </w:r>
      <w:r>
        <w:rPr>
          <w:rFonts w:hint="eastAsia" w:ascii="仿宋_GB2312" w:hAnsi="Times New Roman" w:eastAsia="仿宋_GB2312" w:cs="仿宋_GB2312"/>
          <w:bCs/>
          <w:kern w:val="0"/>
          <w:sz w:val="32"/>
          <w:szCs w:val="32"/>
          <w:lang w:val="en-US" w:eastAsia="zh-CN" w:bidi="ar"/>
        </w:rPr>
        <w:t>号民事判决第二项，即宁波鑫某通信设备有限公司于判决生效后十日内支付佛山市文某尔金极限运动用品有限公司</w:t>
      </w:r>
      <w:r>
        <w:rPr>
          <w:rFonts w:hint="default" w:ascii="Times New Roman" w:hAnsi="Times New Roman" w:eastAsia="仿宋_GB2312" w:cs="Times New Roman"/>
          <w:bCs/>
          <w:kern w:val="0"/>
          <w:sz w:val="32"/>
          <w:szCs w:val="32"/>
          <w:lang w:val="en-US" w:eastAsia="zh-CN" w:bidi="ar"/>
        </w:rPr>
        <w:t>3000</w:t>
      </w:r>
      <w:r>
        <w:rPr>
          <w:rFonts w:hint="eastAsia" w:ascii="仿宋_GB2312" w:hAnsi="Times New Roman" w:eastAsia="仿宋_GB2312" w:cs="仿宋_GB2312"/>
          <w:bCs/>
          <w:kern w:val="0"/>
          <w:sz w:val="32"/>
          <w:szCs w:val="32"/>
          <w:lang w:val="en-US" w:eastAsia="zh-CN" w:bidi="ar"/>
        </w:rPr>
        <w:t>元；</w:t>
      </w:r>
    </w:p>
    <w:p w14:paraId="60B8D36E">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三、撤销浙江省宁波市中级人民法院（</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193</w:t>
      </w:r>
      <w:r>
        <w:rPr>
          <w:rFonts w:hint="eastAsia" w:ascii="仿宋_GB2312" w:hAnsi="Times New Roman" w:eastAsia="仿宋_GB2312" w:cs="仿宋_GB2312"/>
          <w:bCs/>
          <w:kern w:val="0"/>
          <w:sz w:val="32"/>
          <w:szCs w:val="32"/>
          <w:lang w:val="en-US" w:eastAsia="zh-CN" w:bidi="ar"/>
        </w:rPr>
        <w:t>号民事判决第三项，即何某军对宁波鑫某通信设备有限公司的上述款项承担连带责任。</w:t>
      </w:r>
    </w:p>
    <w:p w14:paraId="721A1471">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四、撤销浙江省宁波市中级人民法院（</w:t>
      </w:r>
      <w:r>
        <w:rPr>
          <w:rFonts w:hint="default" w:ascii="Times New Roman" w:hAnsi="Times New Roman" w:eastAsia="仿宋_GB2312" w:cs="Times New Roman"/>
          <w:bCs/>
          <w:kern w:val="0"/>
          <w:sz w:val="32"/>
          <w:szCs w:val="32"/>
          <w:lang w:val="en-US" w:eastAsia="zh-CN" w:bidi="ar"/>
        </w:rPr>
        <w:t>2022</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193</w:t>
      </w:r>
      <w:r>
        <w:rPr>
          <w:rFonts w:hint="eastAsia" w:ascii="仿宋_GB2312" w:hAnsi="Times New Roman" w:eastAsia="仿宋_GB2312" w:cs="仿宋_GB2312"/>
          <w:bCs/>
          <w:kern w:val="0"/>
          <w:sz w:val="32"/>
          <w:szCs w:val="32"/>
          <w:lang w:val="en-US" w:eastAsia="zh-CN" w:bidi="ar"/>
        </w:rPr>
        <w:t>号民事判决第四项，即驳回佛山市文某尔金极限运动用品有限公司的其他诉讼请求。</w:t>
      </w:r>
    </w:p>
    <w:p w14:paraId="7708D12E">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五、宁波鑫某通信设备有限公司于本判决送达后十日内赔偿文某尔金公司经济损失（含合理维权费用）</w:t>
      </w:r>
      <w:r>
        <w:rPr>
          <w:rFonts w:hint="default" w:ascii="Times New Roman" w:hAnsi="Times New Roman" w:eastAsia="仿宋_GB2312" w:cs="Times New Roman"/>
          <w:bCs/>
          <w:kern w:val="0"/>
          <w:sz w:val="32"/>
          <w:szCs w:val="32"/>
          <w:lang w:val="en-US" w:eastAsia="zh-CN" w:bidi="ar"/>
        </w:rPr>
        <w:t>20000</w:t>
      </w:r>
      <w:r>
        <w:rPr>
          <w:rFonts w:hint="eastAsia" w:ascii="仿宋_GB2312" w:hAnsi="Times New Roman" w:eastAsia="仿宋_GB2312" w:cs="仿宋_GB2312"/>
          <w:bCs/>
          <w:kern w:val="0"/>
          <w:sz w:val="32"/>
          <w:szCs w:val="32"/>
          <w:lang w:val="en-US" w:eastAsia="zh-CN" w:bidi="ar"/>
        </w:rPr>
        <w:t>元；</w:t>
      </w:r>
    </w:p>
    <w:p w14:paraId="4A2F1F83">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六、何某军对宁波鑫某通信设备有限公司的上述债务承担连带赔偿责任；</w:t>
      </w:r>
    </w:p>
    <w:p w14:paraId="40004DAF">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七、驳回佛山市文某尔金极限运动用品有限公司的其他诉讼请求。</w:t>
      </w:r>
    </w:p>
    <w:p w14:paraId="5374EFF6">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如果未按本判决指定的期间履行给付金钱义务，应当依照《中华人民共和国民事诉讼法》第二百六十条及相关司法解释之规定，加倍支付迟延履行期间的债务利息。</w:t>
      </w:r>
    </w:p>
    <w:p w14:paraId="202B3D4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一审案件受理费</w:t>
      </w:r>
      <w:r>
        <w:rPr>
          <w:rFonts w:hint="default" w:ascii="Times New Roman" w:hAnsi="Times New Roman" w:eastAsia="仿宋_GB2312" w:cs="Times New Roman"/>
          <w:bCs/>
          <w:kern w:val="0"/>
          <w:sz w:val="32"/>
          <w:szCs w:val="32"/>
          <w:lang w:val="en-US" w:eastAsia="zh-CN" w:bidi="ar"/>
        </w:rPr>
        <w:t>4300</w:t>
      </w:r>
      <w:r>
        <w:rPr>
          <w:rFonts w:hint="eastAsia" w:ascii="仿宋_GB2312" w:hAnsi="Times New Roman" w:eastAsia="仿宋_GB2312" w:cs="仿宋_GB2312"/>
          <w:bCs/>
          <w:kern w:val="0"/>
          <w:sz w:val="32"/>
          <w:szCs w:val="32"/>
          <w:lang w:val="en-US" w:eastAsia="zh-CN" w:bidi="ar"/>
        </w:rPr>
        <w:t>元，由佛山市文某尔金极限运动用品有限公司负担</w:t>
      </w:r>
      <w:r>
        <w:rPr>
          <w:rFonts w:hint="default" w:ascii="Times New Roman" w:hAnsi="Times New Roman" w:eastAsia="仿宋_GB2312" w:cs="Times New Roman"/>
          <w:bCs/>
          <w:kern w:val="0"/>
          <w:sz w:val="32"/>
          <w:szCs w:val="32"/>
          <w:lang w:val="en-US" w:eastAsia="zh-CN" w:bidi="ar"/>
        </w:rPr>
        <w:t>1935</w:t>
      </w:r>
      <w:r>
        <w:rPr>
          <w:rFonts w:hint="eastAsia" w:ascii="仿宋_GB2312" w:hAnsi="Times New Roman" w:eastAsia="仿宋_GB2312" w:cs="仿宋_GB2312"/>
          <w:bCs/>
          <w:kern w:val="0"/>
          <w:sz w:val="32"/>
          <w:szCs w:val="32"/>
          <w:lang w:val="en-US" w:eastAsia="zh-CN" w:bidi="ar"/>
        </w:rPr>
        <w:t>元，宁波鑫某通信设备有限公司、何某军负担</w:t>
      </w:r>
      <w:r>
        <w:rPr>
          <w:rFonts w:hint="default" w:ascii="Times New Roman" w:hAnsi="Times New Roman" w:eastAsia="仿宋_GB2312" w:cs="Times New Roman"/>
          <w:bCs/>
          <w:kern w:val="0"/>
          <w:sz w:val="32"/>
          <w:szCs w:val="32"/>
          <w:lang w:val="en-US" w:eastAsia="zh-CN" w:bidi="ar"/>
        </w:rPr>
        <w:t>2365</w:t>
      </w:r>
      <w:r>
        <w:rPr>
          <w:rFonts w:hint="eastAsia" w:ascii="仿宋_GB2312" w:hAnsi="Times New Roman" w:eastAsia="仿宋_GB2312" w:cs="仿宋_GB2312"/>
          <w:bCs/>
          <w:kern w:val="0"/>
          <w:sz w:val="32"/>
          <w:szCs w:val="32"/>
          <w:lang w:val="en-US" w:eastAsia="zh-CN" w:bidi="ar"/>
        </w:rPr>
        <w:t>元。二审案件受理费</w:t>
      </w:r>
      <w:r>
        <w:rPr>
          <w:rFonts w:hint="default" w:ascii="Times New Roman" w:hAnsi="Times New Roman" w:eastAsia="仿宋_GB2312" w:cs="Times New Roman"/>
          <w:bCs/>
          <w:kern w:val="0"/>
          <w:sz w:val="32"/>
          <w:szCs w:val="32"/>
          <w:lang w:val="en-US" w:eastAsia="zh-CN" w:bidi="ar"/>
        </w:rPr>
        <w:t>2300</w:t>
      </w:r>
      <w:r>
        <w:rPr>
          <w:rFonts w:hint="eastAsia" w:ascii="仿宋_GB2312" w:hAnsi="Times New Roman" w:eastAsia="仿宋_GB2312" w:cs="仿宋_GB2312"/>
          <w:bCs/>
          <w:kern w:val="0"/>
          <w:sz w:val="32"/>
          <w:szCs w:val="32"/>
          <w:lang w:val="en-US" w:eastAsia="zh-CN" w:bidi="ar"/>
        </w:rPr>
        <w:t>元，由佛山市文某尔金极限运动用品有限公司负担</w:t>
      </w:r>
      <w:r>
        <w:rPr>
          <w:rFonts w:hint="default" w:ascii="Times New Roman" w:hAnsi="Times New Roman" w:eastAsia="仿宋_GB2312" w:cs="Times New Roman"/>
          <w:bCs/>
          <w:kern w:val="0"/>
          <w:sz w:val="32"/>
          <w:szCs w:val="32"/>
          <w:lang w:val="en-US" w:eastAsia="zh-CN" w:bidi="ar"/>
        </w:rPr>
        <w:t>920</w:t>
      </w:r>
      <w:r>
        <w:rPr>
          <w:rFonts w:hint="eastAsia" w:ascii="仿宋_GB2312" w:hAnsi="Times New Roman" w:eastAsia="仿宋_GB2312" w:cs="仿宋_GB2312"/>
          <w:bCs/>
          <w:kern w:val="0"/>
          <w:sz w:val="32"/>
          <w:szCs w:val="32"/>
          <w:lang w:val="en-US" w:eastAsia="zh-CN" w:bidi="ar"/>
        </w:rPr>
        <w:t>元，宁波鑫某通信设备有限公司、何某军负担</w:t>
      </w:r>
      <w:r>
        <w:rPr>
          <w:rFonts w:hint="default" w:ascii="Times New Roman" w:hAnsi="Times New Roman" w:eastAsia="仿宋_GB2312" w:cs="Times New Roman"/>
          <w:bCs/>
          <w:kern w:val="0"/>
          <w:sz w:val="32"/>
          <w:szCs w:val="32"/>
          <w:lang w:val="en-US" w:eastAsia="zh-CN" w:bidi="ar"/>
        </w:rPr>
        <w:t>1380</w:t>
      </w:r>
      <w:r>
        <w:rPr>
          <w:rFonts w:hint="eastAsia" w:ascii="仿宋_GB2312" w:hAnsi="Times New Roman" w:eastAsia="仿宋_GB2312" w:cs="仿宋_GB2312"/>
          <w:bCs/>
          <w:kern w:val="0"/>
          <w:sz w:val="32"/>
          <w:szCs w:val="32"/>
          <w:lang w:val="en-US" w:eastAsia="zh-CN" w:bidi="ar"/>
        </w:rPr>
        <w:t>元。</w:t>
      </w:r>
    </w:p>
    <w:p w14:paraId="792F5607">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本判决为终审判决。</w:t>
      </w:r>
    </w:p>
    <w:p w14:paraId="00831C32">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bidi="ar"/>
        </w:rPr>
        <w:t xml:space="preserve"> </w:t>
      </w:r>
    </w:p>
    <w:p w14:paraId="7457EBDE">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bidi="ar"/>
        </w:rPr>
        <w:t xml:space="preserve"> </w:t>
      </w:r>
    </w:p>
    <w:p w14:paraId="275186C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bidi="ar"/>
        </w:rPr>
        <w:t xml:space="preserve"> </w:t>
      </w:r>
    </w:p>
    <w:p w14:paraId="6FE6F9B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bidi="ar"/>
        </w:rPr>
        <w:t xml:space="preserve"> </w:t>
      </w:r>
    </w:p>
    <w:p w14:paraId="2793DF9F">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bidi="ar"/>
        </w:rPr>
        <w:t xml:space="preserve"> </w:t>
      </w:r>
    </w:p>
    <w:p w14:paraId="1B7BC827">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bidi="ar"/>
        </w:rPr>
        <w:t xml:space="preserve"> </w:t>
      </w:r>
    </w:p>
    <w:p w14:paraId="4A63EC47">
      <w:pPr>
        <w:keepNext w:val="0"/>
        <w:keepLines w:val="0"/>
        <w:widowControl w:val="0"/>
        <w:suppressLineNumbers w:val="0"/>
        <w:adjustRightInd w:val="0"/>
        <w:snapToGrid w:val="0"/>
        <w:spacing w:before="0" w:beforeAutospacing="0" w:after="0" w:afterAutospacing="0" w:line="592" w:lineRule="exact"/>
        <w:ind w:left="0" w:right="0"/>
        <w:jc w:val="both"/>
        <w:rPr>
          <w:rFonts w:hint="eastAsia"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（此页无正文）</w:t>
      </w:r>
    </w:p>
    <w:p w14:paraId="269E69EE">
      <w:pPr>
        <w:keepNext w:val="0"/>
        <w:keepLines w:val="0"/>
        <w:widowControl w:val="0"/>
        <w:suppressLineNumbers w:val="0"/>
        <w:tabs>
          <w:tab w:val="left" w:pos="4304"/>
        </w:tabs>
        <w:spacing w:before="0" w:beforeAutospacing="0" w:after="0" w:afterAutospacing="0" w:line="594" w:lineRule="exact"/>
        <w:ind w:left="0" w:right="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41DCE38E">
      <w:pPr>
        <w:keepNext w:val="0"/>
        <w:keepLines w:val="0"/>
        <w:widowControl w:val="0"/>
        <w:suppressLineNumbers w:val="0"/>
        <w:tabs>
          <w:tab w:val="left" w:pos="4304"/>
        </w:tabs>
        <w:spacing w:before="0" w:beforeAutospacing="0" w:after="0" w:afterAutospacing="0" w:line="594" w:lineRule="exact"/>
        <w:ind w:left="0" w:right="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1D35DF47">
      <w:pPr>
        <w:keepNext w:val="0"/>
        <w:keepLines w:val="0"/>
        <w:widowControl w:val="0"/>
        <w:suppressLineNumbers w:val="0"/>
        <w:tabs>
          <w:tab w:val="left" w:pos="4304"/>
        </w:tabs>
        <w:spacing w:before="0" w:beforeAutospacing="0" w:after="0" w:afterAutospacing="0" w:line="594" w:lineRule="exact"/>
        <w:ind w:right="0" w:firstLine="3840" w:firstLineChars="1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黄  金  富</w:t>
      </w:r>
    </w:p>
    <w:p w14:paraId="491965A1">
      <w:pPr>
        <w:keepNext w:val="0"/>
        <w:keepLines w:val="0"/>
        <w:widowControl w:val="0"/>
        <w:suppressLineNumbers w:val="0"/>
        <w:tabs>
          <w:tab w:val="left" w:pos="6456"/>
          <w:tab w:val="left" w:pos="6725"/>
          <w:tab w:val="left" w:pos="7263"/>
        </w:tabs>
        <w:spacing w:before="0" w:beforeAutospacing="0" w:after="0" w:afterAutospacing="0" w:line="594" w:lineRule="exact"/>
        <w:ind w:right="0" w:firstLine="3840" w:firstLineChars="1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  剑  霞</w:t>
      </w:r>
    </w:p>
    <w:p w14:paraId="6D7822E2">
      <w:pPr>
        <w:keepNext w:val="0"/>
        <w:keepLines w:val="0"/>
        <w:widowControl w:val="0"/>
        <w:suppressLineNumbers w:val="0"/>
        <w:tabs>
          <w:tab w:val="left" w:pos="5918"/>
          <w:tab w:val="left" w:pos="6456"/>
          <w:tab w:val="left" w:pos="7263"/>
        </w:tabs>
        <w:spacing w:before="0" w:beforeAutospacing="0" w:after="0" w:afterAutospacing="0" w:line="594" w:lineRule="exact"/>
        <w:ind w:right="0" w:firstLine="3840" w:firstLineChars="1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      遥</w:t>
      </w:r>
    </w:p>
    <w:p w14:paraId="6610E9A4">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6829180C">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59FB471F">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036F27AA">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3"/>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14:paraId="6B75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noWrap w:val="0"/>
            <w:vAlign w:val="top"/>
          </w:tcPr>
          <w:p w14:paraId="75E65A84">
            <w:pPr>
              <w:pStyle w:val="2"/>
              <w:widowControl/>
              <w:ind w:left="0" w:firstLine="154" w:firstLineChars="45"/>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12"/>
                <w:kern w:val="0"/>
                <w:sz w:val="32"/>
                <w:szCs w:val="32"/>
              </w:rPr>
              <w:t>二</w:t>
            </w:r>
            <w:r>
              <w:rPr>
                <w:rFonts w:hint="eastAsia" w:ascii="宋体" w:hAnsi="宋体" w:eastAsia="宋体" w:cs="宋体"/>
                <w:spacing w:val="12"/>
                <w:kern w:val="0"/>
                <w:sz w:val="32"/>
                <w:szCs w:val="32"/>
              </w:rPr>
              <w:t>〇</w:t>
            </w:r>
            <w:r>
              <w:rPr>
                <w:rFonts w:hint="eastAsia" w:ascii="仿宋_GB2312" w:eastAsia="仿宋_GB2312" w:cs="仿宋_GB2312"/>
                <w:spacing w:val="12"/>
                <w:kern w:val="0"/>
                <w:sz w:val="32"/>
                <w:szCs w:val="32"/>
              </w:rPr>
              <w:t>二二</w:t>
            </w:r>
            <w:r>
              <w:rPr>
                <w:rFonts w:hint="eastAsia" w:ascii="仿宋_GB2312" w:hAnsi="Times New Roman" w:eastAsia="仿宋_GB2312" w:cs="仿宋_GB2312"/>
                <w:spacing w:val="12"/>
                <w:kern w:val="0"/>
                <w:sz w:val="32"/>
                <w:szCs w:val="32"/>
              </w:rPr>
              <w:t>年</w:t>
            </w:r>
            <w:r>
              <w:rPr>
                <w:rFonts w:hint="eastAsia" w:ascii="仿宋_GB2312" w:eastAsia="仿宋_GB2312" w:cs="仿宋_GB2312"/>
                <w:spacing w:val="12"/>
                <w:kern w:val="0"/>
                <w:sz w:val="32"/>
                <w:szCs w:val="32"/>
              </w:rPr>
              <w:t>十一</w:t>
            </w:r>
            <w:r>
              <w:rPr>
                <w:rFonts w:hint="eastAsia" w:ascii="仿宋_GB2312" w:hAnsi="Times New Roman" w:eastAsia="仿宋_GB2312" w:cs="仿宋_GB2312"/>
                <w:spacing w:val="12"/>
                <w:kern w:val="0"/>
                <w:sz w:val="32"/>
                <w:szCs w:val="32"/>
              </w:rPr>
              <w:t>月</w:t>
            </w:r>
            <w:r>
              <w:rPr>
                <w:rFonts w:hint="eastAsia" w:ascii="仿宋_GB2312" w:eastAsia="仿宋_GB2312" w:cs="仿宋_GB2312"/>
                <w:spacing w:val="12"/>
                <w:kern w:val="0"/>
                <w:sz w:val="32"/>
                <w:szCs w:val="32"/>
              </w:rPr>
              <w:t>十八</w:t>
            </w:r>
            <w:r>
              <w:rPr>
                <w:rFonts w:hint="eastAsia" w:ascii="仿宋_GB2312" w:hAnsi="Times New Roman" w:eastAsia="仿宋_GB2312" w:cs="仿宋_GB2312"/>
                <w:spacing w:val="3"/>
                <w:kern w:val="0"/>
                <w:sz w:val="32"/>
                <w:szCs w:val="32"/>
              </w:rPr>
              <w:t>日</w:t>
            </w:r>
          </w:p>
        </w:tc>
      </w:tr>
    </w:tbl>
    <w:p w14:paraId="53D801F2">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46EB7DBD">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143"/>
          <w:kern w:val="0"/>
          <w:sz w:val="32"/>
          <w:szCs w:val="32"/>
          <w:lang w:val="en-US" w:eastAsia="zh-CN" w:bidi="ar"/>
        </w:rPr>
        <w:t>书记</w:t>
      </w:r>
      <w:r>
        <w:rPr>
          <w:rFonts w:hint="eastAsia" w:ascii="仿宋_GB2312" w:hAnsi="Times New Roman" w:eastAsia="仿宋_GB2312" w:cs="仿宋_GB2312"/>
          <w:spacing w:val="0"/>
          <w:kern w:val="0"/>
          <w:sz w:val="32"/>
          <w:szCs w:val="32"/>
          <w:lang w:val="en-US" w:eastAsia="zh-CN" w:bidi="ar"/>
        </w:rPr>
        <w:t>员</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王  莉  莉</w:t>
      </w:r>
      <w:r>
        <w:rPr>
          <w:rFonts w:hint="default" w:ascii="Times New Roman" w:hAnsi="Times New Roman" w:eastAsia="仿宋_GB2312" w:cs="Times New Roman"/>
          <w:kern w:val="0"/>
          <w:sz w:val="32"/>
          <w:szCs w:val="32"/>
          <w:lang w:val="en-US" w:eastAsia="zh-CN" w:bidi="ar"/>
        </w:rPr>
        <w:t xml:space="preserve">  </w:t>
      </w:r>
    </w:p>
    <w:p w14:paraId="7ECE1F4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BFF29E9"/>
    <w:rsid w:val="3652099E"/>
    <w:rsid w:val="5BFF29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3"/>
      <w:tblCellMar>
        <w:top w:w="0" w:type="dxa"/>
        <w:left w:w="108" w:type="dxa"/>
        <w:bottom w:w="0" w:type="dxa"/>
        <w:right w:w="108" w:type="dxa"/>
      </w:tblCellMar>
    </w:tblPr>
  </w:style>
  <w:style w:type="paragraph" w:styleId="2">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仿宋_GB2312" w:cs="Times New Roman"/>
      <w:kern w:val="2"/>
      <w:sz w:val="28"/>
      <w:szCs w:val="28"/>
      <w:lang w:val="en-US" w:eastAsia="zh-CN" w:bidi="ar"/>
    </w:rPr>
  </w:style>
  <w:style w:type="character" w:customStyle="1" w:styleId="5">
    <w:name w:val="10"/>
    <w:basedOn w:val="4"/>
    <w:uiPriority w:val="0"/>
    <w:rPr>
      <w:rFonts w:hint="default" w:ascii="Times New Roman" w:hAnsi="Times New Roman" w:cs="Times New Roman"/>
    </w:rPr>
  </w:style>
  <w:style w:type="character" w:customStyle="1" w:styleId="6">
    <w:name w:val="15"/>
    <w:basedOn w:val="4"/>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2026-06-30T15:58:00Z</dcterms:created>
  <dc:creator>王莉莉</dc:creator>
  <cp:lastModifiedBy>Laurent</cp:lastModifiedBy>
  <dcterms:modified xsi:type="dcterms:W3CDTF">2026-07-18T05:48:57Z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C07B5291DC374976AD97627FC67E3A12_13</vt:lpwstr>
  </property>
</Properties>
</file>