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val="0"/>
        <w:widowControl w:val="0"/>
        <w:snapToGrid w:val="0"/>
        <w:spacing w:line="560" w:lineRule="exact"/>
        <w:jc w:val="center"/>
        <w:rPr>
          <w:rFonts w:hint="eastAsia" w:ascii="方正小标宋简体" w:hAnsi="方正小标宋简体" w:eastAsia="方正小标宋简体" w:cs="方正小标宋简体"/>
          <w:b w:val="0"/>
          <w:i w:val="0"/>
          <w:strike w:val="0"/>
          <w:color w:val="000000"/>
          <w:sz w:val="44"/>
          <w:u w:val="none"/>
        </w:rPr>
      </w:pPr>
      <w:r>
        <w:rPr>
          <w:rFonts w:hint="eastAsia" w:ascii="方正小标宋简体" w:hAnsi="方正小标宋简体" w:eastAsia="方正小标宋简体" w:cs="方正小标宋简体"/>
          <w:b w:val="0"/>
          <w:i w:val="0"/>
          <w:strike w:val="0"/>
          <w:color w:val="000000"/>
          <w:sz w:val="44"/>
          <w:u w:val="none"/>
        </w:rPr>
        <w:t>浙江省温州市中级人民法院</w:t>
      </w:r>
    </w:p>
    <w:p>
      <w:pPr>
        <w:keepNext/>
        <w:keepLines w:val="0"/>
        <w:widowControl w:val="0"/>
        <w:snapToGrid w:val="0"/>
        <w:spacing w:after="0" w:afterLines="100" w:line="680" w:lineRule="exact"/>
        <w:jc w:val="center"/>
        <w:rPr>
          <w:rFonts w:hint="eastAsia" w:ascii="方正小标宋简体" w:hAnsi="方正小标宋简体" w:eastAsia="方正小标宋简体" w:cs="方正小标宋简体"/>
          <w:b w:val="0"/>
          <w:i w:val="0"/>
          <w:strike w:val="0"/>
          <w:color w:val="000000"/>
          <w:sz w:val="44"/>
          <w:u w:val="none"/>
        </w:rPr>
      </w:pPr>
      <w:r>
        <w:rPr>
          <w:rFonts w:hint="eastAsia" w:ascii="方正小标宋简体" w:hAnsi="方正小标宋简体" w:eastAsia="方正小标宋简体" w:cs="方正小标宋简体"/>
          <w:b w:val="0"/>
          <w:i w:val="0"/>
          <w:strike w:val="0"/>
          <w:color w:val="000000"/>
          <w:sz w:val="44"/>
          <w:u w:val="none"/>
        </w:rPr>
        <w:t>民事判决书</w:t>
      </w:r>
    </w:p>
    <w:p>
      <w:pPr>
        <w:keepNext/>
        <w:keepLines w:val="0"/>
        <w:widowControl w:val="0"/>
        <w:snapToGrid w:val="0"/>
        <w:spacing w:before="1064" w:beforeLines="200" w:after="268" w:afterLines="50" w:line="560" w:lineRule="exact"/>
        <w:ind w:right="960" w:rightChars="300"/>
        <w:jc w:val="right"/>
        <w:rPr>
          <w:rFonts w:hint="eastAsia" w:ascii="仿宋_GB2312" w:hAnsi="仿宋_GB2312" w:eastAsia="仿宋_GB2312" w:cs="仿宋_GB2312"/>
          <w:b w:val="0"/>
          <w:i w:val="0"/>
          <w:strike w:val="0"/>
          <w:color w:val="000000"/>
          <w:sz w:val="32"/>
          <w:u w:val="none"/>
        </w:rPr>
      </w:pPr>
      <w:r>
        <w:rPr>
          <w:rFonts w:hint="eastAsia" w:ascii="仿宋_GB2312" w:hAnsi="仿宋_GB2312" w:eastAsia="仿宋_GB2312" w:cs="仿宋_GB2312"/>
          <w:b w:val="0"/>
          <w:i w:val="0"/>
          <w:strike w:val="0"/>
          <w:color w:val="000000"/>
          <w:sz w:val="32"/>
          <w:u w:val="none"/>
        </w:rPr>
        <w:t>（2024）浙03民初147号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eastAsia="仿宋_GB2312" w:cs="仿宋_GB2312"/>
          <w:b w:val="0"/>
          <w:i w:val="0"/>
          <w:strike w:val="0"/>
          <w:color w:val="000000"/>
          <w:u w:val="none"/>
        </w:rPr>
        <w:t>原告：深圳市</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电子有限公司。</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eastAsia="仿宋_GB2312" w:cs="仿宋_GB2312"/>
          <w:b w:val="0"/>
          <w:i w:val="0"/>
          <w:strike w:val="0"/>
          <w:color w:val="000000"/>
          <w:u w:val="none"/>
        </w:rPr>
        <w:t>被告：温州</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电气科技有限公司。</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eastAsia="仿宋_GB2312" w:cs="仿宋_GB2312"/>
          <w:b w:val="0"/>
          <w:i w:val="0"/>
          <w:strike w:val="0"/>
          <w:color w:val="000000"/>
          <w:u w:val="none"/>
        </w:rPr>
        <w:t>原告深圳市</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电子有限公司（以下简称</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公司）与被告温州</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电气科技有限公司（以下简称</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公司）、杭州</w:t>
      </w:r>
      <w:r>
        <w:rPr>
          <w:rFonts w:hint="eastAsia" w:ascii="仿宋_GB2312" w:hAnsi="仿宋_GB2312" w:cs="仿宋_GB2312"/>
          <w:b w:val="0"/>
          <w:i w:val="0"/>
          <w:strike w:val="0"/>
          <w:color w:val="000000"/>
          <w:u w:val="none"/>
          <w:lang w:eastAsia="zh-CN"/>
        </w:rPr>
        <w:t>阿某</w:t>
      </w:r>
      <w:r>
        <w:rPr>
          <w:rFonts w:hint="eastAsia" w:ascii="仿宋_GB2312" w:hAnsi="仿宋_GB2312" w:eastAsia="仿宋_GB2312" w:cs="仿宋_GB2312"/>
          <w:b w:val="0"/>
          <w:i w:val="0"/>
          <w:strike w:val="0"/>
          <w:color w:val="000000"/>
          <w:u w:val="none"/>
        </w:rPr>
        <w:t>广告有限公司（以下简称</w:t>
      </w:r>
      <w:r>
        <w:rPr>
          <w:rFonts w:hint="eastAsia" w:ascii="仿宋_GB2312" w:hAnsi="仿宋_GB2312" w:cs="仿宋_GB2312"/>
          <w:b w:val="0"/>
          <w:i w:val="0"/>
          <w:strike w:val="0"/>
          <w:color w:val="000000"/>
          <w:u w:val="none"/>
          <w:lang w:eastAsia="zh-CN"/>
        </w:rPr>
        <w:t>阿某</w:t>
      </w:r>
      <w:r>
        <w:rPr>
          <w:rFonts w:hint="eastAsia" w:ascii="仿宋_GB2312" w:hAnsi="仿宋_GB2312" w:eastAsia="仿宋_GB2312" w:cs="仿宋_GB2312"/>
          <w:b w:val="0"/>
          <w:i w:val="0"/>
          <w:strike w:val="0"/>
          <w:color w:val="000000"/>
          <w:u w:val="none"/>
        </w:rPr>
        <w:t>公司）侵害外观设计专利权纠纷一案，本院于2024年2月1日立案后，依法适用普通程序进行了审理。2024年4月9日，本院公开开庭审理了本案。</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公司的委托诉讼代理人</w:t>
      </w:r>
      <w:r>
        <w:rPr>
          <w:rFonts w:hint="eastAsia" w:ascii="仿宋_GB2312" w:hAnsi="仿宋_GB2312" w:cs="仿宋_GB2312"/>
          <w:b w:val="0"/>
          <w:i w:val="0"/>
          <w:strike w:val="0"/>
          <w:color w:val="000000"/>
          <w:u w:val="none"/>
          <w:lang w:eastAsia="zh-CN"/>
        </w:rPr>
        <w:t>胡甲</w:t>
      </w:r>
      <w:r>
        <w:rPr>
          <w:rFonts w:hint="eastAsia" w:ascii="仿宋_GB2312" w:hAnsi="仿宋_GB2312" w:eastAsia="仿宋_GB2312" w:cs="仿宋_GB2312"/>
          <w:b w:val="0"/>
          <w:i w:val="0"/>
          <w:strike w:val="0"/>
          <w:color w:val="000000"/>
          <w:u w:val="none"/>
        </w:rPr>
        <w:t>，</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公司的委托诉讼代理人</w:t>
      </w:r>
      <w:r>
        <w:rPr>
          <w:rFonts w:hint="eastAsia" w:ascii="仿宋_GB2312" w:hAnsi="仿宋_GB2312" w:cs="仿宋_GB2312"/>
          <w:b w:val="0"/>
          <w:i w:val="0"/>
          <w:strike w:val="0"/>
          <w:color w:val="000000"/>
          <w:u w:val="none"/>
          <w:lang w:eastAsia="zh-CN"/>
        </w:rPr>
        <w:t>胡乙</w:t>
      </w:r>
      <w:r>
        <w:rPr>
          <w:rFonts w:hint="eastAsia" w:ascii="仿宋_GB2312" w:hAnsi="仿宋_GB2312" w:eastAsia="仿宋_GB2312" w:cs="仿宋_GB2312"/>
          <w:b w:val="0"/>
          <w:i w:val="0"/>
          <w:strike w:val="0"/>
          <w:color w:val="000000"/>
          <w:u w:val="none"/>
        </w:rPr>
        <w:t>，</w:t>
      </w:r>
      <w:r>
        <w:rPr>
          <w:rFonts w:hint="eastAsia" w:ascii="仿宋_GB2312" w:hAnsi="仿宋_GB2312" w:cs="仿宋_GB2312"/>
          <w:b w:val="0"/>
          <w:i w:val="0"/>
          <w:strike w:val="0"/>
          <w:color w:val="000000"/>
          <w:u w:val="none"/>
          <w:lang w:eastAsia="zh-CN"/>
        </w:rPr>
        <w:t>阿某</w:t>
      </w:r>
      <w:r>
        <w:rPr>
          <w:rFonts w:hint="eastAsia" w:ascii="仿宋_GB2312" w:hAnsi="仿宋_GB2312" w:eastAsia="仿宋_GB2312" w:cs="仿宋_GB2312"/>
          <w:b w:val="0"/>
          <w:i w:val="0"/>
          <w:strike w:val="0"/>
          <w:color w:val="000000"/>
          <w:u w:val="none"/>
        </w:rPr>
        <w:t>公司的委托诉讼代理人</w:t>
      </w:r>
      <w:r>
        <w:rPr>
          <w:rFonts w:hint="eastAsia" w:ascii="仿宋_GB2312" w:hAnsi="仿宋_GB2312" w:cs="仿宋_GB2312"/>
          <w:b w:val="0"/>
          <w:i w:val="0"/>
          <w:strike w:val="0"/>
          <w:color w:val="000000"/>
          <w:u w:val="none"/>
          <w:lang w:eastAsia="zh-CN"/>
        </w:rPr>
        <w:t>谢某</w:t>
      </w:r>
      <w:r>
        <w:rPr>
          <w:rFonts w:hint="eastAsia" w:ascii="仿宋_GB2312" w:hAnsi="仿宋_GB2312" w:eastAsia="仿宋_GB2312" w:cs="仿宋_GB2312"/>
          <w:b w:val="0"/>
          <w:i w:val="0"/>
          <w:strike w:val="0"/>
          <w:color w:val="000000"/>
          <w:u w:val="none"/>
        </w:rPr>
        <w:t>到庭参加诉讼。庭审结束后，</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公司撤回了对</w:t>
      </w:r>
      <w:r>
        <w:rPr>
          <w:rFonts w:hint="eastAsia" w:ascii="仿宋_GB2312" w:hAnsi="仿宋_GB2312" w:cs="仿宋_GB2312"/>
          <w:b w:val="0"/>
          <w:i w:val="0"/>
          <w:strike w:val="0"/>
          <w:color w:val="000000"/>
          <w:u w:val="none"/>
          <w:lang w:eastAsia="zh-CN"/>
        </w:rPr>
        <w:t>阿某</w:t>
      </w:r>
      <w:r>
        <w:rPr>
          <w:rFonts w:hint="eastAsia" w:ascii="仿宋_GB2312" w:hAnsi="仿宋_GB2312" w:eastAsia="仿宋_GB2312" w:cs="仿宋_GB2312"/>
          <w:b w:val="0"/>
          <w:i w:val="0"/>
          <w:strike w:val="0"/>
          <w:color w:val="000000"/>
          <w:u w:val="none"/>
        </w:rPr>
        <w:t>公司的起诉，本院另行作出裁定予以准许。本案现已审理终结。</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公司向本院请求判令</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公司：1.立即停止制造、销售、许诺销售侵犯</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公司专利号为</w:t>
      </w:r>
      <w:r>
        <w:rPr>
          <w:rFonts w:hint="eastAsia" w:ascii="仿宋_GB2312" w:hAnsi="仿宋_GB2312" w:cs="仿宋_GB2312"/>
          <w:b w:val="0"/>
          <w:i w:val="0"/>
          <w:strike w:val="0"/>
          <w:color w:val="000000"/>
          <w:u w:val="none"/>
          <w:lang w:eastAsia="zh-CN"/>
        </w:rPr>
        <w:t>2022xxxx8371.6</w:t>
      </w:r>
      <w:r>
        <w:rPr>
          <w:rFonts w:hint="eastAsia" w:ascii="仿宋_GB2312" w:hAnsi="仿宋_GB2312" w:eastAsia="仿宋_GB2312" w:cs="仿宋_GB2312"/>
          <w:b w:val="0"/>
          <w:i w:val="0"/>
          <w:strike w:val="0"/>
          <w:color w:val="000000"/>
          <w:u w:val="none"/>
        </w:rPr>
        <w:t>.名称为“指纹挂锁”的外观设计专利权产品的侵权行为；2.赔偿</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公司经济损失8万元及</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公司为制止本案侵权行为所支出的合理维权费用17508元；3.承担本案诉讼费用。事实和理由：2022年8月5日，</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公司申请名称为“指纹挂锁”的外观设计专利，并于2022年11月18日获得授权，专利号为</w:t>
      </w:r>
      <w:r>
        <w:rPr>
          <w:rFonts w:hint="eastAsia" w:ascii="仿宋_GB2312" w:hAnsi="仿宋_GB2312" w:cs="仿宋_GB2312"/>
          <w:b w:val="0"/>
          <w:i w:val="0"/>
          <w:strike w:val="0"/>
          <w:color w:val="000000"/>
          <w:u w:val="none"/>
          <w:lang w:eastAsia="zh-CN"/>
        </w:rPr>
        <w:t>2022xxxx8371.6</w:t>
      </w:r>
      <w:r>
        <w:rPr>
          <w:rFonts w:hint="eastAsia" w:ascii="仿宋_GB2312" w:hAnsi="仿宋_GB2312" w:eastAsia="仿宋_GB2312" w:cs="仿宋_GB2312"/>
          <w:b w:val="0"/>
          <w:i w:val="0"/>
          <w:strike w:val="0"/>
          <w:color w:val="000000"/>
          <w:u w:val="none"/>
        </w:rPr>
        <w:t>。涉案专利已缴纳年费，目前处于有效状态。经调查发现，</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公司制造、销售、许诺销售外观设计与涉案授权外观设计完全相同的产品，落入涉案专利权的保护范围，侵犯了专利权人的合法权益。故提出</w:t>
      </w:r>
      <w:r>
        <w:rPr>
          <w:rFonts w:hint="eastAsia" w:ascii="仿宋_GB2312" w:hAnsi="仿宋_GB2312" w:cs="仿宋_GB2312"/>
          <w:b w:val="0"/>
          <w:i w:val="0"/>
          <w:strike w:val="0"/>
          <w:color w:val="000000"/>
          <w:u w:val="none"/>
          <w:lang w:eastAsia="zh-CN"/>
        </w:rPr>
        <w:t>上述</w:t>
      </w:r>
      <w:r>
        <w:rPr>
          <w:rFonts w:hint="eastAsia" w:ascii="仿宋_GB2312" w:hAnsi="仿宋_GB2312" w:eastAsia="仿宋_GB2312" w:cs="仿宋_GB2312"/>
          <w:b w:val="0"/>
          <w:i w:val="0"/>
          <w:strike w:val="0"/>
          <w:color w:val="000000"/>
          <w:u w:val="none"/>
        </w:rPr>
        <w:t>诉请。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公司答辩称：1.对制造、销售、许诺销售被诉侵权产品的事实无异议，但被诉侵权设计采用的是现有设计，不构成侵权。2.在涉案授权外观设计专利申请日前的2022年8月4日，</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公司已经做好了制造被诉侵权产品的准备，并且仅在原有范围内继续制造，故不构成侵权。3.</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公司明知涉案授权外观设计专利不具有稳定性，不向专利局申请出具专利权评价报告，而向</w:t>
      </w:r>
      <w:r>
        <w:rPr>
          <w:rFonts w:hint="eastAsia" w:ascii="仿宋_GB2312" w:hAnsi="仿宋_GB2312" w:cs="仿宋_GB2312"/>
          <w:b w:val="0"/>
          <w:i w:val="0"/>
          <w:strike w:val="0"/>
          <w:color w:val="000000"/>
          <w:u w:val="none"/>
          <w:lang w:eastAsia="zh-CN"/>
        </w:rPr>
        <w:t>阿某</w:t>
      </w:r>
      <w:r>
        <w:rPr>
          <w:rFonts w:hint="eastAsia" w:ascii="仿宋_GB2312" w:hAnsi="仿宋_GB2312" w:eastAsia="仿宋_GB2312" w:cs="仿宋_GB2312"/>
          <w:b w:val="0"/>
          <w:i w:val="0"/>
          <w:strike w:val="0"/>
          <w:color w:val="000000"/>
          <w:u w:val="none"/>
        </w:rPr>
        <w:t>平台提供虚假的专利权评价报告，对</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公司经营的店铺进行投诉，主观上具有恶意，提起本案诉讼属于滥用诉权。</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eastAsia="仿宋_GB2312" w:cs="仿宋_GB2312"/>
          <w:b w:val="0"/>
          <w:i w:val="0"/>
          <w:strike w:val="0"/>
          <w:color w:val="000000"/>
          <w:u w:val="none"/>
        </w:rPr>
        <w:t>根据各方提供的有效证据及有关陈述，本院查明事实如下：</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eastAsia="仿宋_GB2312" w:cs="仿宋_GB2312"/>
          <w:b w:val="0"/>
          <w:i w:val="0"/>
          <w:strike w:val="0"/>
          <w:color w:val="000000"/>
          <w:u w:val="none"/>
        </w:rPr>
        <w:t>一、</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公司主体信息及涉案外观设计专利相关事实</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公司系专利号为</w:t>
      </w:r>
      <w:r>
        <w:rPr>
          <w:rFonts w:hint="eastAsia" w:ascii="仿宋_GB2312" w:hAnsi="仿宋_GB2312" w:cs="仿宋_GB2312"/>
          <w:b w:val="0"/>
          <w:i w:val="0"/>
          <w:strike w:val="0"/>
          <w:color w:val="000000"/>
          <w:u w:val="none"/>
          <w:lang w:eastAsia="zh-CN"/>
        </w:rPr>
        <w:t>2022xxxx8371.6</w:t>
      </w:r>
      <w:r>
        <w:rPr>
          <w:rFonts w:hint="eastAsia" w:ascii="仿宋_GB2312" w:hAnsi="仿宋_GB2312" w:eastAsia="仿宋_GB2312" w:cs="仿宋_GB2312"/>
          <w:b w:val="0"/>
          <w:i w:val="0"/>
          <w:strike w:val="0"/>
          <w:color w:val="000000"/>
          <w:u w:val="none"/>
        </w:rPr>
        <w:t>、名称为“指纹挂锁”的外观设计专利权人，该外观设计专利申请日为2022年8月5日，授权公告日为2022年11月18日，已缴纳年费，现处于有效期。该外观设计专利证书的简要说明部分载明：本外观设计的设计要点在于产品的整体形状，最能表明设计要点的图片或照片是立体图1。</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eastAsia="仿宋_GB2312" w:cs="仿宋_GB2312"/>
          <w:b w:val="0"/>
          <w:i w:val="0"/>
          <w:strike w:val="0"/>
          <w:color w:val="000000"/>
          <w:u w:val="none"/>
        </w:rPr>
        <w:t>2024年3月23日，国家</w:t>
      </w:r>
      <w:r>
        <w:rPr>
          <w:rFonts w:hint="eastAsia" w:ascii="仿宋_GB2312" w:hAnsi="仿宋_GB2312" w:cs="仿宋_GB2312"/>
          <w:b w:val="0"/>
          <w:i w:val="0"/>
          <w:strike w:val="0"/>
          <w:color w:val="000000"/>
          <w:u w:val="none"/>
          <w:lang w:eastAsia="zh-CN"/>
        </w:rPr>
        <w:t>某</w:t>
      </w:r>
      <w:r>
        <w:rPr>
          <w:rFonts w:hint="eastAsia" w:ascii="仿宋_GB2312" w:hAnsi="仿宋_GB2312" w:eastAsia="仿宋_GB2312" w:cs="仿宋_GB2312"/>
          <w:b w:val="0"/>
          <w:i w:val="0"/>
          <w:strike w:val="0"/>
          <w:color w:val="000000"/>
          <w:u w:val="none"/>
        </w:rPr>
        <w:t>局根据</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公司的申请，就上述外观设计专利权作出评价报告，初步结论为全部外观设计未发现存在不符合授予专利权条件的缺陷。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eastAsia="仿宋_GB2312" w:cs="仿宋_GB2312"/>
          <w:b w:val="0"/>
          <w:i w:val="0"/>
          <w:strike w:val="0"/>
          <w:color w:val="000000"/>
          <w:u w:val="none"/>
        </w:rPr>
        <w:t>二、</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公司主体信息及被诉侵权行为相关事实</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公司系成立于2006年1月18日的有限责任公司，公司登记的经营范围包括配电开关控制设备研发；照明器具制造；电子元器件制造；机械电气设备制造等。</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公司持有标识为“BOZZYS”的注册商标。</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eastAsia="仿宋_GB2312" w:cs="仿宋_GB2312"/>
          <w:b w:val="0"/>
          <w:i w:val="0"/>
          <w:strike w:val="0"/>
          <w:color w:val="000000"/>
          <w:u w:val="none"/>
        </w:rPr>
        <w:t>2023年9月26日，</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公司委托案外人</w:t>
      </w:r>
      <w:r>
        <w:rPr>
          <w:rFonts w:hint="eastAsia" w:ascii="仿宋_GB2312" w:hAnsi="仿宋_GB2312" w:cs="仿宋_GB2312"/>
          <w:b w:val="0"/>
          <w:i w:val="0"/>
          <w:strike w:val="0"/>
          <w:color w:val="000000"/>
          <w:u w:val="none"/>
          <w:lang w:eastAsia="zh-CN"/>
        </w:rPr>
        <w:t>王某</w:t>
      </w:r>
      <w:r>
        <w:rPr>
          <w:rFonts w:hint="eastAsia" w:ascii="仿宋_GB2312" w:hAnsi="仿宋_GB2312" w:eastAsia="仿宋_GB2312" w:cs="仿宋_GB2312"/>
          <w:b w:val="0"/>
          <w:i w:val="0"/>
          <w:strike w:val="0"/>
          <w:color w:val="000000"/>
          <w:u w:val="none"/>
        </w:rPr>
        <w:t>作为代理人，向河南省南阳市智圣公证处提出保全证据申请。根据公证处出具的（2023）豫宛智证内民字第8486号公证书，证据保全内容如下：一、网购产品过程。2023年9月26日，在公证处公证员及公证员助理的监督下，代理人</w:t>
      </w:r>
      <w:r>
        <w:rPr>
          <w:rFonts w:hint="eastAsia" w:ascii="仿宋_GB2312" w:hAnsi="仿宋_GB2312" w:cs="仿宋_GB2312"/>
          <w:b w:val="0"/>
          <w:i w:val="0"/>
          <w:strike w:val="0"/>
          <w:color w:val="000000"/>
          <w:u w:val="none"/>
          <w:lang w:eastAsia="zh-CN"/>
        </w:rPr>
        <w:t>王某</w:t>
      </w:r>
      <w:r>
        <w:rPr>
          <w:rFonts w:hint="eastAsia" w:ascii="仿宋_GB2312" w:hAnsi="仿宋_GB2312" w:eastAsia="仿宋_GB2312" w:cs="仿宋_GB2312"/>
          <w:b w:val="0"/>
          <w:i w:val="0"/>
          <w:strike w:val="0"/>
          <w:color w:val="000000"/>
          <w:u w:val="none"/>
        </w:rPr>
        <w:t>在手机上登录</w:t>
      </w:r>
      <w:r>
        <w:rPr>
          <w:rFonts w:hint="eastAsia" w:ascii="仿宋_GB2312" w:hAnsi="仿宋_GB2312" w:cs="仿宋_GB2312"/>
          <w:b w:val="0"/>
          <w:i w:val="0"/>
          <w:strike w:val="0"/>
          <w:color w:val="000000"/>
          <w:u w:val="none"/>
          <w:lang w:eastAsia="zh-CN"/>
        </w:rPr>
        <w:t>阿某</w:t>
      </w:r>
      <w:r>
        <w:rPr>
          <w:rFonts w:hint="eastAsia" w:ascii="仿宋_GB2312" w:hAnsi="仿宋_GB2312" w:eastAsia="仿宋_GB2312" w:cs="仿宋_GB2312"/>
          <w:b w:val="0"/>
          <w:i w:val="0"/>
          <w:strike w:val="0"/>
          <w:color w:val="000000"/>
          <w:u w:val="none"/>
        </w:rPr>
        <w:t>客户端，搜索找到</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公司经营的“温州</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电气科技有限公司”店铺，购买名称为“BOZZYS定制智能指纹挂锁学生宿舍健身房柜门旅行箱充电指纹挂P6”的产品2件，合计168元（含8元运费）。上述销售页面还显示“拿样1个起”“65元，1000个起批”“包装定制，上门安装”等内容。店铺内还载有多张工厂及车间场景图片。二、收货查看过程。2023年9月28日，公证员助理与代理人</w:t>
      </w:r>
      <w:r>
        <w:rPr>
          <w:rFonts w:hint="eastAsia" w:ascii="仿宋_GB2312" w:hAnsi="仿宋_GB2312" w:cs="仿宋_GB2312"/>
          <w:b w:val="0"/>
          <w:i w:val="0"/>
          <w:strike w:val="0"/>
          <w:color w:val="000000"/>
          <w:u w:val="none"/>
          <w:lang w:eastAsia="zh-CN"/>
        </w:rPr>
        <w:t>王某</w:t>
      </w:r>
      <w:r>
        <w:rPr>
          <w:rFonts w:hint="eastAsia" w:ascii="仿宋_GB2312" w:hAnsi="仿宋_GB2312" w:eastAsia="仿宋_GB2312" w:cs="仿宋_GB2312"/>
          <w:b w:val="0"/>
          <w:i w:val="0"/>
          <w:strike w:val="0"/>
          <w:color w:val="000000"/>
          <w:u w:val="none"/>
        </w:rPr>
        <w:t>共同收取上述网购快递包裹，对快递外包装及拆封后内部产品进行拍照后，重新封存其中一件产品，并交由代理人</w:t>
      </w:r>
      <w:r>
        <w:rPr>
          <w:rFonts w:hint="eastAsia" w:ascii="仿宋_GB2312" w:hAnsi="仿宋_GB2312" w:cs="仿宋_GB2312"/>
          <w:b w:val="0"/>
          <w:i w:val="0"/>
          <w:strike w:val="0"/>
          <w:color w:val="000000"/>
          <w:u w:val="none"/>
          <w:lang w:eastAsia="zh-CN"/>
        </w:rPr>
        <w:t>王某</w:t>
      </w:r>
      <w:r>
        <w:rPr>
          <w:rFonts w:hint="eastAsia" w:ascii="仿宋_GB2312" w:hAnsi="仿宋_GB2312" w:eastAsia="仿宋_GB2312" w:cs="仿宋_GB2312"/>
          <w:b w:val="0"/>
          <w:i w:val="0"/>
          <w:strike w:val="0"/>
          <w:color w:val="000000"/>
          <w:u w:val="none"/>
        </w:rPr>
        <w:t>保管。</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公司为此次公证支出公证费600元。</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eastAsia="仿宋_GB2312" w:cs="仿宋_GB2312"/>
          <w:b w:val="0"/>
          <w:i w:val="0"/>
          <w:strike w:val="0"/>
          <w:color w:val="000000"/>
          <w:u w:val="none"/>
        </w:rPr>
        <w:t>2024年1月15日，</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公司委托广东天梭律师事务所律师向</w:t>
      </w:r>
      <w:r>
        <w:rPr>
          <w:rFonts w:hint="eastAsia" w:ascii="仿宋_GB2312" w:hAnsi="仿宋_GB2312" w:cs="仿宋_GB2312"/>
          <w:b w:val="0"/>
          <w:i w:val="0"/>
          <w:strike w:val="0"/>
          <w:color w:val="000000"/>
          <w:u w:val="none"/>
          <w:lang w:eastAsia="zh-CN"/>
        </w:rPr>
        <w:t>阿某</w:t>
      </w:r>
      <w:r>
        <w:rPr>
          <w:rFonts w:hint="eastAsia" w:ascii="仿宋_GB2312" w:hAnsi="仿宋_GB2312" w:eastAsia="仿宋_GB2312" w:cs="仿宋_GB2312"/>
          <w:b w:val="0"/>
          <w:i w:val="0"/>
          <w:strike w:val="0"/>
          <w:color w:val="000000"/>
          <w:u w:val="none"/>
        </w:rPr>
        <w:t>平台发律师函，对</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公司的上述平台销售被诉侵权产品的行为提出投诉，请求平台下架相关销售链接。后平台删除了上述销售链接。</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eastAsia="仿宋_GB2312" w:cs="仿宋_GB2312"/>
          <w:b w:val="0"/>
          <w:i w:val="0"/>
          <w:strike w:val="0"/>
          <w:color w:val="000000"/>
          <w:u w:val="none"/>
        </w:rPr>
        <w:t>2024年3月25日即诉讼期间，</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公司通过向联合信任时间戳服务中心，对</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经营的上述店铺进行取证，发现店铺内有名称为“BOZZYS活动专享智能指纹挂锁学生宿舍柜门旅行箱包小型指纹挂锁P6”的产品在售，销售价格为68.59元，销售链接显示“一年内500+件成交”，销售链接同时载有企业简介“</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电气自有工厂，厂房占地面积7000平方米。拥有1200平方米生产车间，2条装配产线，自有仓库2000平方米，制造设备、产品模具共计500余台，有一线员工200余人……”。</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公司于2024年4月3日将上述取证内容作为证据向本院提交，本院向</w:t>
      </w:r>
      <w:r>
        <w:rPr>
          <w:rFonts w:hint="eastAsia" w:ascii="仿宋_GB2312" w:hAnsi="仿宋_GB2312" w:cs="仿宋_GB2312"/>
          <w:b w:val="0"/>
          <w:i w:val="0"/>
          <w:strike w:val="0"/>
          <w:color w:val="000000"/>
          <w:u w:val="none"/>
          <w:lang w:eastAsia="zh-CN"/>
        </w:rPr>
        <w:t>阿某</w:t>
      </w:r>
      <w:r>
        <w:rPr>
          <w:rFonts w:hint="eastAsia" w:ascii="仿宋_GB2312" w:hAnsi="仿宋_GB2312" w:eastAsia="仿宋_GB2312" w:cs="仿宋_GB2312"/>
          <w:b w:val="0"/>
          <w:i w:val="0"/>
          <w:strike w:val="0"/>
          <w:color w:val="000000"/>
          <w:u w:val="none"/>
        </w:rPr>
        <w:t>公司送达后，</w:t>
      </w:r>
      <w:r>
        <w:rPr>
          <w:rFonts w:hint="eastAsia" w:ascii="仿宋_GB2312" w:hAnsi="仿宋_GB2312" w:cs="仿宋_GB2312"/>
          <w:b w:val="0"/>
          <w:i w:val="0"/>
          <w:strike w:val="0"/>
          <w:color w:val="000000"/>
          <w:u w:val="none"/>
          <w:lang w:eastAsia="zh-CN"/>
        </w:rPr>
        <w:t>阿某</w:t>
      </w:r>
      <w:r>
        <w:rPr>
          <w:rFonts w:hint="eastAsia" w:ascii="仿宋_GB2312" w:hAnsi="仿宋_GB2312" w:eastAsia="仿宋_GB2312" w:cs="仿宋_GB2312"/>
          <w:b w:val="0"/>
          <w:i w:val="0"/>
          <w:strike w:val="0"/>
          <w:color w:val="000000"/>
          <w:u w:val="none"/>
        </w:rPr>
        <w:t>公司随即删除了上述销售链接。</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eastAsia="仿宋_GB2312" w:cs="仿宋_GB2312"/>
          <w:b w:val="0"/>
          <w:i w:val="0"/>
          <w:strike w:val="0"/>
          <w:color w:val="000000"/>
          <w:u w:val="none"/>
        </w:rPr>
        <w:t>庭审当日，</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公司的委托诉讼代理人经查询发现，在</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公司经营的涉案店铺内新增了5个销售链接，所销售产品与被诉侵权产品相同，每个链接的销量显示均为一年内小于10个。</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eastAsia="仿宋_GB2312" w:cs="仿宋_GB2312"/>
          <w:b w:val="0"/>
          <w:i w:val="0"/>
          <w:strike w:val="0"/>
          <w:color w:val="000000"/>
          <w:u w:val="none"/>
        </w:rPr>
        <w:t>三、侵权比对相关事实</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eastAsia="仿宋_GB2312" w:cs="仿宋_GB2312"/>
          <w:b w:val="0"/>
          <w:i w:val="0"/>
          <w:strike w:val="0"/>
          <w:color w:val="000000"/>
          <w:u w:val="none"/>
        </w:rPr>
        <w:t>庭审中，本院当庭拆封</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公司网购并后经公证封存的包裹，内有指纹锁产品1件及USB充电线、说明书。经比对，</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公司认为，被诉侵权设计与涉案授权外观设计相同，落入涉案授权外观设计专利权的保护范围。</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公司认为两者仅USB充电接口位置有区别，整体构成近似。</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eastAsia="仿宋_GB2312" w:cs="仿宋_GB2312"/>
          <w:b w:val="0"/>
          <w:i w:val="0"/>
          <w:strike w:val="0"/>
          <w:color w:val="000000"/>
          <w:u w:val="none"/>
        </w:rPr>
        <w:t>四、</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公司抗辩相关事实</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公司为主张现有设计抗辩，向本院提交了如下两组证据：1.申请号为</w:t>
      </w:r>
      <w:r>
        <w:rPr>
          <w:rFonts w:hint="eastAsia" w:ascii="仿宋_GB2312" w:hAnsi="仿宋_GB2312" w:cs="仿宋_GB2312"/>
          <w:b w:val="0"/>
          <w:i w:val="0"/>
          <w:strike w:val="0"/>
          <w:color w:val="000000"/>
          <w:u w:val="none"/>
          <w:lang w:eastAsia="zh-CN"/>
        </w:rPr>
        <w:t>2018xxxx8517.8</w:t>
      </w:r>
      <w:r>
        <w:rPr>
          <w:rFonts w:hint="eastAsia" w:ascii="仿宋_GB2312" w:hAnsi="仿宋_GB2312" w:eastAsia="仿宋_GB2312" w:cs="仿宋_GB2312"/>
          <w:b w:val="0"/>
          <w:i w:val="0"/>
          <w:strike w:val="0"/>
          <w:color w:val="000000"/>
          <w:u w:val="none"/>
        </w:rPr>
        <w:t>、申请日为2018年10月30日、授权公告日为2019年3月12日、名称为“锁”的外观设计专利公告文本。2.申请号为</w:t>
      </w:r>
      <w:r>
        <w:rPr>
          <w:rFonts w:hint="eastAsia" w:ascii="仿宋_GB2312" w:hAnsi="仿宋_GB2312" w:cs="仿宋_GB2312"/>
          <w:b w:val="0"/>
          <w:i w:val="0"/>
          <w:strike w:val="0"/>
          <w:color w:val="000000"/>
          <w:u w:val="none"/>
          <w:lang w:eastAsia="zh-CN"/>
        </w:rPr>
        <w:t>2019xxxx1028.0</w:t>
      </w:r>
      <w:r>
        <w:rPr>
          <w:rFonts w:hint="eastAsia" w:ascii="仿宋_GB2312" w:hAnsi="仿宋_GB2312" w:eastAsia="仿宋_GB2312" w:cs="仿宋_GB2312"/>
          <w:b w:val="0"/>
          <w:i w:val="0"/>
          <w:strike w:val="0"/>
          <w:color w:val="000000"/>
          <w:u w:val="none"/>
        </w:rPr>
        <w:t>、申请日为2019年1月2日、授权公告日为2019年9月17日、名称为“指纹挂锁（方形）”的外观设计专利公告文本。</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公司为主张先用权抗辩，向本院提交了</w:t>
      </w:r>
      <w:r>
        <w:rPr>
          <w:rFonts w:hint="eastAsia" w:ascii="仿宋_GB2312" w:hAnsi="仿宋_GB2312" w:cs="仿宋_GB2312"/>
          <w:b w:val="0"/>
          <w:i w:val="0"/>
          <w:strike w:val="0"/>
          <w:color w:val="000000"/>
          <w:u w:val="none"/>
          <w:lang w:eastAsia="zh-CN"/>
        </w:rPr>
        <w:t>微某平台</w:t>
      </w:r>
      <w:r>
        <w:rPr>
          <w:rFonts w:hint="eastAsia" w:ascii="仿宋_GB2312" w:hAnsi="仿宋_GB2312" w:eastAsia="仿宋_GB2312" w:cs="仿宋_GB2312"/>
          <w:b w:val="0"/>
          <w:i w:val="0"/>
          <w:strike w:val="0"/>
          <w:color w:val="000000"/>
          <w:u w:val="none"/>
        </w:rPr>
        <w:t>群聊天记录一份，该</w:t>
      </w:r>
      <w:r>
        <w:rPr>
          <w:rFonts w:hint="eastAsia" w:ascii="仿宋_GB2312" w:hAnsi="仿宋_GB2312" w:cs="仿宋_GB2312"/>
          <w:b w:val="0"/>
          <w:i w:val="0"/>
          <w:strike w:val="0"/>
          <w:color w:val="000000"/>
          <w:u w:val="none"/>
          <w:lang w:eastAsia="zh-CN"/>
        </w:rPr>
        <w:t>微某平台</w:t>
      </w:r>
      <w:r>
        <w:rPr>
          <w:rFonts w:hint="eastAsia" w:ascii="仿宋_GB2312" w:hAnsi="仿宋_GB2312" w:eastAsia="仿宋_GB2312" w:cs="仿宋_GB2312"/>
          <w:b w:val="0"/>
          <w:i w:val="0"/>
          <w:strike w:val="0"/>
          <w:color w:val="000000"/>
          <w:u w:val="none"/>
        </w:rPr>
        <w:t>群聊天显示的群名为“巨星产品设计讨论群”，共6个群成员，包括“</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技术部-</w:t>
      </w:r>
      <w:r>
        <w:rPr>
          <w:rFonts w:hint="eastAsia" w:ascii="仿宋_GB2312" w:hAnsi="仿宋_GB2312" w:cs="仿宋_GB2312"/>
          <w:b w:val="0"/>
          <w:i w:val="0"/>
          <w:strike w:val="0"/>
          <w:color w:val="000000"/>
          <w:u w:val="none"/>
          <w:lang w:eastAsia="zh-CN"/>
        </w:rPr>
        <w:t>李某</w:t>
      </w:r>
      <w:r>
        <w:rPr>
          <w:rFonts w:hint="eastAsia" w:ascii="仿宋_GB2312" w:hAnsi="仿宋_GB2312" w:eastAsia="仿宋_GB2312" w:cs="仿宋_GB2312"/>
          <w:b w:val="0"/>
          <w:i w:val="0"/>
          <w:strike w:val="0"/>
          <w:color w:val="000000"/>
          <w:u w:val="none"/>
        </w:rPr>
        <w:t>”“</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技术部-</w:t>
      </w:r>
      <w:r>
        <w:rPr>
          <w:rFonts w:hint="eastAsia" w:ascii="仿宋_GB2312" w:hAnsi="仿宋_GB2312" w:cs="仿宋_GB2312"/>
          <w:b w:val="0"/>
          <w:i w:val="0"/>
          <w:strike w:val="0"/>
          <w:color w:val="000000"/>
          <w:u w:val="none"/>
          <w:lang w:eastAsia="zh-CN"/>
        </w:rPr>
        <w:t>云某</w:t>
      </w:r>
      <w:r>
        <w:rPr>
          <w:rFonts w:hint="eastAsia" w:ascii="仿宋_GB2312" w:hAnsi="仿宋_GB2312" w:eastAsia="仿宋_GB2312" w:cs="仿宋_GB2312"/>
          <w:b w:val="0"/>
          <w:i w:val="0"/>
          <w:strike w:val="0"/>
          <w:color w:val="000000"/>
          <w:u w:val="none"/>
        </w:rPr>
        <w:t>”“</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生产-</w:t>
      </w:r>
      <w:r>
        <w:rPr>
          <w:rFonts w:hint="eastAsia" w:ascii="仿宋_GB2312" w:hAnsi="仿宋_GB2312" w:cs="仿宋_GB2312"/>
          <w:b w:val="0"/>
          <w:i w:val="0"/>
          <w:strike w:val="0"/>
          <w:color w:val="000000"/>
          <w:u w:val="none"/>
          <w:lang w:eastAsia="zh-CN"/>
        </w:rPr>
        <w:t>刘某</w:t>
      </w:r>
      <w:r>
        <w:rPr>
          <w:rFonts w:hint="eastAsia" w:ascii="仿宋_GB2312" w:hAnsi="仿宋_GB2312" w:eastAsia="仿宋_GB2312" w:cs="仿宋_GB2312"/>
          <w:b w:val="0"/>
          <w:i w:val="0"/>
          <w:strike w:val="0"/>
          <w:color w:val="000000"/>
          <w:u w:val="none"/>
        </w:rPr>
        <w:t>”“黄总（</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公司法定代表人</w:t>
      </w:r>
      <w:r>
        <w:rPr>
          <w:rFonts w:hint="eastAsia" w:ascii="仿宋_GB2312" w:hAnsi="仿宋_GB2312" w:cs="仿宋_GB2312"/>
          <w:b w:val="0"/>
          <w:i w:val="0"/>
          <w:strike w:val="0"/>
          <w:color w:val="000000"/>
          <w:u w:val="none"/>
          <w:lang w:eastAsia="zh-CN"/>
        </w:rPr>
        <w:t>黄某</w:t>
      </w:r>
      <w:r>
        <w:rPr>
          <w:rFonts w:hint="eastAsia" w:ascii="仿宋_GB2312" w:hAnsi="仿宋_GB2312" w:eastAsia="仿宋_GB2312" w:cs="仿宋_GB2312"/>
          <w:b w:val="0"/>
          <w:i w:val="0"/>
          <w:strike w:val="0"/>
          <w:color w:val="000000"/>
          <w:u w:val="none"/>
        </w:rPr>
        <w:t>）”等，聊天群创设时间为2022年8月4日，当日群成员问“黄</w:t>
      </w:r>
      <w:bookmarkStart w:id="0" w:name="WKJC_2c9480828fa3d88e018fa4332fc20ee1"/>
      <w:r>
        <w:rPr>
          <w:rFonts w:hint="eastAsia" w:ascii="仿宋_GB2312" w:hAnsi="仿宋_GB2312" w:eastAsia="仿宋_GB2312" w:cs="仿宋_GB2312"/>
          <w:b w:val="0"/>
          <w:i w:val="0"/>
          <w:strike w:val="0"/>
          <w:color w:val="000000"/>
          <w:u w:val="none"/>
        </w:rPr>
        <w:t>总巨</w:t>
      </w:r>
      <w:bookmarkEnd w:id="0"/>
      <w:r>
        <w:rPr>
          <w:rFonts w:hint="eastAsia" w:ascii="仿宋_GB2312" w:hAnsi="仿宋_GB2312" w:eastAsia="仿宋_GB2312" w:cs="仿宋_GB2312"/>
          <w:b w:val="0"/>
          <w:i w:val="0"/>
          <w:strike w:val="0"/>
          <w:color w:val="000000"/>
          <w:u w:val="none"/>
        </w:rPr>
        <w:t>星哪个产品尺寸是多少啊，我做个文件发群里吧”，“黄总”将带有指纹锁尺寸的若干张图片发到群里（图片里的指纹锁外观与本案被诉侵权产品大致一样），群成员随后在群里发了一份名为“杭州巨星产品定制要求”的文档，“</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生产-</w:t>
      </w:r>
      <w:r>
        <w:rPr>
          <w:rFonts w:hint="eastAsia" w:ascii="仿宋_GB2312" w:hAnsi="仿宋_GB2312" w:cs="仿宋_GB2312"/>
          <w:b w:val="0"/>
          <w:i w:val="0"/>
          <w:strike w:val="0"/>
          <w:color w:val="000000"/>
          <w:u w:val="none"/>
          <w:lang w:eastAsia="zh-CN"/>
        </w:rPr>
        <w:t>刘某</w:t>
      </w:r>
      <w:r>
        <w:rPr>
          <w:rFonts w:hint="eastAsia" w:ascii="仿宋_GB2312" w:hAnsi="仿宋_GB2312" w:eastAsia="仿宋_GB2312" w:cs="仿宋_GB2312"/>
          <w:b w:val="0"/>
          <w:i w:val="0"/>
          <w:strike w:val="0"/>
          <w:color w:val="000000"/>
          <w:u w:val="none"/>
        </w:rPr>
        <w:t>”回复“开始行动，安排加班”。打开上述文档，内容包括产品图片、产品要求、产品参数等。根据</w:t>
      </w:r>
      <w:r>
        <w:rPr>
          <w:rFonts w:hint="eastAsia" w:ascii="仿宋_GB2312" w:hAnsi="仿宋_GB2312" w:cs="仿宋_GB2312"/>
          <w:b w:val="0"/>
          <w:i w:val="0"/>
          <w:strike w:val="0"/>
          <w:color w:val="000000"/>
          <w:u w:val="none"/>
          <w:lang w:eastAsia="zh-CN"/>
        </w:rPr>
        <w:t>微某平台</w:t>
      </w:r>
      <w:r>
        <w:rPr>
          <w:rFonts w:hint="eastAsia" w:ascii="仿宋_GB2312" w:hAnsi="仿宋_GB2312" w:eastAsia="仿宋_GB2312" w:cs="仿宋_GB2312"/>
          <w:b w:val="0"/>
          <w:i w:val="0"/>
          <w:strike w:val="0"/>
          <w:color w:val="000000"/>
          <w:u w:val="none"/>
        </w:rPr>
        <w:t>群的其他内容，所涉产品未实际投入生产及交付。</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eastAsia="仿宋_GB2312" w:cs="仿宋_GB2312"/>
          <w:b w:val="0"/>
          <w:i w:val="0"/>
          <w:strike w:val="0"/>
          <w:color w:val="000000"/>
          <w:u w:val="none"/>
        </w:rPr>
        <w:t>五、其他事实</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公司为本案维权，于2023年10月7日与深圳市中原力和专利商标事务所签订《委托代理合同》，并指定</w:t>
      </w:r>
      <w:r>
        <w:rPr>
          <w:rFonts w:hint="eastAsia" w:ascii="仿宋_GB2312" w:hAnsi="仿宋_GB2312" w:cs="仿宋_GB2312"/>
          <w:b w:val="0"/>
          <w:i w:val="0"/>
          <w:strike w:val="0"/>
          <w:color w:val="000000"/>
          <w:u w:val="none"/>
          <w:lang w:eastAsia="zh-CN"/>
        </w:rPr>
        <w:t>胡甲</w:t>
      </w:r>
      <w:r>
        <w:rPr>
          <w:rFonts w:hint="eastAsia" w:ascii="仿宋_GB2312" w:hAnsi="仿宋_GB2312" w:eastAsia="仿宋_GB2312" w:cs="仿宋_GB2312"/>
          <w:b w:val="0"/>
          <w:i w:val="0"/>
          <w:strike w:val="0"/>
          <w:color w:val="000000"/>
          <w:u w:val="none"/>
        </w:rPr>
        <w:t>专利代理师为联系人。</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公司为此支付代理费15000元。</w:t>
      </w:r>
      <w:r>
        <w:rPr>
          <w:rFonts w:hint="eastAsia" w:ascii="仿宋_GB2312" w:hAnsi="仿宋_GB2312" w:cs="仿宋_GB2312"/>
          <w:b w:val="0"/>
          <w:i w:val="0"/>
          <w:strike w:val="0"/>
          <w:color w:val="000000"/>
          <w:u w:val="none"/>
          <w:lang w:eastAsia="zh-CN"/>
        </w:rPr>
        <w:t>胡甲</w:t>
      </w:r>
      <w:r>
        <w:rPr>
          <w:rFonts w:hint="eastAsia" w:ascii="仿宋_GB2312" w:hAnsi="仿宋_GB2312" w:eastAsia="仿宋_GB2312" w:cs="仿宋_GB2312"/>
          <w:b w:val="0"/>
          <w:i w:val="0"/>
          <w:strike w:val="0"/>
          <w:color w:val="000000"/>
          <w:u w:val="none"/>
        </w:rPr>
        <w:t>专利代理师为参加本案庭审，支出来程飞机票费用437元、回程动车票费用383元、住宿费228元。</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eastAsia="仿宋_GB2312" w:cs="仿宋_GB2312"/>
          <w:b w:val="0"/>
          <w:i w:val="0"/>
          <w:strike w:val="0"/>
          <w:color w:val="000000"/>
          <w:u w:val="none"/>
        </w:rPr>
        <w:t>以上事实由</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公司提供的外观设计专利证书及文本、专利年费缴纳记录、（2023）豫宛智证内民字第8486号公证书及公证费发票、委托代理合同及支付凭证、差旅费凭证，</w:t>
      </w:r>
      <w:r>
        <w:rPr>
          <w:rFonts w:hint="eastAsia" w:ascii="仿宋_GB2312" w:hAnsi="仿宋_GB2312" w:cs="仿宋_GB2312"/>
          <w:b w:val="0"/>
          <w:i w:val="0"/>
          <w:strike w:val="0"/>
          <w:color w:val="000000"/>
          <w:szCs w:val="20"/>
          <w:u w:val="none"/>
          <w:lang w:eastAsia="zh-CN"/>
        </w:rPr>
        <w:t>博某</w:t>
      </w:r>
      <w:r>
        <w:rPr>
          <w:rFonts w:hint="eastAsia" w:ascii="仿宋_GB2312" w:hAnsi="仿宋_GB2312" w:eastAsia="仿宋_GB2312" w:cs="仿宋_GB2312"/>
          <w:b w:val="0"/>
          <w:i w:val="0"/>
          <w:strike w:val="0"/>
          <w:color w:val="000000"/>
          <w:szCs w:val="20"/>
          <w:u w:val="none"/>
        </w:rPr>
        <w:t>公司提供的</w:t>
      </w:r>
      <w:r>
        <w:rPr>
          <w:rFonts w:hint="eastAsia" w:ascii="仿宋_GB2312" w:hAnsi="仿宋_GB2312" w:eastAsia="仿宋_GB2312" w:cs="仿宋_GB2312"/>
          <w:b w:val="0"/>
          <w:i w:val="0"/>
          <w:strike w:val="0"/>
          <w:color w:val="000000"/>
          <w:u w:val="none"/>
        </w:rPr>
        <w:t>申请号为</w:t>
      </w:r>
      <w:r>
        <w:rPr>
          <w:rFonts w:hint="eastAsia" w:ascii="仿宋_GB2312" w:hAnsi="仿宋_GB2312" w:cs="仿宋_GB2312"/>
          <w:b w:val="0"/>
          <w:i w:val="0"/>
          <w:strike w:val="0"/>
          <w:color w:val="000000"/>
          <w:u w:val="none"/>
          <w:lang w:eastAsia="zh-CN"/>
        </w:rPr>
        <w:t>2018xxxx8517.8</w:t>
      </w:r>
      <w:r>
        <w:rPr>
          <w:rFonts w:hint="eastAsia" w:ascii="仿宋_GB2312" w:hAnsi="仿宋_GB2312" w:eastAsia="仿宋_GB2312" w:cs="仿宋_GB2312"/>
          <w:b w:val="0"/>
          <w:i w:val="0"/>
          <w:strike w:val="0"/>
          <w:color w:val="000000"/>
          <w:u w:val="none"/>
        </w:rPr>
        <w:t>和</w:t>
      </w:r>
      <w:r>
        <w:rPr>
          <w:rFonts w:hint="eastAsia" w:ascii="仿宋_GB2312" w:hAnsi="仿宋_GB2312" w:cs="仿宋_GB2312"/>
          <w:b w:val="0"/>
          <w:i w:val="0"/>
          <w:strike w:val="0"/>
          <w:color w:val="000000"/>
          <w:u w:val="none"/>
          <w:lang w:eastAsia="zh-CN"/>
        </w:rPr>
        <w:t>2019xxxx1028.0</w:t>
      </w:r>
      <w:r>
        <w:rPr>
          <w:rFonts w:hint="eastAsia" w:ascii="仿宋_GB2312" w:hAnsi="仿宋_GB2312" w:eastAsia="仿宋_GB2312" w:cs="仿宋_GB2312"/>
          <w:b w:val="0"/>
          <w:i w:val="0"/>
          <w:strike w:val="0"/>
          <w:color w:val="000000"/>
          <w:u w:val="none"/>
        </w:rPr>
        <w:t>的外观设计专利公告文本、</w:t>
      </w:r>
      <w:r>
        <w:rPr>
          <w:rFonts w:hint="eastAsia" w:ascii="仿宋_GB2312" w:hAnsi="仿宋_GB2312" w:cs="仿宋_GB2312"/>
          <w:b w:val="0"/>
          <w:i w:val="0"/>
          <w:strike w:val="0"/>
          <w:color w:val="000000"/>
          <w:u w:val="none"/>
          <w:lang w:eastAsia="zh-CN"/>
        </w:rPr>
        <w:t>微某平台</w:t>
      </w:r>
      <w:r>
        <w:rPr>
          <w:rFonts w:hint="eastAsia" w:ascii="仿宋_GB2312" w:hAnsi="仿宋_GB2312" w:eastAsia="仿宋_GB2312" w:cs="仿宋_GB2312"/>
          <w:b w:val="0"/>
          <w:i w:val="0"/>
          <w:strike w:val="0"/>
          <w:color w:val="000000"/>
          <w:u w:val="none"/>
        </w:rPr>
        <w:t>群聊天记录等及各方当事人的陈述在卷佐证。</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eastAsia="仿宋_GB2312" w:cs="仿宋_GB2312"/>
          <w:b w:val="0"/>
          <w:i w:val="0"/>
          <w:strike w:val="0"/>
          <w:color w:val="000000"/>
          <w:u w:val="none"/>
        </w:rPr>
        <w:t>本院认为，</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公司系涉案专利号为202230508371、名称为“指纹挂锁”的外观设计专利权人。该专利合法有效，应受法律保护。</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szCs w:val="20"/>
          <w:u w:val="none"/>
        </w:rPr>
      </w:pPr>
      <w:r>
        <w:rPr>
          <w:rFonts w:hint="eastAsia" w:ascii="仿宋_GB2312" w:hAnsi="仿宋_GB2312" w:eastAsia="仿宋_GB2312" w:cs="仿宋_GB2312"/>
          <w:b w:val="0"/>
          <w:i w:val="0"/>
          <w:strike w:val="0"/>
          <w:color w:val="000000"/>
          <w:szCs w:val="20"/>
          <w:u w:val="none"/>
        </w:rPr>
        <w:t>根据双方当事人的诉辩意见，</w:t>
      </w:r>
      <w:r>
        <w:rPr>
          <w:rFonts w:hint="eastAsia" w:ascii="仿宋_GB2312" w:hAnsi="仿宋_GB2312" w:cs="仿宋_GB2312"/>
          <w:b w:val="0"/>
          <w:i w:val="0"/>
          <w:strike w:val="0"/>
          <w:color w:val="000000"/>
          <w:szCs w:val="20"/>
          <w:u w:val="none"/>
          <w:lang w:eastAsia="zh-CN"/>
        </w:rPr>
        <w:t>博某</w:t>
      </w:r>
      <w:r>
        <w:rPr>
          <w:rFonts w:hint="eastAsia" w:ascii="仿宋_GB2312" w:hAnsi="仿宋_GB2312" w:eastAsia="仿宋_GB2312" w:cs="仿宋_GB2312"/>
          <w:b w:val="0"/>
          <w:i w:val="0"/>
          <w:strike w:val="0"/>
          <w:color w:val="000000"/>
          <w:szCs w:val="20"/>
          <w:u w:val="none"/>
        </w:rPr>
        <w:t>公司对制造、销售、许诺销售被诉侵权产品的事实无异议，本案的争议焦点为：一、被诉侵权设计是否落入涉案专利权的保护范围。二、</w:t>
      </w:r>
      <w:r>
        <w:rPr>
          <w:rFonts w:hint="eastAsia" w:ascii="仿宋_GB2312" w:hAnsi="仿宋_GB2312" w:cs="仿宋_GB2312"/>
          <w:b w:val="0"/>
          <w:i w:val="0"/>
          <w:strike w:val="0"/>
          <w:color w:val="000000"/>
          <w:szCs w:val="20"/>
          <w:u w:val="none"/>
          <w:lang w:eastAsia="zh-CN"/>
        </w:rPr>
        <w:t>博某</w:t>
      </w:r>
      <w:r>
        <w:rPr>
          <w:rFonts w:hint="eastAsia" w:ascii="仿宋_GB2312" w:hAnsi="仿宋_GB2312" w:eastAsia="仿宋_GB2312" w:cs="仿宋_GB2312"/>
          <w:b w:val="0"/>
          <w:i w:val="0"/>
          <w:strike w:val="0"/>
          <w:color w:val="000000"/>
          <w:szCs w:val="20"/>
          <w:u w:val="none"/>
        </w:rPr>
        <w:t>公司提出的现有设计抗辩是否成立。三、</w:t>
      </w:r>
      <w:r>
        <w:rPr>
          <w:rFonts w:hint="eastAsia" w:ascii="仿宋_GB2312" w:hAnsi="仿宋_GB2312" w:cs="仿宋_GB2312"/>
          <w:b w:val="0"/>
          <w:i w:val="0"/>
          <w:strike w:val="0"/>
          <w:color w:val="000000"/>
          <w:szCs w:val="20"/>
          <w:u w:val="none"/>
          <w:lang w:eastAsia="zh-CN"/>
        </w:rPr>
        <w:t>博某</w:t>
      </w:r>
      <w:r>
        <w:rPr>
          <w:rFonts w:hint="eastAsia" w:ascii="仿宋_GB2312" w:hAnsi="仿宋_GB2312" w:eastAsia="仿宋_GB2312" w:cs="仿宋_GB2312"/>
          <w:b w:val="0"/>
          <w:i w:val="0"/>
          <w:strike w:val="0"/>
          <w:color w:val="000000"/>
          <w:szCs w:val="20"/>
          <w:u w:val="none"/>
        </w:rPr>
        <w:t>公司提出的先用权抗辩是否成立。四、如侵权成立，</w:t>
      </w:r>
      <w:r>
        <w:rPr>
          <w:rFonts w:hint="eastAsia" w:ascii="仿宋_GB2312" w:hAnsi="仿宋_GB2312" w:cs="仿宋_GB2312"/>
          <w:b w:val="0"/>
          <w:i w:val="0"/>
          <w:strike w:val="0"/>
          <w:color w:val="000000"/>
          <w:szCs w:val="20"/>
          <w:u w:val="none"/>
          <w:lang w:eastAsia="zh-CN"/>
        </w:rPr>
        <w:t>博某</w:t>
      </w:r>
      <w:r>
        <w:rPr>
          <w:rFonts w:hint="eastAsia" w:ascii="仿宋_GB2312" w:hAnsi="仿宋_GB2312" w:eastAsia="仿宋_GB2312" w:cs="仿宋_GB2312"/>
          <w:b w:val="0"/>
          <w:i w:val="0"/>
          <w:strike w:val="0"/>
          <w:color w:val="000000"/>
          <w:szCs w:val="20"/>
          <w:u w:val="none"/>
        </w:rPr>
        <w:t>公司应承担何种民事责任。</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eastAsia="仿宋_GB2312" w:cs="仿宋_GB2312"/>
          <w:b w:val="0"/>
          <w:i w:val="0"/>
          <w:caps w:val="0"/>
          <w:smallCaps w:val="0"/>
          <w:strike w:val="0"/>
          <w:dstrike w:val="0"/>
          <w:outline w:val="0"/>
          <w:shadow w:val="0"/>
          <w:emboss w:val="0"/>
          <w:imprint w:val="0"/>
          <w:snapToGrid/>
          <w:vanish w:val="0"/>
          <w:color w:val="000000"/>
          <w:spacing w:val="0"/>
          <w:w w:val="100"/>
          <w:kern w:val="0"/>
          <w:position w:val="0"/>
          <w:u w:val="none"/>
        </w:rPr>
        <w:t>关于争议焦点一，</w:t>
      </w:r>
      <w:r>
        <w:rPr>
          <w:rFonts w:hint="eastAsia" w:ascii="仿宋_GB2312" w:hAnsi="仿宋_GB2312" w:eastAsia="仿宋_GB2312" w:cs="仿宋_GB2312"/>
          <w:b w:val="0"/>
          <w:i w:val="0"/>
          <w:strike w:val="0"/>
          <w:color w:val="000000"/>
          <w:szCs w:val="20"/>
          <w:u w:val="none"/>
        </w:rPr>
        <w:t>被诉侵权设计是否落入涉案专利权的保护范围问题。《中华人民共和国专利法》第六十四条第二款规定，外观设计专利权的保护范围以表示在图片或者照片中的该产品的外观设计为准，简要说明可以用于解释图片或者照片所表示的该产品的外观设计。《最高人民法院关于审理侵犯专利权纠纷案件应用法律若干问题的解释》第八条、第十条、第十一条规定，在与外观设计专利产品相同或近似种类产品上，采用与授权外观设计相同或近似的外观设计的，应当认定被诉侵权设计落入外观设计专利权的保护范围；判断外观设计是否相同或者近似，应该以外观设计专利产品的一般消费者的知识水平和认知能力进行观察；根据授权外观设计、被诉侵权设计的设计特征，以外观设计的整体视觉效果进行综合判断，对被诉侵权设计与授权外观设计是否在整体视觉效果上无差异或无实质性差异进行比对。本案中，涉案专利产品与被诉侵权产品属于相同种类产品。根据涉案专利权评价报告检索的现有设计，涉案专利具一定的创新性，其主要设计特征在于各面的具体图案设计，被诉侵权设计具备了涉案专利的设计特征，两者仅仰视图下的USB充电接口位置不同，但该区别属于细微区别，且不易被观察到，应认定两者整体视觉效果不具有实质性差异，构成相同设计，被诉侵权设计落入涉案专利权的保护范围。</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szCs w:val="20"/>
          <w:u w:val="none"/>
        </w:rPr>
      </w:pPr>
      <w:r>
        <w:rPr>
          <w:rFonts w:hint="eastAsia" w:ascii="仿宋_GB2312" w:hAnsi="仿宋_GB2312" w:eastAsia="仿宋_GB2312" w:cs="仿宋_GB2312"/>
          <w:b w:val="0"/>
          <w:i w:val="0"/>
          <w:strike w:val="0"/>
          <w:color w:val="000000"/>
          <w:szCs w:val="20"/>
          <w:u w:val="none"/>
        </w:rPr>
        <w:t>关于争议焦点二，</w:t>
      </w:r>
      <w:r>
        <w:rPr>
          <w:rFonts w:hint="eastAsia" w:ascii="仿宋_GB2312" w:hAnsi="仿宋_GB2312" w:cs="仿宋_GB2312"/>
          <w:b w:val="0"/>
          <w:i w:val="0"/>
          <w:strike w:val="0"/>
          <w:color w:val="000000"/>
          <w:szCs w:val="20"/>
          <w:u w:val="none"/>
          <w:lang w:eastAsia="zh-CN"/>
        </w:rPr>
        <w:t>博某</w:t>
      </w:r>
      <w:r>
        <w:rPr>
          <w:rFonts w:hint="eastAsia" w:ascii="仿宋_GB2312" w:hAnsi="仿宋_GB2312" w:eastAsia="仿宋_GB2312" w:cs="仿宋_GB2312"/>
          <w:b w:val="0"/>
          <w:i w:val="0"/>
          <w:strike w:val="0"/>
          <w:color w:val="000000"/>
          <w:szCs w:val="20"/>
          <w:u w:val="none"/>
        </w:rPr>
        <w:t>公司提出的现有设计抗辩是否成立。《中华人民共和国专利法》第二十三条第一款、第四款及第六十七条规定，授予专利权的外观设计，应当不属于现有设计，也没有任何单位或者个人就同样的外观设计在申请日以前向国务院专利行政部门提出过申请，并记载在申请日以后公告的专利文件中；现有设计，是指申请日以前在国内外为公众所知的设计；在专利侵权纠纷中，被控侵权人有证据证明其实施的技术或者设计属于现有技术或者现有设计的，不构成侵犯专利权。</w:t>
      </w:r>
      <w:bookmarkStart w:id="1" w:name="WKJC_2c9480828fa3d88e018fa4332fc20edd"/>
      <w:r>
        <w:rPr>
          <w:rFonts w:hint="eastAsia" w:ascii="仿宋_GB2312" w:hAnsi="仿宋_GB2312" w:eastAsia="仿宋_GB2312" w:cs="仿宋_GB2312"/>
          <w:b w:val="0"/>
          <w:i w:val="0"/>
          <w:strike w:val="0"/>
          <w:color w:val="000000"/>
          <w:szCs w:val="20"/>
          <w:u w:val="none"/>
        </w:rPr>
        <w:t>《最高人民法院关于审理侵犯专利权纠纷案件应用法律若干问题的解释》第十四条第二款规定，被诉侵权设计与一个现有设计相同或者无实质性差异的，人民法院应当认定被诉侵权人实施的设计属于专利法第六十七条</w:t>
      </w:r>
      <w:bookmarkEnd w:id="1"/>
      <w:r>
        <w:rPr>
          <w:rFonts w:hint="eastAsia" w:ascii="仿宋_GB2312" w:hAnsi="仿宋_GB2312" w:eastAsia="仿宋_GB2312" w:cs="仿宋_GB2312"/>
          <w:b w:val="0"/>
          <w:i w:val="0"/>
          <w:strike w:val="0"/>
          <w:color w:val="000000"/>
          <w:szCs w:val="20"/>
          <w:u w:val="none"/>
        </w:rPr>
        <w:t>规定的现有设计。本案中，</w:t>
      </w:r>
      <w:r>
        <w:rPr>
          <w:rFonts w:hint="eastAsia" w:ascii="仿宋_GB2312" w:hAnsi="仿宋_GB2312" w:cs="仿宋_GB2312"/>
          <w:b w:val="0"/>
          <w:i w:val="0"/>
          <w:strike w:val="0"/>
          <w:color w:val="000000"/>
          <w:szCs w:val="20"/>
          <w:u w:val="none"/>
          <w:lang w:eastAsia="zh-CN"/>
        </w:rPr>
        <w:t>博某</w:t>
      </w:r>
      <w:r>
        <w:rPr>
          <w:rFonts w:hint="eastAsia" w:ascii="仿宋_GB2312" w:hAnsi="仿宋_GB2312" w:eastAsia="仿宋_GB2312" w:cs="仿宋_GB2312"/>
          <w:b w:val="0"/>
          <w:i w:val="0"/>
          <w:strike w:val="0"/>
          <w:color w:val="000000"/>
          <w:szCs w:val="20"/>
          <w:u w:val="none"/>
        </w:rPr>
        <w:t>公司以</w:t>
      </w:r>
      <w:r>
        <w:rPr>
          <w:rFonts w:hint="eastAsia" w:ascii="仿宋_GB2312" w:hAnsi="仿宋_GB2312" w:eastAsia="仿宋_GB2312" w:cs="仿宋_GB2312"/>
          <w:b w:val="0"/>
          <w:i w:val="0"/>
          <w:strike w:val="0"/>
          <w:color w:val="000000"/>
          <w:u w:val="none"/>
        </w:rPr>
        <w:t>申请号分别为</w:t>
      </w:r>
      <w:r>
        <w:rPr>
          <w:rFonts w:hint="eastAsia" w:ascii="仿宋_GB2312" w:hAnsi="仿宋_GB2312" w:cs="仿宋_GB2312"/>
          <w:b w:val="0"/>
          <w:i w:val="0"/>
          <w:strike w:val="0"/>
          <w:color w:val="000000"/>
          <w:u w:val="none"/>
          <w:lang w:eastAsia="zh-CN"/>
        </w:rPr>
        <w:t>2018xxxx8517.8</w:t>
      </w:r>
      <w:r>
        <w:rPr>
          <w:rFonts w:hint="eastAsia" w:ascii="仿宋_GB2312" w:hAnsi="仿宋_GB2312" w:eastAsia="仿宋_GB2312" w:cs="仿宋_GB2312"/>
          <w:b w:val="0"/>
          <w:i w:val="0"/>
          <w:strike w:val="0"/>
          <w:color w:val="000000"/>
          <w:u w:val="none"/>
        </w:rPr>
        <w:t>、</w:t>
      </w:r>
      <w:r>
        <w:rPr>
          <w:rFonts w:hint="eastAsia" w:ascii="仿宋_GB2312" w:hAnsi="仿宋_GB2312" w:cs="仿宋_GB2312"/>
          <w:b w:val="0"/>
          <w:i w:val="0"/>
          <w:strike w:val="0"/>
          <w:color w:val="000000"/>
          <w:u w:val="none"/>
          <w:lang w:eastAsia="zh-CN"/>
        </w:rPr>
        <w:t>2019xxxx1028.0</w:t>
      </w:r>
      <w:r>
        <w:rPr>
          <w:rFonts w:hint="eastAsia" w:ascii="仿宋_GB2312" w:hAnsi="仿宋_GB2312" w:eastAsia="仿宋_GB2312" w:cs="仿宋_GB2312"/>
          <w:b w:val="0"/>
          <w:i w:val="0"/>
          <w:strike w:val="0"/>
          <w:color w:val="000000"/>
          <w:u w:val="none"/>
        </w:rPr>
        <w:t>的外观设计</w:t>
      </w:r>
      <w:r>
        <w:rPr>
          <w:rFonts w:hint="eastAsia" w:ascii="仿宋_GB2312" w:hAnsi="仿宋_GB2312" w:eastAsia="仿宋_GB2312" w:cs="仿宋_GB2312"/>
          <w:b w:val="0"/>
          <w:i w:val="0"/>
          <w:strike w:val="0"/>
          <w:color w:val="000000"/>
          <w:szCs w:val="20"/>
          <w:u w:val="none"/>
        </w:rPr>
        <w:t>作为现有设计抗辩。该两对比设计的授权公告日均早于涉案授权外观设计专利的申请日，可以作为现有设计进行比对。首先，</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w:t>
      </w:r>
      <w:r>
        <w:rPr>
          <w:rFonts w:hint="eastAsia" w:ascii="仿宋_GB2312" w:hAnsi="仿宋_GB2312" w:eastAsia="仿宋_GB2312" w:cs="仿宋_GB2312"/>
          <w:b w:val="0"/>
          <w:i w:val="0"/>
          <w:strike w:val="0"/>
          <w:color w:val="000000"/>
          <w:szCs w:val="20"/>
          <w:u w:val="none"/>
        </w:rPr>
        <w:t>提交的涉案专利权评价报告中的对比设计1、对比设计3即为</w:t>
      </w:r>
      <w:r>
        <w:rPr>
          <w:rFonts w:hint="eastAsia" w:ascii="仿宋_GB2312" w:hAnsi="仿宋_GB2312" w:cs="仿宋_GB2312"/>
          <w:b w:val="0"/>
          <w:i w:val="0"/>
          <w:strike w:val="0"/>
          <w:color w:val="000000"/>
          <w:szCs w:val="20"/>
          <w:u w:val="none"/>
          <w:lang w:eastAsia="zh-CN"/>
        </w:rPr>
        <w:t>博某</w:t>
      </w:r>
      <w:r>
        <w:rPr>
          <w:rFonts w:hint="eastAsia" w:ascii="仿宋_GB2312" w:hAnsi="仿宋_GB2312" w:eastAsia="仿宋_GB2312" w:cs="仿宋_GB2312"/>
          <w:b w:val="0"/>
          <w:i w:val="0"/>
          <w:strike w:val="0"/>
          <w:color w:val="000000"/>
          <w:szCs w:val="20"/>
          <w:u w:val="none"/>
        </w:rPr>
        <w:t>公司提供作为现有设计抗辩的两个外观设计，该专利权评价报告已对包括上述两个对比设计在内的相关现有设计进行比对，初步结论为本专利与对比设计1、对比设计3以及其他现有设计在产品设计上存在明显区别，全部外观设计未发现存在不符合授予专利权条件的缺陷。其次，经比对，被诉侵权设计与</w:t>
      </w:r>
      <w:r>
        <w:rPr>
          <w:rFonts w:hint="eastAsia" w:ascii="仿宋_GB2312" w:hAnsi="仿宋_GB2312" w:eastAsia="仿宋_GB2312" w:cs="仿宋_GB2312"/>
          <w:b w:val="0"/>
          <w:i w:val="0"/>
          <w:strike w:val="0"/>
          <w:color w:val="000000"/>
          <w:u w:val="none"/>
        </w:rPr>
        <w:t>申请号分别为</w:t>
      </w:r>
      <w:r>
        <w:rPr>
          <w:rFonts w:hint="eastAsia" w:ascii="仿宋_GB2312" w:hAnsi="仿宋_GB2312" w:cs="仿宋_GB2312"/>
          <w:b w:val="0"/>
          <w:i w:val="0"/>
          <w:strike w:val="0"/>
          <w:color w:val="000000"/>
          <w:u w:val="none"/>
          <w:lang w:eastAsia="zh-CN"/>
        </w:rPr>
        <w:t>2018xxxx8517.8</w:t>
      </w:r>
      <w:r>
        <w:rPr>
          <w:rFonts w:hint="eastAsia" w:ascii="仿宋_GB2312" w:hAnsi="仿宋_GB2312" w:eastAsia="仿宋_GB2312" w:cs="仿宋_GB2312"/>
          <w:b w:val="0"/>
          <w:i w:val="0"/>
          <w:strike w:val="0"/>
          <w:color w:val="000000"/>
          <w:u w:val="none"/>
        </w:rPr>
        <w:t>、</w:t>
      </w:r>
      <w:r>
        <w:rPr>
          <w:rFonts w:hint="eastAsia" w:ascii="仿宋_GB2312" w:hAnsi="仿宋_GB2312" w:cs="仿宋_GB2312"/>
          <w:b w:val="0"/>
          <w:i w:val="0"/>
          <w:strike w:val="0"/>
          <w:color w:val="000000"/>
          <w:u w:val="none"/>
          <w:lang w:eastAsia="zh-CN"/>
        </w:rPr>
        <w:t>2019xxxx1028.0</w:t>
      </w:r>
      <w:r>
        <w:rPr>
          <w:rFonts w:hint="eastAsia" w:ascii="仿宋_GB2312" w:hAnsi="仿宋_GB2312" w:eastAsia="仿宋_GB2312" w:cs="仿宋_GB2312"/>
          <w:b w:val="0"/>
          <w:i w:val="0"/>
          <w:strike w:val="0"/>
          <w:color w:val="000000"/>
          <w:u w:val="none"/>
        </w:rPr>
        <w:t>的外观设计在指纹按压部、锁具轮廓等部位</w:t>
      </w:r>
      <w:r>
        <w:rPr>
          <w:rFonts w:hint="eastAsia" w:ascii="仿宋_GB2312" w:hAnsi="仿宋_GB2312" w:eastAsia="仿宋_GB2312" w:cs="仿宋_GB2312"/>
          <w:b w:val="0"/>
          <w:i w:val="0"/>
          <w:strike w:val="0"/>
          <w:color w:val="000000"/>
          <w:szCs w:val="20"/>
          <w:u w:val="none"/>
        </w:rPr>
        <w:t>均存在明显区别，被诉侵权设计与该两个现有设计明显不同。最后，</w:t>
      </w:r>
      <w:r>
        <w:rPr>
          <w:rFonts w:hint="eastAsia" w:ascii="仿宋_GB2312" w:hAnsi="仿宋_GB2312" w:cs="仿宋_GB2312"/>
          <w:b w:val="0"/>
          <w:i w:val="0"/>
          <w:strike w:val="0"/>
          <w:color w:val="000000"/>
          <w:szCs w:val="20"/>
          <w:u w:val="none"/>
          <w:lang w:eastAsia="zh-CN"/>
        </w:rPr>
        <w:t>博某</w:t>
      </w:r>
      <w:r>
        <w:rPr>
          <w:rFonts w:hint="eastAsia" w:ascii="仿宋_GB2312" w:hAnsi="仿宋_GB2312" w:eastAsia="仿宋_GB2312" w:cs="仿宋_GB2312"/>
          <w:b w:val="0"/>
          <w:i w:val="0"/>
          <w:strike w:val="0"/>
          <w:color w:val="000000"/>
          <w:szCs w:val="20"/>
          <w:u w:val="none"/>
        </w:rPr>
        <w:t>公司在本案中并未提供涉案专利权评价报告所载以外的其他现有设计以供比对。据此，</w:t>
      </w:r>
      <w:r>
        <w:rPr>
          <w:rFonts w:hint="eastAsia" w:ascii="仿宋_GB2312" w:hAnsi="仿宋_GB2312" w:cs="仿宋_GB2312"/>
          <w:b w:val="0"/>
          <w:i w:val="0"/>
          <w:strike w:val="0"/>
          <w:color w:val="000000"/>
          <w:szCs w:val="20"/>
          <w:u w:val="none"/>
          <w:lang w:eastAsia="zh-CN"/>
        </w:rPr>
        <w:t>博某</w:t>
      </w:r>
      <w:r>
        <w:rPr>
          <w:rFonts w:hint="eastAsia" w:ascii="仿宋_GB2312" w:hAnsi="仿宋_GB2312" w:eastAsia="仿宋_GB2312" w:cs="仿宋_GB2312"/>
          <w:b w:val="0"/>
          <w:i w:val="0"/>
          <w:strike w:val="0"/>
          <w:color w:val="000000"/>
          <w:szCs w:val="20"/>
          <w:u w:val="none"/>
        </w:rPr>
        <w:t>公司提出的现有设计抗辩证据不足，本院不予支持。</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eastAsia="仿宋_GB2312" w:cs="仿宋_GB2312"/>
          <w:b w:val="0"/>
          <w:i w:val="0"/>
          <w:strike w:val="0"/>
          <w:color w:val="000000"/>
          <w:u w:val="none"/>
        </w:rPr>
        <w:t>关于争议焦点三，</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公司提出的先用权抗辩是否成立。《中华人民共和国专利法》第七十五</w:t>
      </w:r>
      <w:r>
        <w:rPr>
          <w:rFonts w:hint="eastAsia" w:ascii="仿宋_GB2312" w:hAnsi="仿宋_GB2312" w:eastAsia="仿宋_GB2312" w:cs="仿宋_GB2312"/>
          <w:b w:val="0"/>
          <w:i w:val="0"/>
          <w:strike w:val="0"/>
          <w:color w:val="000000"/>
          <w:szCs w:val="20"/>
          <w:u w:val="none"/>
        </w:rPr>
        <w:t>条第二项规定，在专利申请日前已经制造相同产品、使用相同方法或者已经作好制造、使用的必要准备</w:t>
      </w:r>
      <w:r>
        <w:rPr>
          <w:rFonts w:hint="eastAsia" w:ascii="仿宋_GB2312" w:hAnsi="仿宋_GB2312" w:eastAsia="仿宋_GB2312" w:cs="仿宋_GB2312"/>
          <w:b w:val="0"/>
          <w:i w:val="0"/>
          <w:strike w:val="0"/>
          <w:color w:val="000000"/>
          <w:u w:val="none"/>
        </w:rPr>
        <w:t>，并且仅在原有范围内继续制造、使用的，不视为侵犯专利权。《最高人民法院关于审理侵犯专利权纠纷案件应用法律若干问题的解释》第十五条规定，有下列情形之一的，人民法院应当认定属于</w:t>
      </w:r>
      <w:r>
        <w:rPr>
          <w:rFonts w:hint="eastAsia" w:ascii="仿宋_GB2312" w:hAnsi="仿宋_GB2312" w:eastAsia="仿宋_GB2312" w:cs="仿宋_GB2312"/>
          <w:b w:val="0"/>
          <w:i w:val="0"/>
          <w:strike w:val="0"/>
          <w:color w:val="000000"/>
          <w:u w:val="none"/>
        </w:rPr>
        <w:fldChar w:fldCharType="begin"/>
      </w:r>
      <w:r>
        <w:rPr>
          <w:rFonts w:hint="eastAsia" w:ascii="仿宋_GB2312" w:hAnsi="仿宋_GB2312" w:eastAsia="仿宋_GB2312" w:cs="仿宋_GB2312"/>
          <w:b w:val="0"/>
          <w:i w:val="0"/>
          <w:strike w:val="0"/>
          <w:color w:val="000000"/>
          <w:u w:val="none"/>
        </w:rPr>
        <w:instrText xml:space="preserve"> HYPERLINK "javascript:void(0);" </w:instrText>
      </w:r>
      <w:r>
        <w:rPr>
          <w:rFonts w:hint="eastAsia" w:ascii="仿宋_GB2312" w:hAnsi="仿宋_GB2312" w:eastAsia="仿宋_GB2312" w:cs="仿宋_GB2312"/>
          <w:b w:val="0"/>
          <w:i w:val="0"/>
          <w:strike w:val="0"/>
          <w:color w:val="000000"/>
          <w:u w:val="none"/>
        </w:rPr>
        <w:fldChar w:fldCharType="separate"/>
      </w:r>
      <w:r>
        <w:rPr>
          <w:rFonts w:hint="eastAsia" w:ascii="仿宋_GB2312" w:hAnsi="仿宋_GB2312" w:eastAsia="仿宋_GB2312" w:cs="仿宋_GB2312"/>
          <w:b w:val="0"/>
          <w:i w:val="0"/>
          <w:strike w:val="0"/>
          <w:color w:val="000000"/>
          <w:u w:val="none"/>
        </w:rPr>
        <w:t>专利法</w:t>
      </w:r>
      <w:r>
        <w:rPr>
          <w:rFonts w:hint="eastAsia" w:ascii="仿宋_GB2312" w:hAnsi="仿宋_GB2312" w:eastAsia="仿宋_GB2312" w:cs="仿宋_GB2312"/>
          <w:b w:val="0"/>
          <w:i w:val="0"/>
          <w:strike w:val="0"/>
          <w:color w:val="000000"/>
          <w:u w:val="none"/>
        </w:rPr>
        <w:fldChar w:fldCharType="end"/>
      </w:r>
      <w:r>
        <w:rPr>
          <w:rFonts w:hint="eastAsia" w:ascii="仿宋_GB2312" w:hAnsi="仿宋_GB2312" w:eastAsia="仿宋_GB2312" w:cs="仿宋_GB2312"/>
          <w:b w:val="0"/>
          <w:i w:val="0"/>
          <w:strike w:val="0"/>
          <w:color w:val="000000"/>
          <w:u w:val="none"/>
        </w:rPr>
        <w:t>第七十五条第二项规定的已经作好制造、使用的必要准备：（一）已经完成实施发明创造所必需的主要技术图纸或者工艺文件；（二）已经制造或者购买实施发明创造所必需的主要设备或者原材料。本案中，博</w:t>
      </w:r>
      <w:r>
        <w:rPr>
          <w:rFonts w:hint="eastAsia" w:ascii="仿宋_GB2312" w:hAnsi="仿宋_GB2312" w:cs="仿宋_GB2312"/>
          <w:b w:val="0"/>
          <w:i w:val="0"/>
          <w:strike w:val="0"/>
          <w:color w:val="000000"/>
          <w:u w:val="none"/>
          <w:lang w:eastAsia="zh-CN"/>
        </w:rPr>
        <w:t>某</w:t>
      </w:r>
      <w:bookmarkStart w:id="3" w:name="_GoBack"/>
      <w:bookmarkEnd w:id="3"/>
      <w:r>
        <w:rPr>
          <w:rFonts w:hint="eastAsia" w:ascii="仿宋_GB2312" w:hAnsi="仿宋_GB2312" w:eastAsia="仿宋_GB2312" w:cs="仿宋_GB2312"/>
          <w:b w:val="0"/>
          <w:i w:val="0"/>
          <w:strike w:val="0"/>
          <w:color w:val="000000"/>
          <w:u w:val="none"/>
        </w:rPr>
        <w:t>公司主张已经在涉案授权外观设计专利申请日前作好制造被诉侵权产品的准备，并且仅在原有范围内继续制造。首先，“必要准备”不仅要求先用权人完成有关的技术方案，而且要求其要有生产资源的投入，例如包括技术图纸、设计图、实施方案、文件或者厂房、通用设备、专用设备、主要原材料及工具模具等。根据</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公司提供的</w:t>
      </w:r>
      <w:r>
        <w:rPr>
          <w:rFonts w:hint="eastAsia" w:ascii="仿宋_GB2312" w:hAnsi="仿宋_GB2312" w:cs="仿宋_GB2312"/>
          <w:b w:val="0"/>
          <w:i w:val="0"/>
          <w:strike w:val="0"/>
          <w:color w:val="000000"/>
          <w:u w:val="none"/>
          <w:lang w:eastAsia="zh-CN"/>
        </w:rPr>
        <w:t>微某平台</w:t>
      </w:r>
      <w:r>
        <w:rPr>
          <w:rFonts w:hint="eastAsia" w:ascii="仿宋_GB2312" w:hAnsi="仿宋_GB2312" w:eastAsia="仿宋_GB2312" w:cs="仿宋_GB2312"/>
          <w:b w:val="0"/>
          <w:i w:val="0"/>
          <w:strike w:val="0"/>
          <w:color w:val="000000"/>
          <w:u w:val="none"/>
        </w:rPr>
        <w:t>群聊天记录及其自述可知，</w:t>
      </w:r>
      <w:r>
        <w:rPr>
          <w:rFonts w:hint="eastAsia" w:ascii="仿宋_GB2312" w:hAnsi="仿宋_GB2312" w:cs="仿宋_GB2312"/>
          <w:b w:val="0"/>
          <w:i w:val="0"/>
          <w:strike w:val="0"/>
          <w:color w:val="000000"/>
          <w:u w:val="none"/>
          <w:lang w:eastAsia="zh-CN"/>
        </w:rPr>
        <w:t>微某平台</w:t>
      </w:r>
      <w:r>
        <w:rPr>
          <w:rFonts w:hint="eastAsia" w:ascii="仿宋_GB2312" w:hAnsi="仿宋_GB2312" w:eastAsia="仿宋_GB2312" w:cs="仿宋_GB2312"/>
          <w:b w:val="0"/>
          <w:i w:val="0"/>
          <w:strike w:val="0"/>
          <w:color w:val="000000"/>
          <w:u w:val="none"/>
        </w:rPr>
        <w:t>群图片所展示的产品不是</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公司自主研发，系其从他处获得，公司内部人员于2022年8月4日在</w:t>
      </w:r>
      <w:r>
        <w:rPr>
          <w:rFonts w:hint="eastAsia" w:ascii="仿宋_GB2312" w:hAnsi="仿宋_GB2312" w:cs="仿宋_GB2312"/>
          <w:b w:val="0"/>
          <w:i w:val="0"/>
          <w:strike w:val="0"/>
          <w:color w:val="000000"/>
          <w:u w:val="none"/>
          <w:lang w:eastAsia="zh-CN"/>
        </w:rPr>
        <w:t>微某平台</w:t>
      </w:r>
      <w:r>
        <w:rPr>
          <w:rFonts w:hint="eastAsia" w:ascii="仿宋_GB2312" w:hAnsi="仿宋_GB2312" w:eastAsia="仿宋_GB2312" w:cs="仿宋_GB2312"/>
          <w:b w:val="0"/>
          <w:i w:val="0"/>
          <w:strike w:val="0"/>
          <w:color w:val="000000"/>
          <w:u w:val="none"/>
        </w:rPr>
        <w:t>群中仅仅讨论到客户“巨星”定制产品的相关要求、参数及准备“开始行动”，没有证据证明其展开实际生产资源投入，其称自2022年上半年开始就和客户“巨星”沟通讨论被诉侵权产品的购销也无相应证据予以证实，故不足以认定</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w:t>
      </w:r>
      <w:r>
        <w:rPr>
          <w:rFonts w:hint="eastAsia" w:ascii="仿宋_GB2312" w:hAnsi="仿宋_GB2312" w:eastAsia="仿宋_GB2312" w:cs="仿宋_GB2312"/>
          <w:b w:val="0"/>
          <w:i w:val="0"/>
          <w:strike w:val="0"/>
          <w:color w:val="000000"/>
          <w:szCs w:val="20"/>
          <w:u w:val="none"/>
        </w:rPr>
        <w:t>在涉案专利申请日前已经作好制造被诉产品的必要准备。其次，</w:t>
      </w:r>
      <w:r>
        <w:rPr>
          <w:rFonts w:hint="eastAsia" w:ascii="仿宋_GB2312" w:hAnsi="仿宋_GB2312" w:cs="仿宋_GB2312"/>
          <w:b w:val="0"/>
          <w:i w:val="0"/>
          <w:strike w:val="0"/>
          <w:color w:val="000000"/>
          <w:szCs w:val="20"/>
          <w:u w:val="none"/>
          <w:lang w:eastAsia="zh-CN"/>
        </w:rPr>
        <w:t>微某平台</w:t>
      </w:r>
      <w:r>
        <w:rPr>
          <w:rFonts w:hint="eastAsia" w:ascii="仿宋_GB2312" w:hAnsi="仿宋_GB2312" w:eastAsia="仿宋_GB2312" w:cs="仿宋_GB2312"/>
          <w:b w:val="0"/>
          <w:i w:val="0"/>
          <w:strike w:val="0"/>
          <w:color w:val="000000"/>
          <w:szCs w:val="20"/>
          <w:u w:val="none"/>
        </w:rPr>
        <w:t>群中</w:t>
      </w:r>
      <w:r>
        <w:rPr>
          <w:rFonts w:hint="eastAsia" w:ascii="仿宋_GB2312" w:hAnsi="仿宋_GB2312" w:eastAsia="仿宋_GB2312" w:cs="仿宋_GB2312"/>
          <w:b w:val="0"/>
          <w:i w:val="0"/>
          <w:strike w:val="0"/>
          <w:color w:val="000000"/>
          <w:u w:val="none"/>
        </w:rPr>
        <w:t>客户“巨星”的该笔订单在后续并未实际履行，</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公司也未提供其他任何“在原有范围内继续制造”的证据。综上，被告的先用权抗辩不能成立。</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eastAsia="仿宋_GB2312" w:cs="仿宋_GB2312"/>
          <w:b w:val="0"/>
          <w:i w:val="0"/>
          <w:strike w:val="0"/>
          <w:color w:val="000000"/>
          <w:szCs w:val="20"/>
          <w:u w:val="none"/>
        </w:rPr>
        <w:t>关于争议焦点四，</w:t>
      </w:r>
      <w:r>
        <w:rPr>
          <w:rFonts w:hint="eastAsia" w:ascii="仿宋_GB2312" w:hAnsi="仿宋_GB2312" w:cs="仿宋_GB2312"/>
          <w:b w:val="0"/>
          <w:i w:val="0"/>
          <w:strike w:val="0"/>
          <w:color w:val="000000"/>
          <w:szCs w:val="20"/>
          <w:u w:val="none"/>
          <w:lang w:eastAsia="zh-CN"/>
        </w:rPr>
        <w:t>博某</w:t>
      </w:r>
      <w:r>
        <w:rPr>
          <w:rFonts w:hint="eastAsia" w:ascii="仿宋_GB2312" w:hAnsi="仿宋_GB2312" w:eastAsia="仿宋_GB2312" w:cs="仿宋_GB2312"/>
          <w:b w:val="0"/>
          <w:i w:val="0"/>
          <w:strike w:val="0"/>
          <w:color w:val="000000"/>
          <w:szCs w:val="20"/>
          <w:u w:val="none"/>
        </w:rPr>
        <w:t>公司应承担何种民事责任问题。《中华人民共和国专利法》第十一条第二款规定，外观设计专利权被授予后，任何单位或者个人未经专利权人许可，都不得实施其专利，即不得为生产经营目的制造、许诺销售、销售、进口其外观设计专利产品。《中华人民共和国民法典》第一百二十条规定，民事权益受到侵害的，被侵权人有权请求侵权人承担侵权责任。第一百七十九条规定，承担民事责任的方式主要有，停止侵害、赔偿损失等。本案中，</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w:t>
      </w:r>
      <w:r>
        <w:rPr>
          <w:rFonts w:hint="eastAsia" w:ascii="仿宋_GB2312" w:hAnsi="仿宋_GB2312" w:eastAsia="仿宋_GB2312" w:cs="仿宋_GB2312"/>
          <w:b w:val="0"/>
          <w:i w:val="0"/>
          <w:strike w:val="0"/>
          <w:color w:val="000000"/>
          <w:szCs w:val="20"/>
          <w:u w:val="none"/>
        </w:rPr>
        <w:t>未经许可，制造、销售、许诺销售被诉侵权产品，其行为已构成对涉案专利权的侵害，应当承担侵权责任。故本院对</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公司请求判令</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立即停止制造、销售、许诺销售被诉侵权产品行为及赔偿损失的诉请予以支持。关于赔偿数额，《中华人民共和国专利法》第七十一条第一款、第二款、第三款规定，侵犯专利权的赔偿数额按照权利人因被侵权所受到的实际损失或者侵权人因侵权所获得的利益确定，权利人的损失或者侵权人获得的利益难以确定的，参照该专利许可使用费的倍数合理确定。对故意侵犯专利权，情节严重的，可以在按照上述方法确定数额的一倍以上五倍以下确定赔偿数额。权利人的损失、侵权人获得的利益和专利许可使用费均难以确定的，人民法院可以根据专利权的类型、侵权行为的性质和情节等因素，确定给予三万元以上五百万元以下的赔偿。赔偿数额还应当包括权利人为制止侵权行为所支付的合理开支。本案中，因</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公司的损失、</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公司的侵权获利及专利许可使用费均难以确定，故本院酌情确定</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公司赔偿</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公司经济损失及为制止侵权行为所支付的合理开支合计7万元，综合考虑以下因素：1.</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公司提供了涉案外观设计专利权评价报告，专利权稳定；2.</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公司存在制造、销售、许诺销售的侵权行为；3.</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公司在</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向涉案平台提出侵犯知识产权投诉及被平台删除侵权链接后，又多次上架外观相同的产品销售链接，庭审及庭审结束后相关链接仍存在，侵权主观恶意明显；3.被诉侵权销售链接之一显示的销量为“一年内500+件成交”，各销售链接的产品单价约为60元上下；4.</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公司因本案维权支出的律师费15000元、公证费600元、产品购买费168元、飞机票费用437元、动车票费用383元、住宿费228元。</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eastAsia="仿宋_GB2312" w:cs="仿宋_GB2312"/>
          <w:b w:val="0"/>
          <w:i w:val="0"/>
          <w:strike w:val="0"/>
          <w:color w:val="000000"/>
          <w:u w:val="none"/>
        </w:rPr>
        <w:t>依照《中华人民共和国民法典》第一百七十九条第一款第一项、第八项，《中华人民共和国专利法》第十一条第二款、</w:t>
      </w:r>
      <w:r>
        <w:rPr>
          <w:rFonts w:hint="eastAsia" w:ascii="仿宋_GB2312" w:hAnsi="仿宋_GB2312" w:eastAsia="仿宋_GB2312" w:cs="仿宋_GB2312"/>
          <w:b w:val="0"/>
          <w:i w:val="0"/>
          <w:strike w:val="0"/>
          <w:color w:val="000000"/>
          <w:szCs w:val="20"/>
          <w:u w:val="none"/>
        </w:rPr>
        <w:t>第二十三条第一款、第四款、</w:t>
      </w:r>
      <w:r>
        <w:rPr>
          <w:rFonts w:hint="eastAsia" w:ascii="仿宋_GB2312" w:hAnsi="仿宋_GB2312" w:eastAsia="仿宋_GB2312" w:cs="仿宋_GB2312"/>
          <w:b w:val="0"/>
          <w:i w:val="0"/>
          <w:strike w:val="0"/>
          <w:color w:val="000000"/>
          <w:u w:val="none"/>
        </w:rPr>
        <w:t>第六十四条第二款、</w:t>
      </w:r>
      <w:r>
        <w:rPr>
          <w:rFonts w:hint="eastAsia" w:ascii="仿宋_GB2312" w:hAnsi="仿宋_GB2312" w:eastAsia="仿宋_GB2312" w:cs="仿宋_GB2312"/>
          <w:b w:val="0"/>
          <w:i w:val="0"/>
          <w:strike w:val="0"/>
          <w:color w:val="000000"/>
          <w:szCs w:val="20"/>
          <w:u w:val="none"/>
        </w:rPr>
        <w:t>第六十七条、</w:t>
      </w:r>
      <w:r>
        <w:rPr>
          <w:rFonts w:hint="eastAsia" w:ascii="仿宋_GB2312" w:hAnsi="仿宋_GB2312" w:eastAsia="仿宋_GB2312" w:cs="仿宋_GB2312"/>
          <w:b w:val="0"/>
          <w:i w:val="0"/>
          <w:strike w:val="0"/>
          <w:color w:val="000000"/>
          <w:u w:val="none"/>
        </w:rPr>
        <w:t>第七十一条第一款、第三款，</w:t>
      </w:r>
      <w:bookmarkStart w:id="2" w:name="WKJC_2c9480828fa3d88e018fa4332fc20edf"/>
      <w:r>
        <w:rPr>
          <w:rFonts w:hint="eastAsia" w:ascii="仿宋_GB2312" w:hAnsi="仿宋_GB2312" w:eastAsia="仿宋_GB2312" w:cs="仿宋_GB2312"/>
          <w:b w:val="0"/>
          <w:i w:val="0"/>
          <w:strike w:val="0"/>
          <w:color w:val="000000"/>
          <w:u w:val="none"/>
        </w:rPr>
        <w:t>《最高人民法院关于审理侵犯专利权纠纷案件应用法律若干问题的解释》第八条、第十条、第十一条、</w:t>
      </w:r>
      <w:r>
        <w:rPr>
          <w:rFonts w:hint="eastAsia" w:ascii="仿宋_GB2312" w:hAnsi="仿宋_GB2312" w:eastAsia="仿宋_GB2312" w:cs="仿宋_GB2312"/>
          <w:b w:val="0"/>
          <w:i w:val="0"/>
          <w:strike w:val="0"/>
          <w:color w:val="000000"/>
          <w:szCs w:val="20"/>
          <w:u w:val="none"/>
        </w:rPr>
        <w:t>第十四条第二款</w:t>
      </w:r>
      <w:bookmarkEnd w:id="2"/>
      <w:r>
        <w:rPr>
          <w:rFonts w:hint="eastAsia" w:ascii="仿宋_GB2312" w:hAnsi="仿宋_GB2312" w:eastAsia="仿宋_GB2312" w:cs="仿宋_GB2312"/>
          <w:b w:val="0"/>
          <w:i w:val="0"/>
          <w:strike w:val="0"/>
          <w:color w:val="000000"/>
          <w:u w:val="none"/>
        </w:rPr>
        <w:t>，《中华人民共和国民事诉讼法》第六十七条第一款的规定，判决如下：</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eastAsia="仿宋_GB2312" w:cs="仿宋_GB2312"/>
          <w:b w:val="0"/>
          <w:i w:val="0"/>
          <w:strike w:val="0"/>
          <w:color w:val="000000"/>
          <w:u w:val="none"/>
        </w:rPr>
        <w:t>一、被告温州</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电气科技有限公司立即停止制造、销售、许诺销售落入专利号为</w:t>
      </w:r>
      <w:r>
        <w:rPr>
          <w:rFonts w:hint="eastAsia" w:ascii="仿宋_GB2312" w:hAnsi="仿宋_GB2312" w:cs="仿宋_GB2312"/>
          <w:b w:val="0"/>
          <w:i w:val="0"/>
          <w:strike w:val="0"/>
          <w:color w:val="000000"/>
          <w:u w:val="none"/>
          <w:lang w:eastAsia="zh-CN"/>
        </w:rPr>
        <w:t>2022xxxx8371.6</w:t>
      </w:r>
      <w:r>
        <w:rPr>
          <w:rFonts w:hint="eastAsia" w:ascii="仿宋_GB2312" w:hAnsi="仿宋_GB2312" w:eastAsia="仿宋_GB2312" w:cs="仿宋_GB2312"/>
          <w:b w:val="0"/>
          <w:i w:val="0"/>
          <w:strike w:val="0"/>
          <w:color w:val="000000"/>
          <w:u w:val="none"/>
        </w:rPr>
        <w:t>、名称为“指纹挂锁”的外观设计专利权保护范围产品的行为；</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eastAsia="仿宋_GB2312" w:cs="仿宋_GB2312"/>
          <w:b w:val="0"/>
          <w:i w:val="0"/>
          <w:strike w:val="0"/>
          <w:color w:val="000000"/>
          <w:u w:val="none"/>
        </w:rPr>
        <w:t>二、被告温州</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电气科技有限公司于本判决生效之日起十日内赔偿原告深圳市</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电子有限公司经济损失（含合理开支）7万元；</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eastAsia="仿宋_GB2312" w:cs="仿宋_GB2312"/>
          <w:b w:val="0"/>
          <w:i w:val="0"/>
          <w:strike w:val="0"/>
          <w:color w:val="000000"/>
          <w:u w:val="none"/>
        </w:rPr>
        <w:t>三、驳回原告深圳市</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电子有限公司的其他诉讼请求。</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eastAsia="仿宋_GB2312" w:cs="仿宋_GB2312"/>
          <w:b w:val="0"/>
          <w:i w:val="0"/>
          <w:strike w:val="0"/>
          <w:color w:val="000000"/>
          <w:u w:val="none"/>
        </w:rPr>
        <w:t>如果未按本判决指定的期间履行给付金钱义务，应当依照《中华人民共和国民事诉讼法》第二百六十四条之规定，加倍支付迟延履行期间的债务利息。</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eastAsia="仿宋_GB2312" w:cs="仿宋_GB2312"/>
          <w:b w:val="0"/>
          <w:i w:val="0"/>
          <w:strike w:val="0"/>
          <w:color w:val="000000"/>
          <w:u w:val="none"/>
        </w:rPr>
        <w:t>案件受理费2238元，由原告深圳市</w:t>
      </w:r>
      <w:r>
        <w:rPr>
          <w:rFonts w:hint="eastAsia" w:ascii="仿宋_GB2312" w:hAnsi="仿宋_GB2312" w:cs="仿宋_GB2312"/>
          <w:b w:val="0"/>
          <w:i w:val="0"/>
          <w:strike w:val="0"/>
          <w:color w:val="000000"/>
          <w:u w:val="none"/>
          <w:lang w:eastAsia="zh-CN"/>
        </w:rPr>
        <w:t>尚某</w:t>
      </w:r>
      <w:r>
        <w:rPr>
          <w:rFonts w:hint="eastAsia" w:ascii="仿宋_GB2312" w:hAnsi="仿宋_GB2312" w:eastAsia="仿宋_GB2312" w:cs="仿宋_GB2312"/>
          <w:b w:val="0"/>
          <w:i w:val="0"/>
          <w:strike w:val="0"/>
          <w:color w:val="000000"/>
          <w:u w:val="none"/>
        </w:rPr>
        <w:t>电子有限公司负</w:t>
      </w:r>
      <w:r>
        <w:rPr>
          <w:rFonts w:hint="eastAsia" w:ascii="仿宋_GB2312" w:hAnsi="仿宋_GB2312" w:cs="仿宋_GB2312"/>
          <w:b w:val="0"/>
          <w:i w:val="0"/>
          <w:strike w:val="0"/>
          <w:color w:val="000000"/>
          <w:u w:val="none"/>
          <w:lang w:eastAsia="zh-CN"/>
        </w:rPr>
        <w:t>担</w:t>
      </w:r>
      <w:r>
        <w:rPr>
          <w:rFonts w:hint="eastAsia" w:ascii="仿宋_GB2312" w:hAnsi="仿宋_GB2312" w:eastAsia="仿宋_GB2312" w:cs="仿宋_GB2312"/>
          <w:b w:val="0"/>
          <w:i w:val="0"/>
          <w:strike w:val="0"/>
          <w:color w:val="000000"/>
          <w:u w:val="none"/>
        </w:rPr>
        <w:t>316元，被告温州</w:t>
      </w:r>
      <w:r>
        <w:rPr>
          <w:rFonts w:hint="eastAsia" w:ascii="仿宋_GB2312" w:hAnsi="仿宋_GB2312" w:cs="仿宋_GB2312"/>
          <w:b w:val="0"/>
          <w:i w:val="0"/>
          <w:strike w:val="0"/>
          <w:color w:val="000000"/>
          <w:u w:val="none"/>
          <w:lang w:eastAsia="zh-CN"/>
        </w:rPr>
        <w:t>博某</w:t>
      </w:r>
      <w:r>
        <w:rPr>
          <w:rFonts w:hint="eastAsia" w:ascii="仿宋_GB2312" w:hAnsi="仿宋_GB2312" w:eastAsia="仿宋_GB2312" w:cs="仿宋_GB2312"/>
          <w:b w:val="0"/>
          <w:i w:val="0"/>
          <w:strike w:val="0"/>
          <w:color w:val="000000"/>
          <w:u w:val="none"/>
        </w:rPr>
        <w:t>电气科技有限公司负担1922元。</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val="0"/>
        <w:spacing w:beforeAutospacing="0" w:afterAutospacing="0" w:line="540" w:lineRule="exact"/>
        <w:ind w:left="0" w:leftChars="0" w:right="0" w:rightChars="0" w:firstLine="640" w:firstLineChars="200"/>
        <w:jc w:val="both"/>
        <w:textAlignment w:val="auto"/>
        <w:outlineLvl w:val="9"/>
        <w:rPr>
          <w:rFonts w:hint="eastAsia" w:ascii="仿宋_GB2312" w:hAnsi="仿宋_GB2312" w:eastAsia="仿宋_GB2312" w:cs="仿宋_GB2312"/>
          <w:b w:val="0"/>
          <w:i w:val="0"/>
          <w:strike w:val="0"/>
          <w:color w:val="000000"/>
          <w:u w:val="none"/>
        </w:rPr>
      </w:pPr>
      <w:r>
        <w:rPr>
          <w:rFonts w:hint="eastAsia" w:ascii="仿宋_GB2312" w:hAnsi="仿宋_GB2312" w:eastAsia="仿宋_GB2312" w:cs="仿宋_GB2312"/>
          <w:b w:val="0"/>
          <w:i w:val="0"/>
          <w:strike w:val="0"/>
          <w:color w:val="000000"/>
          <w:u w:val="none"/>
        </w:rPr>
        <w:t>如不服本判决，可在判决书送达之日起十五日内，向本院递交上诉状，并按对方当事人的人数提出副本，上诉于浙江省高级人民法院。</w:t>
      </w:r>
    </w:p>
    <w:p>
      <w:pPr>
        <w:spacing w:before="960" w:beforeLines="400" w:line="720" w:lineRule="exact"/>
        <w:ind w:right="960" w:rightChars="300"/>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rPr>
        <w:t>审　　判　　长　　　</w:t>
      </w:r>
      <w:r>
        <w:rPr>
          <w:rFonts w:hint="eastAsia" w:ascii="仿宋_GB2312" w:hAnsi="仿宋_GB2312" w:eastAsia="仿宋_GB2312" w:cs="仿宋_GB2312"/>
          <w:kern w:val="0"/>
          <w:sz w:val="32"/>
          <w:szCs w:val="32"/>
          <w:lang w:eastAsia="zh-CN"/>
        </w:rPr>
        <w:t>胡</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lang w:eastAsia="zh-CN"/>
        </w:rPr>
        <w:t>斌</w:t>
      </w:r>
      <w:r>
        <w:rPr>
          <w:rFonts w:hint="eastAsia" w:ascii="仿宋_GB2312" w:hAnsi="仿宋_GB2312" w:eastAsia="仿宋_GB2312" w:cs="仿宋_GB2312"/>
          <w:kern w:val="0"/>
          <w:sz w:val="32"/>
          <w:szCs w:val="32"/>
        </w:rPr>
        <w:br w:type="textWrapping"/>
      </w:r>
      <w:r>
        <w:rPr>
          <w:rFonts w:hint="eastAsia" w:ascii="仿宋_GB2312" w:hAnsi="仿宋_GB2312" w:eastAsia="仿宋_GB2312" w:cs="仿宋_GB2312"/>
          <w:kern w:val="0"/>
          <w:sz w:val="32"/>
          <w:szCs w:val="32"/>
          <w:lang w:eastAsia="zh-CN"/>
        </w:rPr>
        <w:t>人 民 陪 审 员</w:t>
      </w:r>
      <w:r>
        <w:rPr>
          <w:rFonts w:hint="eastAsia" w:ascii="仿宋_GB2312" w:hAnsi="仿宋_GB2312" w:eastAsia="仿宋_GB2312" w:cs="仿宋_GB2312"/>
          <w:kern w:val="0"/>
          <w:sz w:val="32"/>
          <w:szCs w:val="32"/>
        </w:rPr>
        <w:t>　　　</w:t>
      </w:r>
      <w:r>
        <w:rPr>
          <w:rFonts w:hint="eastAsia" w:ascii="仿宋_GB2312" w:hAnsi="仿宋_GB2312" w:cs="仿宋_GB2312"/>
          <w:kern w:val="0"/>
          <w:sz w:val="32"/>
          <w:szCs w:val="32"/>
          <w:lang w:eastAsia="zh-CN"/>
        </w:rPr>
        <w:t>卢显国</w:t>
      </w:r>
      <w:r>
        <w:rPr>
          <w:rFonts w:hint="eastAsia" w:ascii="仿宋_GB2312" w:hAnsi="仿宋_GB2312" w:eastAsia="仿宋_GB2312" w:cs="仿宋_GB2312"/>
          <w:kern w:val="0"/>
          <w:sz w:val="32"/>
          <w:szCs w:val="32"/>
        </w:rPr>
        <w:br w:type="textWrapping"/>
      </w:r>
      <w:r>
        <w:rPr>
          <w:rFonts w:hint="eastAsia" w:ascii="仿宋_GB2312" w:hAnsi="仿宋_GB2312" w:eastAsia="仿宋_GB2312" w:cs="仿宋_GB2312"/>
          <w:kern w:val="0"/>
          <w:sz w:val="32"/>
          <w:szCs w:val="32"/>
        </w:rPr>
        <w:t>人 民 陪 审 员　　　</w:t>
      </w:r>
      <w:r>
        <w:rPr>
          <w:rFonts w:hint="eastAsia" w:ascii="仿宋_GB2312" w:hAnsi="仿宋_GB2312" w:cs="仿宋_GB2312"/>
          <w:kern w:val="0"/>
          <w:sz w:val="32"/>
          <w:szCs w:val="32"/>
          <w:lang w:eastAsia="zh-CN"/>
        </w:rPr>
        <w:t>陈飞跃</w:t>
      </w:r>
    </w:p>
    <w:p>
      <w:pPr>
        <w:keepNext/>
        <w:keepLines w:val="0"/>
        <w:widowControl w:val="0"/>
        <w:spacing w:before="4250" w:beforeLines="800" w:after="0" w:afterLines="100" w:line="560" w:lineRule="exact"/>
        <w:ind w:right="960" w:rightChars="300"/>
        <w:jc w:val="right"/>
        <w:rPr>
          <w:rFonts w:hint="eastAsia" w:ascii="仿宋_GB2312" w:hAnsi="仿宋_GB2312" w:eastAsia="仿宋_GB2312" w:cs="仿宋_GB2312"/>
          <w:b w:val="0"/>
          <w:i w:val="0"/>
          <w:strike w:val="0"/>
          <w:color w:val="000000"/>
          <w:sz w:val="32"/>
          <w:u w:val="none"/>
        </w:rPr>
      </w:pPr>
      <w:r>
        <w:rPr>
          <w:rFonts w:hint="eastAsia" w:ascii="仿宋_GB2312" w:hAnsi="仿宋_GB2312" w:eastAsia="仿宋_GB2312" w:cs="仿宋_GB2312"/>
          <w:b w:val="0"/>
          <w:i w:val="0"/>
          <w:strike w:val="0"/>
          <w:color w:val="000000"/>
          <w:spacing w:val="0"/>
          <w:w w:val="100"/>
          <w:kern w:val="0"/>
          <w:sz w:val="32"/>
          <w:u w:val="none"/>
          <w:fitText w:val="3520" w:id="-75806403"/>
        </w:rPr>
        <w:t>二〇二四年五月</w:t>
      </w:r>
      <w:r>
        <w:rPr>
          <w:rFonts w:hint="eastAsia" w:ascii="仿宋_GB2312" w:hAnsi="仿宋_GB2312" w:cs="仿宋_GB2312"/>
          <w:b w:val="0"/>
          <w:i w:val="0"/>
          <w:strike w:val="0"/>
          <w:color w:val="000000"/>
          <w:spacing w:val="0"/>
          <w:w w:val="100"/>
          <w:kern w:val="0"/>
          <w:sz w:val="32"/>
          <w:u w:val="none"/>
          <w:fitText w:val="3520" w:id="-75806403"/>
          <w:lang w:eastAsia="zh-CN"/>
        </w:rPr>
        <w:t>二十九</w:t>
      </w:r>
      <w:r>
        <w:rPr>
          <w:rFonts w:hint="eastAsia" w:ascii="仿宋_GB2312" w:hAnsi="仿宋_GB2312" w:eastAsia="仿宋_GB2312" w:cs="仿宋_GB2312"/>
          <w:b w:val="0"/>
          <w:i w:val="0"/>
          <w:strike w:val="0"/>
          <w:color w:val="000000"/>
          <w:spacing w:val="0"/>
          <w:w w:val="100"/>
          <w:kern w:val="0"/>
          <w:sz w:val="32"/>
          <w:u w:val="none"/>
          <w:fitText w:val="3520" w:id="-75806403"/>
        </w:rPr>
        <w:t>日</w:t>
      </w:r>
    </w:p>
    <w:p>
      <w:pPr>
        <w:keepNext/>
        <w:keepLines w:val="0"/>
        <w:widowControl w:val="0"/>
        <w:suppressAutoHyphens/>
        <w:bidi w:val="0"/>
        <w:snapToGrid w:val="0"/>
        <w:spacing w:line="560" w:lineRule="exact"/>
        <w:ind w:firstLine="640" w:firstLineChars="200"/>
        <w:rPr>
          <w:rFonts w:hint="eastAsia" w:ascii="仿宋_GB2312" w:hAnsi="仿宋_GB2312" w:eastAsia="仿宋_GB2312" w:cs="仿宋_GB2312"/>
          <w:strike w:val="0"/>
          <w:sz w:val="32"/>
          <w:szCs w:val="32"/>
          <w:shd w:val="clear" w:color="auto" w:fill="auto"/>
        </w:rPr>
      </w:pPr>
      <w:r>
        <w:rPr>
          <w:rFonts w:hint="eastAsia" w:ascii="仿宋_GB2312" w:hAnsi="仿宋_GB2312" w:eastAsia="仿宋_GB2312" w:cs="仿宋_GB2312"/>
          <w:strike w:val="0"/>
          <w:sz w:val="32"/>
          <w:szCs w:val="32"/>
          <w:shd w:val="clear" w:color="auto" w:fill="auto"/>
        </w:rPr>
        <w:t>本件与原本核对无异</w:t>
      </w:r>
    </w:p>
    <w:p>
      <w:pPr>
        <w:keepNext/>
        <w:keepLines w:val="0"/>
        <w:widowControl w:val="0"/>
        <w:snapToGrid w:val="0"/>
        <w:spacing w:line="560" w:lineRule="exact"/>
        <w:ind w:right="960" w:rightChars="300"/>
        <w:jc w:val="right"/>
        <w:rPr>
          <w:rFonts w:hint="eastAsia" w:ascii="仿宋_GB2312" w:hAnsi="仿宋_GB2312" w:eastAsia="仿宋_GB2312" w:cs="仿宋_GB2312"/>
          <w:b w:val="0"/>
          <w:i w:val="0"/>
          <w:strike w:val="0"/>
          <w:color w:val="000000"/>
          <w:sz w:val="32"/>
          <w:u w:val="none"/>
          <w:shd w:val="clear" w:color="auto" w:fill="auto"/>
          <w:lang w:eastAsia="zh-CN"/>
        </w:rPr>
      </w:pPr>
      <w:r>
        <w:rPr>
          <w:rFonts w:hint="eastAsia" w:ascii="仿宋_GB2312" w:hAnsi="仿宋_GB2312" w:eastAsia="仿宋_GB2312" w:cs="仿宋_GB2312"/>
          <w:kern w:val="0"/>
          <w:sz w:val="32"/>
          <w:szCs w:val="32"/>
        </w:rPr>
        <w:t>代　书　记　员　　　王可可</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val="0"/>
        <w:spacing w:beforeAutospacing="0" w:afterAutospacing="0" w:line="560" w:lineRule="exact"/>
        <w:ind w:left="0" w:leftChars="0" w:right="0" w:rightChars="0" w:firstLine="640" w:firstLineChars="200"/>
        <w:jc w:val="both"/>
        <w:textAlignment w:val="auto"/>
        <w:outlineLvl w:val="9"/>
        <w:rPr>
          <w:rFonts w:hint="eastAsia" w:ascii="仿宋_GB2312" w:hAnsi="仿宋_GB2312" w:cs="仿宋_GB2312"/>
          <w:b w:val="0"/>
          <w:i w:val="0"/>
          <w:strike w:val="0"/>
          <w:color w:val="000000"/>
          <w:u w:val="none"/>
          <w:shd w:val="clear" w:color="auto" w:fill="auto"/>
          <w:lang w:val="en-US" w:eastAsia="zh-CN"/>
        </w:rPr>
      </w:pPr>
      <w:r>
        <w:rPr>
          <w:rFonts w:hint="eastAsia" w:ascii="仿宋_GB2312" w:hAnsi="仿宋_GB2312" w:cs="仿宋_GB2312"/>
          <w:b w:val="0"/>
          <w:i w:val="0"/>
          <w:strike w:val="0"/>
          <w:color w:val="000000"/>
          <w:u w:val="none"/>
          <w:shd w:val="clear" w:color="auto" w:fill="auto"/>
          <w:lang w:val="en-US" w:eastAsia="zh-CN"/>
        </w:rPr>
        <w:br w:type="page"/>
      </w:r>
      <w:r>
        <w:rPr>
          <w:rFonts w:hint="eastAsia" w:ascii="仿宋_GB2312" w:hAnsi="仿宋_GB2312" w:cs="仿宋_GB2312"/>
          <w:b w:val="0"/>
          <w:i w:val="0"/>
          <w:strike w:val="0"/>
          <w:color w:val="000000"/>
          <w:u w:val="none"/>
          <w:shd w:val="clear" w:color="auto" w:fill="auto"/>
          <w:lang w:val="en-US" w:eastAsia="zh-CN"/>
        </w:rPr>
        <w:t>附文：</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val="0"/>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6"/>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一、不履行裁判惩戒后果警示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val="0"/>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2"/>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1.【追究刑事责任告知】义务人拒不报告财产、虚假报告财产、违反限制消费令，义务人或其他相关人员拒不腾退涉案房屋、土地，或具有非法处置查封、扣押、冻结的财产、虚假诉讼、拒不交出执行标的或财产等抗拒执行行为的，法院将视情予以罚款、拘留；情节严重的，移送公安机关追究刑事责任。权利人在一定条件下，可以自诉追究行为人的刑事责任。</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val="0"/>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2"/>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2．【报告财产义务、拒不履行后果告知】执行期间，义务人必须向执行法院如实报告财产，拒不报告又不履行的，法院将视情节轻重采取纳入失信名单、限制出入境、罚款、拘留等措施；义务人报告财产不实的，法院将予以罚款、拘留；单位为被执行人，可视情同时对该单位的法定代表人、主要负责人、影响债务履行的直接责任人员、实际控制人予以罚款、拘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val="0"/>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2"/>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3.【交付车辆义务告知】义务人应当将名下的车辆等动产移交执行法院。拒不移交的，法院将予以罚款、拘留；确有正当理由无法移交的，义务人应当向执行法院书面报告车辆等动产的权属和占有、使用等情况。</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val="0"/>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2"/>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4．【限制消费、强制执行措施告知】案件立案执行后，人民法院将对义务人采取限制高消费及非生活或者经营必需的有关消费措施（含禁止乘坐飞机、G字头高铁、在星级以上酒店消费、旅游度假、子女就读高收费私立学校等），并有权对义务人的财产采取查封、扣押、冻结、拍卖、变卖等强制性措施。</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val="0"/>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2"/>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5．【特殊身份执行措施告知】义务人具有中共党员、人大代表、政协委员、公职人员等特殊身份，执行立案后拒不履行义务的，人民法院将向其所在单位及纪律监察部门、组织人事部门通报失信行为，并严格采取惩戒、制裁措施。</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val="0"/>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2"/>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6．【迟延履行债务利息、执行费用告知】案件立案执行后，义务人除应当履行生效法律文书确定的债务外，还需加倍支付迟延履行期间的债务利息或迟延履行金，直至债务清偿完毕之日止，并应承担执行费和因执行程序产生的申请执行费、评估费、保管费等。</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val="0"/>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2"/>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7．【强制执行信用污点告知】义务人未在法律文书确定的期限内自动履行，一旦案件立案执行，义务人的被执行信息将成为信用污点，并被人民银行征信系统、各级信用信息平台记录在案。</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val="0"/>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6"/>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二、执行风险告知</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val="0"/>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2"/>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1．【申请保全、提供线索告知】权利人在诉讼过程中可以申请对义务人的财产采取保全措施，并尽可能地调查了解义务人的财产状况以及下落情况，积极向法院提供义务人的财产、下落线索，以提高财产保全和送达效率，提升生效法律文书的实际执行效果。</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val="0"/>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2"/>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2．【申请破产权利告知】权利人发现企业法人不能清偿到期债务，且资产不足以清偿全部债务或者明显缺乏清偿能力的，可以直接向企业住所地法院提出破产重整或者破产清算的申请。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val="0"/>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2"/>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3．【权利人申请执行期限告知】义务人未按期履行生效法律文书确定内容的，权利人应在法律文书生效之日或法律文书确定的履行期限届满之日起两年内向人民法院申请执行。</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val="0"/>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2"/>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4．【执行不能风险告知】申请执行具有执行风险，权利人应当有执行风险意识。人民法院依照法定程序执行，如义务人已丧失履行法律文书确定义务的能力，且权利人又无法对义务人进行财产举证，将可能导致案件无法执行到位。这种后果是法院与权利人都不愿意发生的，但这是当事人商业风险、交易风险在执行阶段的继续，权利人应知悉并理解此类执行不能的风险。</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val="0"/>
        <w:spacing w:beforeAutospacing="0" w:afterAutospacing="0" w:line="560" w:lineRule="exact"/>
        <w:ind w:left="0" w:leftChars="0" w:right="0" w:rightChars="0" w:firstLine="640" w:firstLineChars="200"/>
        <w:jc w:val="both"/>
        <w:textAlignment w:val="auto"/>
        <w:outlineLvl w:val="9"/>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szCs w:val="32"/>
          <w:u w:val="none"/>
          <w:shd w:val="clear" w:color="auto" w:fill="auto"/>
          <w:lang w:eastAsia="zh-CN"/>
        </w:rPr>
      </w:pPr>
      <w:r>
        <w:rPr>
          <w:rFonts w:hint="eastAsia" w:ascii="仿宋_GB2312" w:hAnsi="宋体" w:eastAsia="仿宋_GB2312"/>
          <w:b w:val="0"/>
          <w:i w:val="0"/>
          <w:caps w:val="0"/>
          <w:smallCaps w:val="0"/>
          <w:strike w:val="0"/>
          <w:dstrike w:val="0"/>
          <w:outline w:val="0"/>
          <w:shadow w:val="0"/>
          <w:emboss w:val="0"/>
          <w:imprint w:val="0"/>
          <w:snapToGrid/>
          <w:vanish w:val="0"/>
          <w:spacing w:val="0"/>
          <w:w w:val="100"/>
          <w:kern w:val="0"/>
          <w:position w:val="0"/>
          <w:sz w:val="32"/>
          <w:u w:val="none"/>
          <w:shd w:val="clear" w:color="auto" w:fill="auto"/>
          <w:lang w:eastAsia="zh-CN"/>
        </w:rPr>
        <w:t>注：义务人是指应当履行生效法律文书内容的债务人、被执行人；权利人是指享有生效法律文书赋予权利的债权人、申请执行人。</w:t>
      </w:r>
    </w:p>
    <w:sectPr>
      <w:headerReference r:id="rId3" w:type="default"/>
      <w:footerReference r:id="rId5" w:type="default"/>
      <w:headerReference r:id="rId4" w:type="even"/>
      <w:footerReference r:id="rId6" w:type="even"/>
      <w:pgSz w:w="11907" w:h="16839"/>
      <w:pgMar w:top="2041" w:right="1531" w:bottom="2041" w:left="1531" w:header="1361" w:footer="1361" w:gutter="0"/>
      <w:lnNumType w:countBy="0"/>
      <w:pgNumType w:fmt="numberInDash" w:start="1"/>
      <w:cols w:space="720" w:num="1"/>
      <w:rtlGutter w:val="0"/>
      <w:docGrid w:linePitch="5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pBdr>
        <w:top w:val="none" w:color="auto" w:sz="0" w:space="0"/>
        <w:left w:val="none" w:color="auto" w:sz="0" w:space="0"/>
        <w:bottom w:val="none" w:color="auto" w:sz="0" w:space="0"/>
        <w:right w:val="none" w:color="auto" w:sz="0" w:space="0"/>
        <w:between w:val="none" w:color="auto" w:sz="0" w:space="0"/>
      </w:pBdr>
      <w:spacing w:after="0" w:afterLines="0"/>
      <w:rPr>
        <w:rFonts w:hint="eastAsia" w:ascii="宋体" w:hAnsi="宋体" w:eastAsia="宋体" w:cs="宋体"/>
        <w:sz w:val="28"/>
      </w:rPr>
    </w:pPr>
    <w:r>
      <w:rPr>
        <w:rFonts w:hint="eastAsia" w:ascii="宋体" w:hAnsi="宋体" w:eastAsia="宋体" w:cs="宋体"/>
        <w:sz w:val="28"/>
      </w:rPr>
      <w:fldChar w:fldCharType="begin"/>
    </w:r>
    <w:r>
      <w:rPr>
        <w:rFonts w:hint="eastAsia" w:ascii="宋体" w:hAnsi="宋体" w:eastAsia="宋体" w:cs="宋体"/>
        <w:sz w:val="28"/>
      </w:rPr>
      <w:instrText xml:space="preserve"> PAGE  </w:instrText>
    </w:r>
    <w:r>
      <w:rPr>
        <w:rFonts w:hint="eastAsia" w:ascii="宋体" w:hAnsi="宋体" w:eastAsia="宋体" w:cs="宋体"/>
        <w:sz w:val="28"/>
      </w:rPr>
      <w:fldChar w:fldCharType="separate"/>
    </w:r>
    <w:r>
      <w:rPr>
        <w:rFonts w:hint="eastAsia" w:ascii="宋体" w:hAnsi="宋体" w:eastAsia="宋体" w:cs="宋体"/>
        <w:sz w:val="28"/>
      </w:rPr>
      <w:t>- 1 -</w:t>
    </w:r>
    <w:r>
      <w:rPr>
        <w:rFonts w:hint="eastAsia" w:ascii="宋体" w:hAnsi="宋体" w:eastAsia="宋体" w:cs="宋体"/>
        <w:sz w:val="28"/>
      </w:rPr>
      <w:fldChar w:fldCharType="end"/>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tabs>
        <w:tab w:val="center" w:pos="4153"/>
        <w:tab w:val="right" w:pos="8306"/>
      </w:tabs>
      <w:suppressAutoHyphens w:val="0"/>
      <w:kinsoku/>
      <w:wordWrap/>
      <w:overflowPunct/>
      <w:topLinePunct w:val="0"/>
      <w:autoSpaceDE/>
      <w:autoSpaceDN/>
      <w:adjustRightInd/>
      <w:snapToGrid w:val="0"/>
      <w:spacing w:beforeAutospacing="0" w:afterAutospacing="0" w:line="240" w:lineRule="auto"/>
      <w:ind w:left="0" w:leftChars="0" w:right="640" w:rightChars="200" w:firstLine="360" w:firstLineChars="0"/>
      <w:jc w:val="right"/>
      <w:textAlignment w:val="auto"/>
      <w:outlineLvl w:val="9"/>
      <w:rPr>
        <w:rFonts w:hint="eastAsia" w:ascii="宋体" w:hAnsi="宋体" w:eastAsia="宋体" w:cs="宋体"/>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pBdr>
        <w:top w:val="none" w:color="auto" w:sz="0" w:space="0"/>
        <w:left w:val="none" w:color="auto" w:sz="0" w:space="0"/>
        <w:bottom w:val="none" w:color="auto" w:sz="0" w:space="0"/>
        <w:right w:val="none" w:color="auto" w:sz="0" w:space="0"/>
        <w:between w:val="none" w:color="auto" w:sz="0" w:space="0"/>
      </w:pBdr>
      <w:spacing w:after="0" w:afterLines="0"/>
      <w:rPr>
        <w:rFonts w:hint="eastAsia" w:ascii="宋体" w:hAnsi="宋体" w:eastAsia="宋体" w:cs="宋体"/>
        <w:sz w:val="28"/>
      </w:rPr>
    </w:pPr>
    <w:r>
      <w:rPr>
        <w:rFonts w:hint="eastAsia" w:ascii="宋体" w:hAnsi="宋体" w:eastAsia="宋体" w:cs="宋体"/>
        <w:sz w:val="28"/>
      </w:rPr>
      <w:fldChar w:fldCharType="begin"/>
    </w:r>
    <w:r>
      <w:rPr>
        <w:rFonts w:hint="eastAsia" w:ascii="宋体" w:hAnsi="宋体" w:eastAsia="宋体" w:cs="宋体"/>
        <w:sz w:val="28"/>
      </w:rPr>
      <w:instrText xml:space="preserve"> PAGE  </w:instrText>
    </w:r>
    <w:r>
      <w:rPr>
        <w:rFonts w:hint="eastAsia" w:ascii="宋体" w:hAnsi="宋体" w:eastAsia="宋体" w:cs="宋体"/>
        <w:sz w:val="28"/>
      </w:rPr>
      <w:fldChar w:fldCharType="separate"/>
    </w:r>
    <w:r>
      <w:rPr>
        <w:rFonts w:hint="eastAsia" w:ascii="宋体" w:hAnsi="宋体" w:eastAsia="宋体" w:cs="宋体"/>
        <w:sz w:val="28"/>
      </w:rPr>
      <w:t>- 2 -</w:t>
    </w:r>
    <w:r>
      <w:rPr>
        <w:rFonts w:hint="eastAsia" w:ascii="宋体" w:hAnsi="宋体" w:eastAsia="宋体" w:cs="宋体"/>
        <w:sz w:val="28"/>
      </w:rPr>
      <w:fldChar w:fldCharType="end"/>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tabs>
        <w:tab w:val="center" w:pos="4153"/>
        <w:tab w:val="right" w:pos="8306"/>
      </w:tabs>
      <w:suppressAutoHyphens w:val="0"/>
      <w:kinsoku/>
      <w:wordWrap/>
      <w:overflowPunct/>
      <w:topLinePunct w:val="0"/>
      <w:autoSpaceDE/>
      <w:autoSpaceDN/>
      <w:adjustRightInd/>
      <w:snapToGrid w:val="0"/>
      <w:spacing w:beforeAutospacing="0" w:afterAutospacing="0" w:line="240" w:lineRule="auto"/>
      <w:ind w:left="640" w:leftChars="200" w:right="360" w:rightChars="0" w:firstLine="360" w:firstLineChars="0"/>
      <w:jc w:val="left"/>
      <w:textAlignment w:val="auto"/>
      <w:outlineLvl w:val="9"/>
      <w:rPr>
        <w:rFonts w:hint="eastAsia" w:ascii="宋体" w:hAnsi="宋体" w:eastAsia="宋体" w:cs="宋体"/>
        <w:sz w:val="28"/>
      </w:rPr>
    </w:pP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adjustRightInd/>
      <w:snapToGrid w:val="0"/>
      <w:spacing w:beforeAutospacing="0" w:afterAutospacing="0" w:line="240" w:lineRule="auto"/>
      <w:ind w:left="640" w:leftChars="200" w:right="0" w:rightChars="0" w:firstLine="0" w:firstLineChars="0"/>
      <w:jc w:val="left"/>
      <w:textAlignment w:val="auto"/>
      <w:outlineLvl w:val="9"/>
      <w:rPr>
        <w:rFonts w:hint="eastAsia" w:ascii="宋体" w:hAnsi="宋体" w:eastAsia="宋体" w:cs="宋体"/>
        <w:sz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suppressLineNumbers w:val="0"/>
      <w:pBdr>
        <w:top w:val="none" w:color="auto" w:sz="0" w:space="0"/>
        <w:left w:val="none" w:color="auto" w:sz="0" w:space="0"/>
        <w:bottom w:val="none" w:color="auto" w:sz="0" w:space="1"/>
        <w:right w:val="none" w:color="auto" w:sz="0" w:space="0"/>
      </w:pBdr>
      <w:shd w:val="clear" w:color="auto" w:fill="auto"/>
      <w:suppressAutoHyphens w:val="0"/>
      <w:kinsoku/>
      <w:wordWrap/>
      <w:overflowPunct/>
      <w:topLinePunct w:val="0"/>
      <w:autoSpaceDE/>
      <w:autoSpaceDN/>
      <w:adjustRightInd/>
      <w:snapToGrid w:val="0"/>
      <w:spacing w:beforeAutospacing="0" w:afterAutospacing="0" w:line="240" w:lineRule="auto"/>
      <w:ind w:left="0" w:leftChars="0" w:right="0" w:rightChars="0" w:firstLine="0" w:firstLineChars="0"/>
      <w:jc w:val="center"/>
      <w:textAlignment w:val="auto"/>
      <w:outlineLvl w:val="9"/>
      <w:rPr>
        <w:rFonts w:hint="default" w:ascii="Calibri" w:hAnsi="Calibri" w:eastAsia="宋体" w:cs="Calibri"/>
        <w:b w:val="0"/>
        <w:i w:val="0"/>
        <w:caps w:val="0"/>
        <w:smallCaps w:val="0"/>
        <w:strike w:val="0"/>
        <w:dstrike w:val="0"/>
        <w:outline w:val="0"/>
        <w:shadow w:val="0"/>
        <w:emboss w:val="0"/>
        <w:imprint w:val="0"/>
        <w:snapToGrid/>
        <w:vanish w:val="0"/>
        <w:spacing w:val="0"/>
        <w:w w:val="100"/>
        <w:kern w:val="2"/>
        <w:position w:val="0"/>
        <w:sz w:val="18"/>
        <w:u w:val="none"/>
        <w:shd w:val="clear" w:color="auto" w:fill="aut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pBdr>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hyphenationZone w:val="360"/>
  <w:evenAndOddHeaders w:val="true"/>
  <w:drawingGridHorizontalSpacing w:val="320"/>
  <w:drawingGridVerticalSpacing w:val="265"/>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xMDdhMmNkNDY2YzAzMTMxM2IyNjZiZWY2MGQzY2EifQ=="/>
  </w:docVars>
  <w:rsids>
    <w:rsidRoot w:val="005E0E62"/>
    <w:rsid w:val="00090E63"/>
    <w:rsid w:val="000C14B6"/>
    <w:rsid w:val="000D5BD1"/>
    <w:rsid w:val="001C595F"/>
    <w:rsid w:val="0026517B"/>
    <w:rsid w:val="002B7BB3"/>
    <w:rsid w:val="0030292E"/>
    <w:rsid w:val="00322A44"/>
    <w:rsid w:val="003E1113"/>
    <w:rsid w:val="00482A32"/>
    <w:rsid w:val="00551933"/>
    <w:rsid w:val="005E0E62"/>
    <w:rsid w:val="0062246D"/>
    <w:rsid w:val="006D0C7B"/>
    <w:rsid w:val="007C6164"/>
    <w:rsid w:val="00802798"/>
    <w:rsid w:val="00825018"/>
    <w:rsid w:val="0083782A"/>
    <w:rsid w:val="009E4ACA"/>
    <w:rsid w:val="00AA305A"/>
    <w:rsid w:val="00AA526E"/>
    <w:rsid w:val="00B93BC6"/>
    <w:rsid w:val="00BD3A5E"/>
    <w:rsid w:val="00C1495A"/>
    <w:rsid w:val="00D951D1"/>
    <w:rsid w:val="00DA6A08"/>
    <w:rsid w:val="00DD1B8E"/>
    <w:rsid w:val="00E854E1"/>
    <w:rsid w:val="00E94258"/>
    <w:rsid w:val="00F637F5"/>
    <w:rsid w:val="04173574"/>
    <w:rsid w:val="08BE5171"/>
    <w:rsid w:val="09ED2654"/>
    <w:rsid w:val="0BCB77A6"/>
    <w:rsid w:val="0E8B7061"/>
    <w:rsid w:val="12A3505C"/>
    <w:rsid w:val="14321BD6"/>
    <w:rsid w:val="16EC6604"/>
    <w:rsid w:val="1F19142C"/>
    <w:rsid w:val="1FDD7D17"/>
    <w:rsid w:val="1FF6514C"/>
    <w:rsid w:val="220F0A9F"/>
    <w:rsid w:val="24823534"/>
    <w:rsid w:val="29BD728F"/>
    <w:rsid w:val="2A2878AC"/>
    <w:rsid w:val="2DF256B9"/>
    <w:rsid w:val="2F6D0593"/>
    <w:rsid w:val="33780466"/>
    <w:rsid w:val="33F81F97"/>
    <w:rsid w:val="3BCBEE84"/>
    <w:rsid w:val="3BFCD9FA"/>
    <w:rsid w:val="3DB6A36A"/>
    <w:rsid w:val="3EFF35BE"/>
    <w:rsid w:val="3FB43C12"/>
    <w:rsid w:val="3FF76215"/>
    <w:rsid w:val="3FF9369F"/>
    <w:rsid w:val="455671E0"/>
    <w:rsid w:val="45B72B94"/>
    <w:rsid w:val="46DF2225"/>
    <w:rsid w:val="4B7F1F33"/>
    <w:rsid w:val="4B912C5D"/>
    <w:rsid w:val="4BBD8A53"/>
    <w:rsid w:val="4C3749CE"/>
    <w:rsid w:val="4CEF6C4A"/>
    <w:rsid w:val="4E25B900"/>
    <w:rsid w:val="4FDB73B4"/>
    <w:rsid w:val="511C2CAB"/>
    <w:rsid w:val="5455766A"/>
    <w:rsid w:val="578FDF1F"/>
    <w:rsid w:val="58DF4E98"/>
    <w:rsid w:val="59AE7402"/>
    <w:rsid w:val="5A73E6B8"/>
    <w:rsid w:val="5BDEA102"/>
    <w:rsid w:val="5D7FB00C"/>
    <w:rsid w:val="5DAFCC35"/>
    <w:rsid w:val="5DD86776"/>
    <w:rsid w:val="5DDD32EB"/>
    <w:rsid w:val="5E2F5A44"/>
    <w:rsid w:val="63631472"/>
    <w:rsid w:val="63F7D53E"/>
    <w:rsid w:val="67391959"/>
    <w:rsid w:val="67F95CB4"/>
    <w:rsid w:val="67FF3423"/>
    <w:rsid w:val="69F7B085"/>
    <w:rsid w:val="6BF50943"/>
    <w:rsid w:val="6DD9D97D"/>
    <w:rsid w:val="6E9D3E75"/>
    <w:rsid w:val="6EFF6173"/>
    <w:rsid w:val="6FB97EEE"/>
    <w:rsid w:val="6FD72602"/>
    <w:rsid w:val="6FFC55C0"/>
    <w:rsid w:val="7067823D"/>
    <w:rsid w:val="717C3B82"/>
    <w:rsid w:val="75FC850B"/>
    <w:rsid w:val="77354090"/>
    <w:rsid w:val="77DFF52F"/>
    <w:rsid w:val="77F34F0B"/>
    <w:rsid w:val="785FF497"/>
    <w:rsid w:val="7875845B"/>
    <w:rsid w:val="78E7019C"/>
    <w:rsid w:val="79EC784E"/>
    <w:rsid w:val="79FFE727"/>
    <w:rsid w:val="7A74F921"/>
    <w:rsid w:val="7ABFDACA"/>
    <w:rsid w:val="7B5961D9"/>
    <w:rsid w:val="7B7DD81D"/>
    <w:rsid w:val="7BBD9031"/>
    <w:rsid w:val="7BCF27C4"/>
    <w:rsid w:val="7BDD57A3"/>
    <w:rsid w:val="7BDD9C28"/>
    <w:rsid w:val="7BFB4B9E"/>
    <w:rsid w:val="7BFBEFB2"/>
    <w:rsid w:val="7BFD00BC"/>
    <w:rsid w:val="7BFE5701"/>
    <w:rsid w:val="7BFF2A07"/>
    <w:rsid w:val="7BFFC558"/>
    <w:rsid w:val="7CA9F771"/>
    <w:rsid w:val="7D7E94AD"/>
    <w:rsid w:val="7DD7994A"/>
    <w:rsid w:val="7DE9508C"/>
    <w:rsid w:val="7EFBE774"/>
    <w:rsid w:val="7F4094FA"/>
    <w:rsid w:val="7F5FFC5E"/>
    <w:rsid w:val="7F77CF6D"/>
    <w:rsid w:val="7F7905B3"/>
    <w:rsid w:val="7FBF42C3"/>
    <w:rsid w:val="7FE76121"/>
    <w:rsid w:val="7FEA0F15"/>
    <w:rsid w:val="7FED65A2"/>
    <w:rsid w:val="7FF6D31E"/>
    <w:rsid w:val="7FFB430C"/>
    <w:rsid w:val="7FFF386A"/>
    <w:rsid w:val="7FFFAB8C"/>
    <w:rsid w:val="97EE90FB"/>
    <w:rsid w:val="97FC9B79"/>
    <w:rsid w:val="9D4B5CFF"/>
    <w:rsid w:val="A3D72B82"/>
    <w:rsid w:val="ACF76308"/>
    <w:rsid w:val="AD73F5B6"/>
    <w:rsid w:val="AFF043D6"/>
    <w:rsid w:val="AFFDF2C3"/>
    <w:rsid w:val="B7D1DF31"/>
    <w:rsid w:val="BA7B23C6"/>
    <w:rsid w:val="BACF02D3"/>
    <w:rsid w:val="BD0E9CB1"/>
    <w:rsid w:val="BDCBB168"/>
    <w:rsid w:val="BDF772F4"/>
    <w:rsid w:val="BE4EC494"/>
    <w:rsid w:val="BEEB7CEA"/>
    <w:rsid w:val="BF3B12C7"/>
    <w:rsid w:val="BF9DAC7E"/>
    <w:rsid w:val="BFD5A600"/>
    <w:rsid w:val="BFED85B7"/>
    <w:rsid w:val="BFF5CE0F"/>
    <w:rsid w:val="BFF71EB3"/>
    <w:rsid w:val="BFFEC8A5"/>
    <w:rsid w:val="CFFEC74E"/>
    <w:rsid w:val="CFFF7263"/>
    <w:rsid w:val="CFFF76BE"/>
    <w:rsid w:val="D5FAC0B7"/>
    <w:rsid w:val="D777920D"/>
    <w:rsid w:val="DA2CC307"/>
    <w:rsid w:val="DD9FE6BF"/>
    <w:rsid w:val="DDE57274"/>
    <w:rsid w:val="DE9FE31B"/>
    <w:rsid w:val="DEF3A7F8"/>
    <w:rsid w:val="DF39DF18"/>
    <w:rsid w:val="DFDDBCF8"/>
    <w:rsid w:val="E3594ECD"/>
    <w:rsid w:val="E39D4376"/>
    <w:rsid w:val="E533D8E3"/>
    <w:rsid w:val="E56B0B39"/>
    <w:rsid w:val="E5BF7224"/>
    <w:rsid w:val="E76FDA8A"/>
    <w:rsid w:val="E77D28CD"/>
    <w:rsid w:val="E7FB400B"/>
    <w:rsid w:val="EBFE9F4F"/>
    <w:rsid w:val="ECF70043"/>
    <w:rsid w:val="ED1B314B"/>
    <w:rsid w:val="ED3D1F01"/>
    <w:rsid w:val="EDFF35EA"/>
    <w:rsid w:val="EE7F42F7"/>
    <w:rsid w:val="EEDB30A0"/>
    <w:rsid w:val="EFAB7EB0"/>
    <w:rsid w:val="EFB385D4"/>
    <w:rsid w:val="EFEF3A79"/>
    <w:rsid w:val="EFFE239D"/>
    <w:rsid w:val="F3D91443"/>
    <w:rsid w:val="F3F36DBD"/>
    <w:rsid w:val="F5745C60"/>
    <w:rsid w:val="F5DB8C31"/>
    <w:rsid w:val="F5DFB8DA"/>
    <w:rsid w:val="F5E63B1D"/>
    <w:rsid w:val="F5F37B6D"/>
    <w:rsid w:val="F6F9167F"/>
    <w:rsid w:val="F76E2E8B"/>
    <w:rsid w:val="F77BC3B0"/>
    <w:rsid w:val="F77BC724"/>
    <w:rsid w:val="F7A65670"/>
    <w:rsid w:val="F7C47275"/>
    <w:rsid w:val="F7EBE327"/>
    <w:rsid w:val="F7F6EE4B"/>
    <w:rsid w:val="F7FD3C7A"/>
    <w:rsid w:val="F7FEACA1"/>
    <w:rsid w:val="F8BFA988"/>
    <w:rsid w:val="F9DACD54"/>
    <w:rsid w:val="F9EF94B2"/>
    <w:rsid w:val="FA4F69CF"/>
    <w:rsid w:val="FBBE733E"/>
    <w:rsid w:val="FBD70463"/>
    <w:rsid w:val="FDBD1413"/>
    <w:rsid w:val="FE1F3652"/>
    <w:rsid w:val="FE734873"/>
    <w:rsid w:val="FE7F1D16"/>
    <w:rsid w:val="FE9E824C"/>
    <w:rsid w:val="FEB7AA6B"/>
    <w:rsid w:val="FEFDDF71"/>
    <w:rsid w:val="FEFF201C"/>
    <w:rsid w:val="FEFF3235"/>
    <w:rsid w:val="FF28BC82"/>
    <w:rsid w:val="FF97EF53"/>
    <w:rsid w:val="FFBFA641"/>
    <w:rsid w:val="FFD5EFF2"/>
    <w:rsid w:val="FFE7F505"/>
    <w:rsid w:val="FFEBE4A9"/>
    <w:rsid w:val="FFEE3CE5"/>
    <w:rsid w:val="FFF75F3A"/>
    <w:rsid w:val="FFFD6C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0"/>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alloon Text"/>
    <w:basedOn w:val="1"/>
    <w:link w:val="11"/>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rPr>
      <w:sz w:val="24"/>
    </w:rPr>
  </w:style>
  <w:style w:type="character" w:styleId="9">
    <w:name w:val="page number"/>
    <w:basedOn w:val="8"/>
    <w:unhideWhenUsed/>
    <w:qFormat/>
    <w:uiPriority w:val="99"/>
  </w:style>
  <w:style w:type="character" w:styleId="10">
    <w:name w:val="Hyperlink"/>
    <w:basedOn w:val="8"/>
    <w:unhideWhenUsed/>
    <w:qFormat/>
    <w:uiPriority w:val="99"/>
    <w:rPr>
      <w:color w:val="0000FF"/>
      <w:u w:val="single"/>
    </w:rPr>
  </w:style>
  <w:style w:type="character" w:customStyle="1" w:styleId="11">
    <w:name w:val="批注框文本 Char"/>
    <w:basedOn w:val="8"/>
    <w:link w:val="3"/>
    <w:semiHidden/>
    <w:qFormat/>
    <w:uiPriority w:val="99"/>
    <w:rPr>
      <w:rFonts w:ascii="Times New Roman" w:hAnsi="Times New Roman" w:eastAsia="仿宋_GB2312" w:cs="Times New Roman"/>
      <w:sz w:val="18"/>
      <w:szCs w:val="18"/>
    </w:rPr>
  </w:style>
  <w:style w:type="character" w:customStyle="1" w:styleId="12">
    <w:name w:val="页脚 Char"/>
    <w:basedOn w:val="8"/>
    <w:link w:val="4"/>
    <w:qFormat/>
    <w:uiPriority w:val="99"/>
    <w:rPr>
      <w:rFonts w:ascii="Times New Roman" w:hAnsi="Times New Roman" w:eastAsia="仿宋_GB2312" w:cs="Times New Roman"/>
      <w:sz w:val="18"/>
      <w:szCs w:val="18"/>
    </w:rPr>
  </w:style>
  <w:style w:type="character" w:customStyle="1" w:styleId="13">
    <w:name w:val="页眉 Char"/>
    <w:basedOn w:val="8"/>
    <w:link w:val="5"/>
    <w:qFormat/>
    <w:uiPriority w:val="99"/>
    <w:rPr>
      <w:rFonts w:ascii="Times New Roman" w:hAnsi="Times New Roman" w:eastAsia="仿宋_GB2312" w:cs="Times New Roman"/>
      <w:sz w:val="18"/>
      <w:szCs w:val="18"/>
    </w:rPr>
  </w:style>
  <w:style w:type="character" w:customStyle="1" w:styleId="14">
    <w:name w:val="c_tiao1"/>
    <w:basedOn w:val="8"/>
    <w:qFormat/>
    <w:uiPriority w:val="0"/>
    <w:rPr>
      <w:rFonts w:ascii="宋体" w:hAnsi="宋体" w:eastAsia="宋体" w:cs="宋体"/>
      <w:b/>
      <w:sz w:val="24"/>
      <w:szCs w:val="24"/>
    </w:rPr>
  </w:style>
  <w:style w:type="paragraph" w:customStyle="1" w:styleId="15">
    <w:name w:val="p0"/>
    <w:basedOn w:val="1"/>
    <w:qFormat/>
    <w:uiPriority w:val="0"/>
    <w:pPr>
      <w:widowControl/>
    </w:pPr>
    <w:rPr>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14</Pages>
  <Words>5242</Words>
  <Characters>5474</Characters>
  <Lines>16</Lines>
  <Paragraphs>4</Paragraphs>
  <TotalTime>36</TotalTime>
  <ScaleCrop>false</ScaleCrop>
  <LinksUpToDate>false</LinksUpToDate>
  <CharactersWithSpaces>5534</CharactersWithSpaces>
  <Application>WPS Office_11.8.2.10552_F1E327BC-269C-435d-A152-05C5408002CA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2021-01-09T19:43:00Z</dcterms:created>
  <dc:creator>AutoBVT</dc:creator>
  <cp:lastModifiedBy>greatwall</cp:lastModifiedBy>
  <cp:lastPrinted>2023-03-29T04:58:00Z</cp:lastPrinted>
  <dcterms:modified xsi:type="dcterms:W3CDTF">2026-06-12T10:46:58Z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2052-11.8.2.10552</vt:lpwstr>
  </property>
  <property fmtid="{D5CDD505-2E9C-101B-9397-08002B2CF9AE}" pid="3" name="ICV">
    <vt:lpwstr>155A91811545C5163C662A6AD7FEA376</vt:lpwstr>
  </property>
  <property fmtid="{D5CDD505-2E9C-101B-9397-08002B2CF9AE}" pid="4" name="bh">
    <vt:lpwstr>f39912d43b0c4da6af1f176a73657984</vt:lpwstr>
  </property>
  <property fmtid="{D5CDD505-2E9C-101B-9397-08002B2CF9AE}" pid="5" name="wsjc-ajbh">
    <vt:lpwstr>0</vt:lpwstr>
  </property>
</Properties>
</file>