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5F2FD">
      <w:pPr>
        <w:keepNext w:val="0"/>
        <w:keepLines w:val="0"/>
        <w:widowControl w:val="0"/>
        <w:suppressLineNumbers w:val="0"/>
        <w:suppressAutoHyphens/>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25" w:name="_GoBack"/>
      <w:bookmarkEnd w:id="25"/>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02E6C691">
      <w:pPr>
        <w:keepNext w:val="0"/>
        <w:keepLines w:val="0"/>
        <w:widowControl w:val="0"/>
        <w:suppressLineNumbers w:val="0"/>
        <w:suppressAutoHyphens/>
        <w:spacing w:before="0" w:beforeAutospacing="0" w:after="0" w:afterAutospacing="0" w:line="840" w:lineRule="exact"/>
        <w:ind w:left="-21" w:leftChars="-1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6867F681">
      <w:pPr>
        <w:keepNext w:val="0"/>
        <w:keepLines w:val="0"/>
        <w:widowControl w:val="0"/>
        <w:suppressLineNumbers w:val="0"/>
        <w:suppressAutoHyphens/>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68C1A66C">
      <w:pPr>
        <w:keepNext w:val="0"/>
        <w:keepLines w:val="0"/>
        <w:widowControl w:val="0"/>
        <w:suppressLineNumbers w:val="0"/>
        <w:suppressAutoHyphens/>
        <w:wordWrap w:val="0"/>
        <w:spacing w:before="0" w:beforeAutospacing="0" w:after="0" w:afterAutospacing="0" w:line="360" w:lineRule="exact"/>
        <w:ind w:left="0" w:right="0" w:firstLine="573"/>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74</w:t>
      </w:r>
      <w:r>
        <w:rPr>
          <w:rFonts w:hint="eastAsia" w:ascii="仿宋_GB2312" w:hAnsi="Times New Roman" w:eastAsia="仿宋_GB2312" w:cs="仿宋_GB2312"/>
          <w:kern w:val="2"/>
          <w:sz w:val="32"/>
          <w:szCs w:val="32"/>
          <w:lang w:val="en-US" w:eastAsia="zh-CN" w:bidi="ar"/>
        </w:rPr>
        <w:t>号</w:t>
      </w:r>
    </w:p>
    <w:p w14:paraId="4B3CC9B1">
      <w:pPr>
        <w:keepNext w:val="0"/>
        <w:keepLines w:val="0"/>
        <w:widowControl w:val="0"/>
        <w:suppressLineNumbers w:val="0"/>
        <w:suppressAutoHyphens/>
        <w:spacing w:before="0" w:beforeAutospacing="0" w:after="0" w:afterAutospacing="0" w:line="34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7CBFE3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上诉人（原审原告）：海宁市战某之体育文化有限公司，住所地浙江省嘉兴市海宁市。</w:t>
      </w:r>
    </w:p>
    <w:p w14:paraId="5E8E983E">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bookmarkStart w:id="0" w:name="Correction_0____2_0"/>
      <w:r>
        <w:rPr>
          <w:rFonts w:hint="eastAsia" w:ascii="仿宋_GB2312" w:hAnsi="Times New Roman" w:eastAsia="仿宋_GB2312" w:cs="仿宋_GB2312"/>
          <w:kern w:val="2"/>
          <w:sz w:val="32"/>
          <w:szCs w:val="32"/>
          <w:lang w:val="en-US" w:eastAsia="zh-CN" w:bidi="ar"/>
        </w:rPr>
        <w:t>被上诉人（原审</w:t>
      </w:r>
      <w:bookmarkEnd w:id="0"/>
      <w:r>
        <w:rPr>
          <w:rFonts w:hint="eastAsia" w:ascii="仿宋_GB2312" w:hAnsi="Times New Roman" w:eastAsia="仿宋_GB2312" w:cs="仿宋_GB2312"/>
          <w:kern w:val="2"/>
          <w:sz w:val="32"/>
          <w:szCs w:val="32"/>
          <w:lang w:val="en-US" w:eastAsia="zh-CN" w:bidi="ar"/>
        </w:rPr>
        <w:t>被告）：杭州百某文化创意有限公司，住所地浙江省杭州市上城区。</w:t>
      </w:r>
    </w:p>
    <w:p w14:paraId="55E2928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被上诉人（原审被告）：陈某，男，汉族，住湖北省广水市。</w:t>
      </w:r>
    </w:p>
    <w:p w14:paraId="4EBC5D81">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上诉人海宁市战某之体育文化有限公司（以下简称战某之公司）因与被上诉人杭州百某文化创意有限公司（以下简称百某公司）、陈某侵害外观设计专利权纠纷一案，不服浙江省杭州市中级人民法院（</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1639</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日立案受理后，依法组成合议庭，并</w:t>
      </w:r>
      <w:bookmarkStart w:id="1" w:name="WKJC_2c999f6095cb8b4b0195db6aa07831b4"/>
      <w:r>
        <w:rPr>
          <w:rFonts w:hint="eastAsia" w:ascii="仿宋_GB2312" w:hAnsi="Times New Roman" w:eastAsia="仿宋_GB2312" w:cs="仿宋_GB2312"/>
          <w:kern w:val="2"/>
          <w:sz w:val="32"/>
          <w:szCs w:val="32"/>
          <w:lang w:val="en-US" w:eastAsia="zh-CN" w:bidi="ar"/>
        </w:rPr>
        <w:t>于</w:t>
      </w:r>
      <w:bookmarkEnd w:id="1"/>
      <w:r>
        <w:rPr>
          <w:rFonts w:hint="eastAsia" w:ascii="仿宋_GB2312" w:hAnsi="Times New Roman" w:eastAsia="仿宋_GB2312" w:cs="仿宋_GB2312"/>
          <w:kern w:val="2"/>
          <w:sz w:val="32"/>
          <w:szCs w:val="32"/>
          <w:lang w:val="en-US" w:eastAsia="zh-CN" w:bidi="ar"/>
        </w:rPr>
        <w:t>同年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日公开开庭进行了审理。上诉人战某之公司的委托诉讼代理人，被上诉人百某公司、陈某的委托诉讼代理人到庭参加诉讼。本案现已审理终结。</w:t>
      </w:r>
    </w:p>
    <w:p w14:paraId="0BAB8102">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战某之公司上诉请求（当庭变更后）：撤销一审判决，改判百某公司、陈某：</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立即停止制造、销售、许诺销售侵害战某之公司专利号为</w:t>
      </w:r>
      <w:r>
        <w:rPr>
          <w:rFonts w:hint="default" w:ascii="Times New Roman" w:hAnsi="Times New Roman" w:eastAsia="仿宋_GB2312" w:cs="Times New Roman"/>
          <w:kern w:val="2"/>
          <w:sz w:val="32"/>
          <w:szCs w:val="32"/>
          <w:lang w:val="en-US" w:eastAsia="zh-CN" w:bidi="ar"/>
        </w:rPr>
        <w:t>ZL2022****0400.4</w:t>
      </w:r>
      <w:r>
        <w:rPr>
          <w:rFonts w:hint="eastAsia" w:ascii="仿宋_GB2312" w:hAnsi="Times New Roman" w:eastAsia="仿宋_GB2312" w:cs="仿宋_GB2312"/>
          <w:kern w:val="2"/>
          <w:sz w:val="32"/>
          <w:szCs w:val="32"/>
          <w:lang w:val="en-US" w:eastAsia="zh-CN" w:bidi="ar"/>
        </w:rPr>
        <w:t>的“服饰扣（双龙铊尾）”外观设计专利权产品的行为；</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赔偿战某之公司经济损失</w:t>
      </w:r>
      <w:r>
        <w:rPr>
          <w:rFonts w:hint="default" w:ascii="Times New Roman" w:hAnsi="Times New Roman" w:eastAsia="仿宋_GB2312" w:cs="Times New Roman"/>
          <w:kern w:val="2"/>
          <w:sz w:val="32"/>
          <w:szCs w:val="32"/>
          <w:lang w:val="en-US" w:eastAsia="zh-CN" w:bidi="ar"/>
        </w:rPr>
        <w:t>73697.7</w:t>
      </w:r>
      <w:r>
        <w:rPr>
          <w:rFonts w:hint="eastAsia" w:ascii="仿宋_GB2312" w:hAnsi="Times New Roman" w:eastAsia="仿宋_GB2312" w:cs="仿宋_GB2312"/>
          <w:kern w:val="2"/>
          <w:sz w:val="32"/>
          <w:szCs w:val="32"/>
          <w:lang w:val="en-US" w:eastAsia="zh-CN" w:bidi="ar"/>
        </w:rPr>
        <w:t>元并承担诉讼费用。事实和理由：（一）一审判决认定被诉侵权人提出的先用权抗辩成立错误。百某公司、陈某提供的某甲平台聊天记录所展示的服饰扣（即龙皮带头）产品开模日期为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其网店展示的甲胄无法早于该日期制造，故某丙平台销售订单展示内容与侵权产品无关；某乙平台视频展示的服饰扣模糊，无法确定与被诉侵权产品是否一致。百某公司、陈某一审提交的开模等证据均不能证明其在专利申请日之前，已经完成技术图纸、具备或者采购了制造被诉侵权产品的主要设备和原材料，其并未举证证明已经做好制造、使用的必要准备。（二）战某之公司法定代表人温某在某胄行业具有一定的影响力与知名度，陈某</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日与温某合资设立公司，后两人分开，温某分别于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日通过支付宝向陈某个人账户转账共计</w:t>
      </w:r>
      <w:r>
        <w:rPr>
          <w:rFonts w:hint="default" w:ascii="Times New Roman" w:hAnsi="Times New Roman" w:eastAsia="仿宋_GB2312" w:cs="Times New Roman"/>
          <w:kern w:val="2"/>
          <w:sz w:val="32"/>
          <w:szCs w:val="32"/>
          <w:lang w:val="en-US" w:eastAsia="zh-CN" w:bidi="ar"/>
        </w:rPr>
        <w:t>70</w:t>
      </w:r>
      <w:r>
        <w:rPr>
          <w:rFonts w:hint="eastAsia" w:ascii="仿宋_GB2312" w:hAnsi="Times New Roman" w:eastAsia="仿宋_GB2312" w:cs="仿宋_GB2312"/>
          <w:kern w:val="2"/>
          <w:sz w:val="32"/>
          <w:szCs w:val="32"/>
          <w:lang w:val="en-US" w:eastAsia="zh-CN" w:bidi="ar"/>
        </w:rPr>
        <w:t>万元，转账备注载明“购买陈某海宁战某股份”。根据二人的某甲平台聊天记录，温某于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日明确提出“款付清了就等于前面的模具、设计都是我彻底买下的了。你要用我的模具，我的设计，我也没有理由白给你用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陈某对此表示认可，并回复“我的模具都会自己开，有需要我会找你买”及“我不会触犯法律的，我会重新打版本”。百某公司、陈某系以非法获得的设计制造、销售、许诺销售侵害战某之公司涉案专利权的产品，其先用权抗辩不能成立。（三）百某公司、陈某主张在涉案专利申请日之前已经对被诉侵权产品开始了规模化生产，但其在一审诉讼中未提交证明其已有的生产规模且在涉案专利申请日之后仅限于前述生产规模继续制造和销售被诉侵权产品的证据。</w:t>
      </w:r>
    </w:p>
    <w:p w14:paraId="0026D691">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百某公司、陈某辩称：（一）一审法院认定百某公司、陈某先用权抗辩权成立，认定事实清楚、适用法律正确。百某公司、陈某在一审中充分举证证明了先用权抗辩成立，而战某之公司在一审中并提出充分的反驳证据。对于先用权抗辩事实的证明标准，需要考虑到百某公司、陈某的举证能力，不宜过于严苛。（二）被诉侵权产品系陈某个人设计，并非系陈某在战某之公司担任股东期间职务创作形成，也并非由温某设计，不存在非法获得的情形。（三）战某之公司诉请金额系根据“生意参谋”数据进行的推算，且计算基数为整套铠甲价格，被诉侵权产品仅为一个服饰扣部件，在整套产品中的价格可忽略不计。战某之公司主张的赔偿金额无事实、法律依据。</w:t>
      </w:r>
    </w:p>
    <w:p w14:paraId="017225A6">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战某之公司向一审法院起诉，请求判令百某公司、陈某：</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立即停止侵害战某之公司专利号为</w:t>
      </w:r>
      <w:r>
        <w:rPr>
          <w:rFonts w:hint="default" w:ascii="Times New Roman" w:hAnsi="Times New Roman" w:eastAsia="仿宋_GB2312" w:cs="Times New Roman"/>
          <w:kern w:val="2"/>
          <w:sz w:val="32"/>
          <w:szCs w:val="32"/>
          <w:lang w:val="en-US" w:eastAsia="zh-CN" w:bidi="ar"/>
        </w:rPr>
        <w:t>ZL2022****0400.4</w:t>
      </w:r>
      <w:r>
        <w:rPr>
          <w:rFonts w:hint="eastAsia" w:ascii="仿宋_GB2312" w:hAnsi="Times New Roman" w:eastAsia="仿宋_GB2312" w:cs="仿宋_GB2312"/>
          <w:kern w:val="2"/>
          <w:sz w:val="32"/>
          <w:szCs w:val="32"/>
          <w:lang w:val="en-US" w:eastAsia="zh-CN" w:bidi="ar"/>
        </w:rPr>
        <w:t>的“服饰扣（双龙铊尾）”外观设计专利权行为，包括制造、销售、许诺销售侵权产品；</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赔偿战某之公司经济损失</w:t>
      </w:r>
      <w:bookmarkStart w:id="2" w:name="Correction_0____4_0"/>
      <w:r>
        <w:rPr>
          <w:rFonts w:hint="default" w:ascii="Times New Roman" w:hAnsi="Times New Roman" w:eastAsia="仿宋_GB2312" w:cs="Times New Roman"/>
          <w:kern w:val="2"/>
          <w:sz w:val="32"/>
          <w:szCs w:val="32"/>
          <w:lang w:val="en-US" w:eastAsia="zh-CN" w:bidi="ar"/>
        </w:rPr>
        <w:t>455980</w:t>
      </w:r>
      <w:bookmarkEnd w:id="2"/>
      <w:r>
        <w:rPr>
          <w:rFonts w:hint="eastAsia" w:ascii="仿宋_GB2312" w:hAnsi="Times New Roman" w:eastAsia="仿宋_GB2312" w:cs="仿宋_GB2312"/>
          <w:kern w:val="2"/>
          <w:sz w:val="32"/>
          <w:szCs w:val="32"/>
          <w:lang w:val="en-US" w:eastAsia="zh-CN" w:bidi="ar"/>
        </w:rPr>
        <w:t>元，并承担诉讼费用。</w:t>
      </w:r>
    </w:p>
    <w:p w14:paraId="6C1EC236">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一审法院认定事实如下：</w:t>
      </w:r>
      <w:bookmarkStart w:id="3" w:name="Correction_0____5_0"/>
      <w:bookmarkEnd w:id="3"/>
    </w:p>
    <w:p w14:paraId="55B0024B">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一、权利基础</w:t>
      </w:r>
    </w:p>
    <w:p w14:paraId="31440AC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日，战某之公司向国家某局申请了名为“服饰扣（双龙铊尾）”的外观设计专利，授权公告日为</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日，专利号为</w:t>
      </w:r>
      <w:r>
        <w:rPr>
          <w:rFonts w:hint="default" w:ascii="Times New Roman" w:hAnsi="Times New Roman" w:eastAsia="仿宋_GB2312" w:cs="Times New Roman"/>
          <w:kern w:val="2"/>
          <w:sz w:val="32"/>
          <w:szCs w:val="32"/>
          <w:lang w:val="en-US" w:eastAsia="zh-CN" w:bidi="ar"/>
        </w:rPr>
        <w:t>ZL2022****0400.4</w:t>
      </w:r>
      <w:r>
        <w:rPr>
          <w:rFonts w:hint="eastAsia" w:ascii="仿宋_GB2312" w:hAnsi="Times New Roman" w:eastAsia="仿宋_GB2312" w:cs="仿宋_GB2312"/>
          <w:kern w:val="2"/>
          <w:sz w:val="32"/>
          <w:szCs w:val="32"/>
          <w:lang w:val="en-US" w:eastAsia="zh-CN" w:bidi="ar"/>
        </w:rPr>
        <w:t>，目前专利有效。涉案专利简要说明载明，其设计要点在于产品的形状与图案的结合；最能</w:t>
      </w:r>
      <w:bookmarkStart w:id="4" w:name="Correction_0____6_0"/>
      <w:r>
        <w:rPr>
          <w:rFonts w:hint="eastAsia" w:ascii="仿宋_GB2312" w:hAnsi="Times New Roman" w:eastAsia="仿宋_GB2312" w:cs="仿宋_GB2312"/>
          <w:kern w:val="2"/>
          <w:sz w:val="32"/>
          <w:szCs w:val="32"/>
          <w:lang w:val="en-US" w:eastAsia="zh-CN" w:bidi="ar"/>
        </w:rPr>
        <w:t>表明</w:t>
      </w:r>
      <w:bookmarkEnd w:id="4"/>
      <w:r>
        <w:rPr>
          <w:rFonts w:hint="eastAsia" w:ascii="仿宋_GB2312" w:hAnsi="Times New Roman" w:eastAsia="仿宋_GB2312" w:cs="仿宋_GB2312"/>
          <w:kern w:val="2"/>
          <w:sz w:val="32"/>
          <w:szCs w:val="32"/>
          <w:lang w:val="en-US" w:eastAsia="zh-CN" w:bidi="ar"/>
        </w:rPr>
        <w:t>设计要点的图片为主视图。</w:t>
      </w:r>
    </w:p>
    <w:p w14:paraId="40A0E48A">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国家某局于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日出具的外观设计专利权评价报告显示，涉案专利全部外观设计未发现存在不符合授予专利权条件的缺陷。</w:t>
      </w:r>
    </w:p>
    <w:p w14:paraId="74AFCDEA">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二、侵权事实</w:t>
      </w:r>
    </w:p>
    <w:p w14:paraId="3BE34F7B">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日，某甲公司公证，显示百某公司某丙平台网店“百某铸甲”店铺售卖甲胄产品。委托代理人通过“百某铸甲</w:t>
      </w:r>
      <w:bookmarkStart w:id="5" w:name="Correction_0____5_1"/>
      <w:bookmarkEnd w:id="5"/>
      <w:r>
        <w:rPr>
          <w:rFonts w:hint="eastAsia" w:ascii="仿宋_GB2312" w:hAnsi="Times New Roman" w:eastAsia="仿宋_GB2312" w:cs="仿宋_GB2312"/>
          <w:kern w:val="2"/>
          <w:sz w:val="32"/>
          <w:szCs w:val="32"/>
          <w:lang w:val="en-US" w:eastAsia="zh-CN" w:bidi="ar"/>
        </w:rPr>
        <w:t>分体式修身鱼鳞甲</w:t>
      </w:r>
      <w:bookmarkStart w:id="6" w:name="Correction_0____5_2"/>
      <w:bookmarkEnd w:id="6"/>
      <w:r>
        <w:rPr>
          <w:rFonts w:hint="eastAsia" w:ascii="仿宋_GB2312" w:hAnsi="Times New Roman" w:eastAsia="仿宋_GB2312" w:cs="仿宋_GB2312"/>
          <w:kern w:val="2"/>
          <w:sz w:val="32"/>
          <w:szCs w:val="32"/>
          <w:lang w:val="en-US" w:eastAsia="zh-CN" w:bidi="ar"/>
        </w:rPr>
        <w:t>中国甲胄铠甲盔甲步人战斗甲汉服”链接购买产品</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件，价格</w:t>
      </w:r>
      <w:r>
        <w:rPr>
          <w:rFonts w:hint="default" w:ascii="Times New Roman" w:hAnsi="Times New Roman" w:eastAsia="仿宋_GB2312" w:cs="Times New Roman"/>
          <w:kern w:val="2"/>
          <w:sz w:val="32"/>
          <w:szCs w:val="32"/>
          <w:lang w:val="en-US" w:eastAsia="zh-CN" w:bidi="ar"/>
        </w:rPr>
        <w:t>2599</w:t>
      </w:r>
      <w:r>
        <w:rPr>
          <w:rFonts w:hint="eastAsia" w:ascii="仿宋_GB2312" w:hAnsi="Times New Roman" w:eastAsia="仿宋_GB2312" w:cs="仿宋_GB2312"/>
          <w:kern w:val="2"/>
          <w:sz w:val="32"/>
          <w:szCs w:val="32"/>
          <w:lang w:val="en-US" w:eastAsia="zh-CN" w:bidi="ar"/>
        </w:rPr>
        <w:t>元，该链接月销量</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；通过“百某铸甲</w:t>
      </w:r>
      <w:bookmarkStart w:id="7" w:name="Correction_0____5_3"/>
      <w:bookmarkEnd w:id="7"/>
      <w:r>
        <w:rPr>
          <w:rFonts w:hint="eastAsia" w:ascii="仿宋_GB2312" w:hAnsi="Times New Roman" w:eastAsia="仿宋_GB2312" w:cs="仿宋_GB2312"/>
          <w:kern w:val="2"/>
          <w:sz w:val="32"/>
          <w:szCs w:val="32"/>
          <w:lang w:val="en-US" w:eastAsia="zh-CN" w:bidi="ar"/>
        </w:rPr>
        <w:t>胸板吊腿鞋甲</w:t>
      </w:r>
      <w:bookmarkStart w:id="8" w:name="Correction_0____5_4"/>
      <w:bookmarkEnd w:id="8"/>
      <w:r>
        <w:rPr>
          <w:rFonts w:hint="eastAsia" w:ascii="仿宋_GB2312" w:hAnsi="Times New Roman" w:eastAsia="仿宋_GB2312" w:cs="仿宋_GB2312"/>
          <w:kern w:val="2"/>
          <w:sz w:val="32"/>
          <w:szCs w:val="32"/>
          <w:lang w:val="en-US" w:eastAsia="zh-CN" w:bidi="ar"/>
        </w:rPr>
        <w:t>鱼鳞锁子甲胄盔甲男女合金皮革制</w:t>
      </w:r>
      <w:r>
        <w:rPr>
          <w:rFonts w:hint="default" w:ascii="Times New Roman" w:hAnsi="Times New Roman" w:eastAsia="仿宋_GB2312" w:cs="Times New Roman"/>
          <w:kern w:val="2"/>
          <w:sz w:val="32"/>
          <w:szCs w:val="32"/>
          <w:lang w:val="en-US" w:eastAsia="zh-CN" w:bidi="ar"/>
        </w:rPr>
        <w:t>diy</w:t>
      </w:r>
      <w:r>
        <w:rPr>
          <w:rFonts w:hint="eastAsia" w:ascii="仿宋_GB2312" w:hAnsi="Times New Roman" w:eastAsia="仿宋_GB2312" w:cs="仿宋_GB2312"/>
          <w:kern w:val="2"/>
          <w:sz w:val="32"/>
          <w:szCs w:val="32"/>
          <w:lang w:val="en-US" w:eastAsia="zh-CN" w:bidi="ar"/>
        </w:rPr>
        <w:t>配件”链接购买产品</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件，价格分别为</w:t>
      </w:r>
      <w:r>
        <w:rPr>
          <w:rFonts w:hint="default" w:ascii="Times New Roman" w:hAnsi="Times New Roman" w:eastAsia="仿宋_GB2312" w:cs="Times New Roman"/>
          <w:kern w:val="2"/>
          <w:sz w:val="32"/>
          <w:szCs w:val="32"/>
          <w:lang w:val="en-US" w:eastAsia="zh-CN" w:bidi="ar"/>
        </w:rPr>
        <w:t>1399</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1299</w:t>
      </w:r>
      <w:r>
        <w:rPr>
          <w:rFonts w:hint="eastAsia" w:ascii="仿宋_GB2312" w:hAnsi="Times New Roman" w:eastAsia="仿宋_GB2312" w:cs="仿宋_GB2312"/>
          <w:kern w:val="2"/>
          <w:sz w:val="32"/>
          <w:szCs w:val="32"/>
          <w:lang w:val="en-US" w:eastAsia="zh-CN" w:bidi="ar"/>
        </w:rPr>
        <w:t>元，该链接月销量</w:t>
      </w:r>
      <w:r>
        <w:rPr>
          <w:rFonts w:hint="default" w:ascii="Times New Roman" w:hAnsi="Times New Roman" w:eastAsia="仿宋_GB2312" w:cs="Times New Roman"/>
          <w:kern w:val="2"/>
          <w:sz w:val="32"/>
          <w:szCs w:val="32"/>
          <w:lang w:val="en-US" w:eastAsia="zh-CN" w:bidi="ar"/>
        </w:rPr>
        <w:t>0</w:t>
      </w:r>
      <w:r>
        <w:rPr>
          <w:rFonts w:hint="eastAsia" w:ascii="仿宋_GB2312" w:hAnsi="Times New Roman" w:eastAsia="仿宋_GB2312" w:cs="仿宋_GB2312"/>
          <w:kern w:val="2"/>
          <w:sz w:val="32"/>
          <w:szCs w:val="32"/>
          <w:lang w:val="en-US" w:eastAsia="zh-CN" w:bidi="ar"/>
        </w:rPr>
        <w:t>；通过“百某铸甲</w:t>
      </w:r>
      <w:bookmarkStart w:id="9" w:name="Correction_0____5_5"/>
      <w:bookmarkEnd w:id="9"/>
      <w:r>
        <w:rPr>
          <w:rFonts w:hint="eastAsia" w:ascii="仿宋_GB2312" w:hAnsi="Times New Roman" w:eastAsia="仿宋_GB2312" w:cs="仿宋_GB2312"/>
          <w:kern w:val="2"/>
          <w:sz w:val="32"/>
          <w:szCs w:val="32"/>
          <w:lang w:val="en-US" w:eastAsia="zh-CN" w:bidi="ar"/>
        </w:rPr>
        <w:t>盔甲片扎甲片山文甲片中国甲胄盔甲锁子自制</w:t>
      </w:r>
      <w:r>
        <w:rPr>
          <w:rFonts w:hint="default" w:ascii="Times New Roman" w:hAnsi="Times New Roman" w:eastAsia="仿宋_GB2312" w:cs="Times New Roman"/>
          <w:kern w:val="2"/>
          <w:sz w:val="32"/>
          <w:szCs w:val="32"/>
          <w:lang w:val="en-US" w:eastAsia="zh-CN" w:bidi="ar"/>
        </w:rPr>
        <w:t>diy</w:t>
      </w:r>
      <w:r>
        <w:rPr>
          <w:rFonts w:hint="eastAsia" w:ascii="仿宋_GB2312" w:hAnsi="Times New Roman" w:eastAsia="仿宋_GB2312" w:cs="仿宋_GB2312"/>
          <w:kern w:val="2"/>
          <w:sz w:val="32"/>
          <w:szCs w:val="32"/>
          <w:lang w:val="en-US" w:eastAsia="zh-CN" w:bidi="ar"/>
        </w:rPr>
        <w:t>零件材料”链接以单价</w:t>
      </w:r>
      <w:r>
        <w:rPr>
          <w:rFonts w:hint="default" w:ascii="Times New Roman" w:hAnsi="Times New Roman" w:eastAsia="仿宋_GB2312" w:cs="Times New Roman"/>
          <w:kern w:val="2"/>
          <w:sz w:val="32"/>
          <w:szCs w:val="32"/>
          <w:lang w:val="en-US" w:eastAsia="zh-CN" w:bidi="ar"/>
        </w:rPr>
        <w:t>2.20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2.60</w:t>
      </w:r>
      <w:r>
        <w:rPr>
          <w:rFonts w:hint="eastAsia" w:ascii="仿宋_GB2312" w:hAnsi="Times New Roman" w:eastAsia="仿宋_GB2312" w:cs="仿宋_GB2312"/>
          <w:kern w:val="2"/>
          <w:sz w:val="32"/>
          <w:szCs w:val="32"/>
          <w:lang w:val="en-US" w:eastAsia="zh-CN" w:bidi="ar"/>
        </w:rPr>
        <w:t>元购买不同型号产品各</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件，该链接月销量</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万</w:t>
      </w:r>
      <w:bookmarkStart w:id="10" w:name="WKJC_2c999f6095cb8b4b0195db6aa07831ca"/>
      <w:r>
        <w:rPr>
          <w:rFonts w:hint="eastAsia" w:ascii="仿宋_GB2312" w:hAnsi="Times New Roman" w:eastAsia="仿宋_GB2312" w:cs="仿宋_GB2312"/>
          <w:kern w:val="2"/>
          <w:sz w:val="32"/>
          <w:szCs w:val="32"/>
          <w:lang w:val="en-US" w:eastAsia="zh-CN" w:bidi="ar"/>
        </w:rPr>
        <w:t>＋</w:t>
      </w:r>
      <w:bookmarkEnd w:id="10"/>
      <w:r>
        <w:rPr>
          <w:rFonts w:hint="eastAsia" w:ascii="仿宋_GB2312" w:hAnsi="Times New Roman" w:eastAsia="仿宋_GB2312" w:cs="仿宋_GB2312"/>
          <w:kern w:val="2"/>
          <w:sz w:val="32"/>
          <w:szCs w:val="32"/>
          <w:lang w:val="en-US" w:eastAsia="zh-CN" w:bidi="ar"/>
        </w:rPr>
        <w:t>；通过“百某铸甲</w:t>
      </w:r>
      <w:bookmarkStart w:id="11" w:name="Correction_0____5_6"/>
      <w:bookmarkEnd w:id="11"/>
      <w:r>
        <w:rPr>
          <w:rFonts w:hint="eastAsia" w:ascii="仿宋_GB2312" w:hAnsi="Times New Roman" w:eastAsia="仿宋_GB2312" w:cs="仿宋_GB2312"/>
          <w:kern w:val="2"/>
          <w:sz w:val="32"/>
          <w:szCs w:val="32"/>
          <w:lang w:val="en-US" w:eastAsia="zh-CN" w:bidi="ar"/>
        </w:rPr>
        <w:t>国风面部护罩</w:t>
      </w:r>
      <w:bookmarkStart w:id="12" w:name="Correction_0____5_7"/>
      <w:bookmarkEnd w:id="12"/>
      <w:r>
        <w:rPr>
          <w:rFonts w:hint="eastAsia" w:ascii="仿宋_GB2312" w:hAnsi="Times New Roman" w:eastAsia="仿宋_GB2312" w:cs="仿宋_GB2312"/>
          <w:kern w:val="2"/>
          <w:sz w:val="32"/>
          <w:szCs w:val="32"/>
          <w:lang w:val="en-US" w:eastAsia="zh-CN" w:bidi="ar"/>
        </w:rPr>
        <w:t>腰旗</w:t>
      </w:r>
      <w:bookmarkStart w:id="13" w:name="Correction_0____5_8"/>
      <w:bookmarkEnd w:id="13"/>
      <w:r>
        <w:rPr>
          <w:rFonts w:hint="eastAsia" w:ascii="仿宋_GB2312" w:hAnsi="Times New Roman" w:eastAsia="仿宋_GB2312" w:cs="仿宋_GB2312"/>
          <w:kern w:val="2"/>
          <w:sz w:val="32"/>
          <w:szCs w:val="32"/>
          <w:lang w:val="en-US" w:eastAsia="zh-CN" w:bidi="ar"/>
        </w:rPr>
        <w:t>护心镜</w:t>
      </w:r>
      <w:bookmarkStart w:id="14" w:name="Correction_0____5_9"/>
      <w:bookmarkEnd w:id="14"/>
      <w:r>
        <w:rPr>
          <w:rFonts w:hint="eastAsia" w:ascii="仿宋_GB2312" w:hAnsi="Times New Roman" w:eastAsia="仿宋_GB2312" w:cs="仿宋_GB2312"/>
          <w:kern w:val="2"/>
          <w:sz w:val="32"/>
          <w:szCs w:val="32"/>
          <w:lang w:val="en-US" w:eastAsia="zh-CN" w:bidi="ar"/>
        </w:rPr>
        <w:t>金银黑大小关刀树脂不可开刃”链接购买产品</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件，单价</w:t>
      </w:r>
      <w:r>
        <w:rPr>
          <w:rFonts w:hint="default" w:ascii="Times New Roman" w:hAnsi="Times New Roman" w:eastAsia="仿宋_GB2312" w:cs="Times New Roman"/>
          <w:kern w:val="2"/>
          <w:sz w:val="32"/>
          <w:szCs w:val="32"/>
          <w:lang w:val="en-US" w:eastAsia="zh-CN" w:bidi="ar"/>
        </w:rPr>
        <w:t>69</w:t>
      </w:r>
      <w:r>
        <w:rPr>
          <w:rFonts w:hint="eastAsia" w:ascii="仿宋_GB2312" w:hAnsi="Times New Roman" w:eastAsia="仿宋_GB2312" w:cs="仿宋_GB2312"/>
          <w:kern w:val="2"/>
          <w:sz w:val="32"/>
          <w:szCs w:val="32"/>
          <w:lang w:val="en-US" w:eastAsia="zh-CN" w:bidi="ar"/>
        </w:rPr>
        <w:t>元，该链接月销量</w:t>
      </w:r>
      <w:r>
        <w:rPr>
          <w:rFonts w:hint="default" w:ascii="Times New Roman" w:hAnsi="Times New Roman" w:eastAsia="仿宋_GB2312" w:cs="Times New Roman"/>
          <w:kern w:val="2"/>
          <w:sz w:val="32"/>
          <w:szCs w:val="32"/>
          <w:lang w:val="en-US" w:eastAsia="zh-CN" w:bidi="ar"/>
        </w:rPr>
        <w:t>38</w:t>
      </w:r>
      <w:r>
        <w:rPr>
          <w:rFonts w:hint="eastAsia" w:ascii="仿宋_GB2312" w:hAnsi="Times New Roman" w:eastAsia="仿宋_GB2312" w:cs="仿宋_GB2312"/>
          <w:kern w:val="2"/>
          <w:sz w:val="32"/>
          <w:szCs w:val="32"/>
          <w:lang w:val="en-US" w:eastAsia="zh-CN" w:bidi="ar"/>
        </w:rPr>
        <w:t>；通过“百某铸甲</w:t>
      </w:r>
      <w:bookmarkStart w:id="15" w:name="Correction_0____5_10"/>
      <w:bookmarkEnd w:id="15"/>
      <w:r>
        <w:rPr>
          <w:rFonts w:hint="eastAsia" w:ascii="仿宋_GB2312" w:hAnsi="Times New Roman" w:eastAsia="仿宋_GB2312" w:cs="仿宋_GB2312"/>
          <w:kern w:val="2"/>
          <w:sz w:val="32"/>
          <w:szCs w:val="32"/>
          <w:lang w:val="en-US" w:eastAsia="zh-CN" w:bidi="ar"/>
        </w:rPr>
        <w:t>铠甲支架木箱</w:t>
      </w:r>
      <w:bookmarkStart w:id="16" w:name="Correction_0____5_11"/>
      <w:bookmarkEnd w:id="16"/>
      <w:r>
        <w:rPr>
          <w:rFonts w:hint="eastAsia" w:ascii="仿宋_GB2312" w:hAnsi="Times New Roman" w:eastAsia="仿宋_GB2312" w:cs="仿宋_GB2312"/>
          <w:kern w:val="2"/>
          <w:sz w:val="32"/>
          <w:szCs w:val="32"/>
          <w:lang w:val="en-US" w:eastAsia="zh-CN" w:bidi="ar"/>
        </w:rPr>
        <w:t>中国甲胄盔甲配件搭配木质家具收纳台脚架”链接购买产品</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件，价格为</w:t>
      </w:r>
      <w:r>
        <w:rPr>
          <w:rFonts w:hint="default" w:ascii="Times New Roman" w:hAnsi="Times New Roman" w:eastAsia="仿宋_GB2312" w:cs="Times New Roman"/>
          <w:kern w:val="2"/>
          <w:sz w:val="32"/>
          <w:szCs w:val="32"/>
          <w:lang w:val="en-US" w:eastAsia="zh-CN" w:bidi="ar"/>
        </w:rPr>
        <w:t>99</w:t>
      </w:r>
      <w:r>
        <w:rPr>
          <w:rFonts w:hint="eastAsia" w:ascii="仿宋_GB2312" w:hAnsi="Times New Roman" w:eastAsia="仿宋_GB2312" w:cs="仿宋_GB2312"/>
          <w:kern w:val="2"/>
          <w:sz w:val="32"/>
          <w:szCs w:val="32"/>
          <w:lang w:val="en-US" w:eastAsia="zh-CN" w:bidi="ar"/>
        </w:rPr>
        <w:t>元，该链接月销量</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。上述产品购买费、运费合计实付款</w:t>
      </w:r>
      <w:r>
        <w:rPr>
          <w:rFonts w:hint="default" w:ascii="Times New Roman" w:hAnsi="Times New Roman" w:eastAsia="仿宋_GB2312" w:cs="Times New Roman"/>
          <w:kern w:val="2"/>
          <w:sz w:val="32"/>
          <w:szCs w:val="32"/>
          <w:lang w:val="en-US" w:eastAsia="zh-CN" w:bidi="ar"/>
        </w:rPr>
        <w:t>5670</w:t>
      </w:r>
      <w:r>
        <w:rPr>
          <w:rFonts w:hint="eastAsia" w:ascii="仿宋_GB2312" w:hAnsi="Times New Roman" w:eastAsia="仿宋_GB2312" w:cs="仿宋_GB2312"/>
          <w:kern w:val="2"/>
          <w:sz w:val="32"/>
          <w:szCs w:val="32"/>
          <w:lang w:val="en-US" w:eastAsia="zh-CN" w:bidi="ar"/>
        </w:rPr>
        <w:t>元。前述商品中盔甲束带末端带有本案被诉侵权产品。</w:t>
      </w:r>
    </w:p>
    <w:p w14:paraId="06160960">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涉案店铺经营者原为陈某，后于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日变更为百某公司。陈某系百某公司的股东，持股比例</w:t>
      </w:r>
      <w:r>
        <w:rPr>
          <w:rFonts w:hint="default" w:ascii="Times New Roman" w:hAnsi="Times New Roman" w:eastAsia="仿宋_GB2312" w:cs="Times New Roman"/>
          <w:kern w:val="2"/>
          <w:sz w:val="32"/>
          <w:szCs w:val="32"/>
          <w:lang w:val="en-US" w:eastAsia="zh-CN" w:bidi="ar"/>
        </w:rPr>
        <w:t>40%</w:t>
      </w:r>
      <w:r>
        <w:rPr>
          <w:rFonts w:hint="eastAsia" w:ascii="仿宋_GB2312" w:hAnsi="Times New Roman" w:eastAsia="仿宋_GB2312" w:cs="仿宋_GB2312"/>
          <w:kern w:val="2"/>
          <w:sz w:val="32"/>
          <w:szCs w:val="32"/>
          <w:lang w:val="en-US" w:eastAsia="zh-CN" w:bidi="ar"/>
        </w:rPr>
        <w:t>。</w:t>
      </w:r>
    </w:p>
    <w:p w14:paraId="22C056F7">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三、抗辩事实</w:t>
      </w:r>
    </w:p>
    <w:p w14:paraId="56F4CCE3">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陈某于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月委托某乙公司制造甲胄产品。陈某与该公司的法定代表人金某的某甲平台聊天记录显示，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日金某将皮带头产品照片发给陈某，并于同年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日发送销货单，显示龙皮带头开模费为</w:t>
      </w:r>
      <w:r>
        <w:rPr>
          <w:rFonts w:hint="default" w:ascii="Times New Roman" w:hAnsi="Times New Roman" w:eastAsia="仿宋_GB2312" w:cs="Times New Roman"/>
          <w:kern w:val="2"/>
          <w:sz w:val="32"/>
          <w:szCs w:val="32"/>
          <w:lang w:val="en-US" w:eastAsia="zh-CN" w:bidi="ar"/>
        </w:rPr>
        <w:t>800</w:t>
      </w:r>
      <w:r>
        <w:rPr>
          <w:rFonts w:hint="eastAsia" w:ascii="仿宋_GB2312" w:hAnsi="Times New Roman" w:eastAsia="仿宋_GB2312" w:cs="仿宋_GB2312"/>
          <w:kern w:val="2"/>
          <w:sz w:val="32"/>
          <w:szCs w:val="32"/>
          <w:lang w:val="en-US" w:eastAsia="zh-CN" w:bidi="ar"/>
        </w:rPr>
        <w:t>元。该照片图样包含产品主视图、后视图、右视图，均与被诉侵权产品相应视图外观一致。</w:t>
      </w:r>
    </w:p>
    <w:p w14:paraId="38F729BE">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经一审当庭核验，手机某乙平台软件“真贞小粥”用户（</w:t>
      </w:r>
      <w:r>
        <w:rPr>
          <w:rFonts w:hint="default" w:ascii="Times New Roman" w:hAnsi="Times New Roman" w:eastAsia="仿宋_GB2312" w:cs="Times New Roman"/>
          <w:kern w:val="2"/>
          <w:sz w:val="32"/>
          <w:szCs w:val="32"/>
          <w:lang w:val="en-US" w:eastAsia="zh-CN" w:bidi="ar"/>
        </w:rPr>
        <w:t>IP</w:t>
      </w:r>
      <w:r>
        <w:rPr>
          <w:rFonts w:hint="eastAsia" w:ascii="仿宋_GB2312" w:hAnsi="Times New Roman" w:eastAsia="仿宋_GB2312" w:cs="仿宋_GB2312"/>
          <w:kern w:val="2"/>
          <w:sz w:val="32"/>
          <w:szCs w:val="32"/>
          <w:lang w:val="en-US" w:eastAsia="zh-CN" w:bidi="ar"/>
        </w:rPr>
        <w:t>归属地浙江）于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日发布视频“甲胄实在是太帅了！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中国国际动漫节”，内中女式盔甲胸前有</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根束带，末端有皮带头，其截图可见大体龙纹形状。</w:t>
      </w:r>
    </w:p>
    <w:p w14:paraId="421E09EC">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涉案专利在有效期限内，法律状态稳定，应受国家法律保护。战某之公司作为涉案专利权人，依法对本案享有诉权。经当庭比对，被诉侵权产品与涉案专利的区别主要在于其下部末端呈椭圆形而涉案专利呈向上略内凹。该院认为该区别所占产品的比例较小，对于消费者来说，更易观察到中上部的相同整体形状及雕塑龙纹，不足以使产品整体视觉效果产生实质性差异。故两者构成近似，被诉侵权设计已</w:t>
      </w:r>
      <w:bookmarkStart w:id="17" w:name="Correction_0____8_0"/>
      <w:r>
        <w:rPr>
          <w:rFonts w:hint="eastAsia" w:ascii="仿宋_GB2312" w:hAnsi="Times New Roman" w:eastAsia="仿宋_GB2312" w:cs="仿宋_GB2312"/>
          <w:kern w:val="2"/>
          <w:sz w:val="32"/>
          <w:szCs w:val="32"/>
          <w:lang w:val="en-US" w:eastAsia="zh-CN" w:bidi="ar"/>
        </w:rPr>
        <w:t>落入</w:t>
      </w:r>
      <w:bookmarkEnd w:id="17"/>
      <w:r>
        <w:rPr>
          <w:rFonts w:hint="eastAsia" w:ascii="仿宋_GB2312" w:hAnsi="Times New Roman" w:eastAsia="仿宋_GB2312" w:cs="仿宋_GB2312"/>
          <w:kern w:val="2"/>
          <w:sz w:val="32"/>
          <w:szCs w:val="32"/>
          <w:lang w:val="en-US" w:eastAsia="zh-CN" w:bidi="ar"/>
        </w:rPr>
        <w:t>涉案专利权的保护范围。综合查明的事实和双方诉辩意见，本案的争议焦点在于两被诉侵权人的不侵权抗辩能否成立。</w:t>
      </w:r>
    </w:p>
    <w:p w14:paraId="382957D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对此该院认为，《最高人民法院关于民事诉讼证据的若干规定》第八十五条规定：“人民法院应当以证据能够证明的案件事实为</w:t>
      </w:r>
      <w:bookmarkStart w:id="18" w:name="Correction_0____9_0"/>
      <w:r>
        <w:rPr>
          <w:rFonts w:hint="eastAsia" w:ascii="仿宋_GB2312" w:hAnsi="Times New Roman" w:eastAsia="仿宋_GB2312" w:cs="仿宋_GB2312"/>
          <w:kern w:val="2"/>
          <w:sz w:val="32"/>
          <w:szCs w:val="32"/>
          <w:lang w:val="en-US" w:eastAsia="zh-CN" w:bidi="ar"/>
        </w:rPr>
        <w:t>根据</w:t>
      </w:r>
      <w:bookmarkEnd w:id="18"/>
      <w:r>
        <w:rPr>
          <w:rFonts w:hint="eastAsia" w:ascii="仿宋_GB2312" w:hAnsi="Times New Roman" w:eastAsia="仿宋_GB2312" w:cs="仿宋_GB2312"/>
          <w:kern w:val="2"/>
          <w:sz w:val="32"/>
          <w:szCs w:val="32"/>
          <w:lang w:val="en-US" w:eastAsia="zh-CN" w:bidi="ar"/>
        </w:rPr>
        <w:t>依法作出裁判。审判人员应当依照法定程序，全面、客观地审核证据，依据法律的规定，遵循法官职业道德，运用逻辑推理和日常生活经验，对证据有无证明力和证明力大小独立进行判断，并公开判断的理由和结果。”《最高人民法院关于适用〈中华人民共和国民事诉讼法〉的解释》第一百零八条第一款规定：“对负有举证证明责任的当事人提供的证据，人民法院经审查并结合相关事实，确信待证事实的存在具有高度可能性的，应当认定该事实存在。”据此，民事诉讼采高度盖然性的证明标准，应基于案件争议的性质、当事人的举证能力等要素，综合评判案件证据效力，在可采信的证据基础上认定案件事实。综合两被诉侵权人早于专利申请日之前半年即已经委托厂家对被诉侵权产品开模，而战某之公司提交的网店销售数据显示被诉网店的甲胄自</w:t>
      </w:r>
      <w:bookmarkStart w:id="19" w:name="Correction_0____10_0"/>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bookmarkEnd w:id="19"/>
      <w:r>
        <w:rPr>
          <w:rFonts w:hint="eastAsia" w:ascii="仿宋_GB2312" w:hAnsi="Times New Roman" w:eastAsia="仿宋_GB2312" w:cs="仿宋_GB2312"/>
          <w:kern w:val="2"/>
          <w:sz w:val="32"/>
          <w:szCs w:val="32"/>
          <w:lang w:val="en-US" w:eastAsia="zh-CN" w:bidi="ar"/>
        </w:rPr>
        <w:t>日起即有大量销售订单、手机某乙平台视频显示相似外观甲胄在</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在中国动漫节展出等事实，可以认定两被诉侵权人在涉案专利申请日即已制造、销售被诉侵权产品；同时在案亦无证据显示两被诉侵权人之后的经营行为超出该网店经营范围。故两被诉侵权人所提先用权抗辩成立，依照《中华人民共和国专利法》第七十五条第二项之规定，其行为依法视为不侵权，战某之公司的诉讼主张该院不予支持。至于现有设计抗辩，“中国国际动漫节”某乙平台视频显示了产品整体形状及其大体龙形雕饰，但图像细节尚不足以清晰比对，该院难以依据现有证据作出评价。</w:t>
      </w:r>
    </w:p>
    <w:p w14:paraId="407016AD">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综上，依照《中华人民共和国民事诉讼法》第六十七条第一款之规定，一审法院于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日判决：驳回战某之公司的全部诉讼请求。一审案件受理费</w:t>
      </w:r>
      <w:bookmarkStart w:id="20" w:name="Correction_0____12_0"/>
      <w:r>
        <w:rPr>
          <w:rFonts w:hint="default" w:ascii="Times New Roman" w:hAnsi="Times New Roman" w:eastAsia="仿宋_GB2312" w:cs="Times New Roman"/>
          <w:kern w:val="2"/>
          <w:sz w:val="32"/>
          <w:szCs w:val="32"/>
          <w:lang w:val="en-US" w:eastAsia="zh-CN" w:bidi="ar"/>
        </w:rPr>
        <w:t>8140</w:t>
      </w:r>
      <w:r>
        <w:rPr>
          <w:rFonts w:hint="eastAsia" w:ascii="仿宋_GB2312" w:hAnsi="Times New Roman" w:eastAsia="仿宋_GB2312" w:cs="仿宋_GB2312"/>
          <w:kern w:val="2"/>
          <w:sz w:val="32"/>
          <w:szCs w:val="32"/>
          <w:lang w:val="en-US" w:eastAsia="zh-CN" w:bidi="ar"/>
        </w:rPr>
        <w:t>元</w:t>
      </w:r>
      <w:bookmarkEnd w:id="20"/>
      <w:r>
        <w:rPr>
          <w:rFonts w:hint="eastAsia" w:ascii="仿宋_GB2312" w:hAnsi="Times New Roman" w:eastAsia="仿宋_GB2312" w:cs="仿宋_GB2312"/>
          <w:kern w:val="2"/>
          <w:sz w:val="32"/>
          <w:szCs w:val="32"/>
          <w:lang w:val="en-US" w:eastAsia="zh-CN" w:bidi="ar"/>
        </w:rPr>
        <w:t>，由战某之公司负担。</w:t>
      </w:r>
    </w:p>
    <w:p w14:paraId="527BC9BE">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二审期间，战某之公司向本院提交了以下新证据：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企业信用信息公示报告；</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陈某与战某之公司法定代表人温某讨论涉案专利设计的某甲平台聊天记录；</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温某委托案外人唐某甲试制模具的某甲平台聊天记录；</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陈某与温某约定职务创作归属的聊天记录及转账记录，证据</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拟共同证明陈某与战某之公司存在股权关系，涉案专利设计产生于陈某作为战某之公司股东期间，由战某之公司法定代表人温某创作完成，属于职务创作，且战某之公司已为此支付相关费用，百某公司、陈某使用该设计违法，以非法获得的技术或者设计主张先用权抗辩的，人民法院不应支持。百某公司、陈某质证认为，对该些证据真实性、合法性均无异议，关联性均有异议。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只能证明陈某曾为战某之公司股东，不能证明涉案产品设计系温某的职务创作；证据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恰证明该产品设计系由陈某独立完成，陈某仅就设计成果向温某进行咨询，不能证明系温某职务创作行为；证据</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系温某自行委托案外人开模内容，与本案无关；证据</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仅是陈某承诺不使用对方的模具和专利，并未就本案产品设计归属进行约定，温某与本案产品设计无关，陈某不侵权。</w:t>
      </w:r>
    </w:p>
    <w:p w14:paraId="48F0A43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百某公司、陈某向本院提交了陈某与案外人进行设计创作某甲平台聊天记录，拟证明陈某早于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就服饰扣进行创作设计，并提供了云纹、双龙纹的创意。战某之公司质证认为，对该证据的三性不予认可，该某甲平台聊天记录仅为片段，语音内容不详，且缺乏前后文语境，无法确认其真实性与完整性，从聊天内容看并无涉及百某公司、陈某个人委托他人设计的信息，反之，诸多信息反映出陈某系代表战某之公司对外委托的职务行为，陈某未进一步提供设计图纸、草图、创意方案等直接提现创作过程的证据，也未让所谓受委托人出庭作证，不能单凭某甲平台聊天记录证明陈某自行创作了该设计。</w:t>
      </w:r>
    </w:p>
    <w:p w14:paraId="5AC98956">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本院经审查认为，对双方提交的证据的真实性予以认定，能否实现证明目的将结合争议焦点在下文评述。</w:t>
      </w:r>
    </w:p>
    <w:p w14:paraId="2DBEA994">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本院二审对一审判决认定的事实予以确认。二审另查明：</w:t>
      </w:r>
    </w:p>
    <w:p w14:paraId="3E706B5C">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日，战某之公司进行投资人变更登记，投资人由欧某、杨某变更为温某、陈某。</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日，战某之公司进行投资人变更登记，投资人变更为温某、欧某。</w:t>
      </w:r>
    </w:p>
    <w:p w14:paraId="64635D25">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陈某与案外人的某甲平台聊天记录显示，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日，陈某向案外人某甲平台发送四张古代盔甲服饰扣参考照片。</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32</w:t>
      </w:r>
      <w:r>
        <w:rPr>
          <w:rFonts w:hint="eastAsia" w:ascii="仿宋_GB2312" w:hAnsi="Times New Roman" w:eastAsia="仿宋_GB2312" w:cs="仿宋_GB2312"/>
          <w:kern w:val="2"/>
          <w:sz w:val="32"/>
          <w:szCs w:val="32"/>
          <w:lang w:val="en-US" w:eastAsia="zh-CN" w:bidi="ar"/>
        </w:rPr>
        <w:t>分，案外人发送三张盔甲服饰扣模型图，</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41</w:t>
      </w:r>
      <w:r>
        <w:rPr>
          <w:rFonts w:hint="eastAsia" w:ascii="仿宋_GB2312" w:hAnsi="Times New Roman" w:eastAsia="仿宋_GB2312" w:cs="仿宋_GB2312"/>
          <w:kern w:val="2"/>
          <w:sz w:val="32"/>
          <w:szCs w:val="32"/>
          <w:lang w:val="en-US" w:eastAsia="zh-CN" w:bidi="ar"/>
        </w:rPr>
        <w:t>分陈某回复“中间线那高一毫米，侧线低一毫米看看”“宽</w:t>
      </w:r>
      <w:r>
        <w:rPr>
          <w:rFonts w:hint="default" w:ascii="Times New Roman" w:hAnsi="Times New Roman" w:eastAsia="仿宋_GB2312" w:cs="Times New Roman"/>
          <w:kern w:val="2"/>
          <w:sz w:val="32"/>
          <w:szCs w:val="32"/>
          <w:lang w:val="en-US" w:eastAsia="zh-CN" w:bidi="ar"/>
        </w:rPr>
        <w:t>33</w:t>
      </w:r>
      <w:r>
        <w:rPr>
          <w:rFonts w:hint="eastAsia" w:ascii="仿宋_GB2312" w:hAnsi="Times New Roman" w:eastAsia="仿宋_GB2312" w:cs="仿宋_GB2312"/>
          <w:kern w:val="2"/>
          <w:sz w:val="32"/>
          <w:szCs w:val="32"/>
          <w:lang w:val="en-US" w:eastAsia="zh-CN" w:bidi="ar"/>
        </w:rPr>
        <w:t>”“纹路做锐利，不要圆”。</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04</w:t>
      </w:r>
      <w:r>
        <w:rPr>
          <w:rFonts w:hint="eastAsia" w:ascii="仿宋_GB2312" w:hAnsi="Times New Roman" w:eastAsia="仿宋_GB2312" w:cs="仿宋_GB2312"/>
          <w:kern w:val="2"/>
          <w:sz w:val="32"/>
          <w:szCs w:val="32"/>
          <w:lang w:val="en-US" w:eastAsia="zh-CN" w:bidi="ar"/>
        </w:rPr>
        <w:t>分，案外人向陈某发送四张模型图，</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分，陈某回复“先等下”“我刚刚发给客人，客户说太简单了”。案外人回复“难啊”“那你自己设计好了再给我们吧”。</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47</w:t>
      </w:r>
      <w:r>
        <w:rPr>
          <w:rFonts w:hint="eastAsia" w:ascii="仿宋_GB2312" w:hAnsi="Times New Roman" w:eastAsia="仿宋_GB2312" w:cs="仿宋_GB2312"/>
          <w:kern w:val="2"/>
          <w:sz w:val="32"/>
          <w:szCs w:val="32"/>
          <w:lang w:val="en-US" w:eastAsia="zh-CN" w:bidi="ar"/>
        </w:rPr>
        <w:t>分，陈某发送龙纹图样，并说“唐龙两边各一条对称”“你看能不能做”，案外人回复“这图太繁琐了”“不清爽吧，个人感觉”。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57</w:t>
      </w:r>
      <w:r>
        <w:rPr>
          <w:rFonts w:hint="eastAsia" w:ascii="仿宋_GB2312" w:hAnsi="Times New Roman" w:eastAsia="仿宋_GB2312" w:cs="仿宋_GB2312"/>
          <w:kern w:val="2"/>
          <w:sz w:val="32"/>
          <w:szCs w:val="32"/>
          <w:lang w:val="en-US" w:eastAsia="zh-CN" w:bidi="ar"/>
        </w:rPr>
        <w:t>分，陈某发送三张龙纹图样。</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分，案外人发送带有龙纹的服饰扣正面设计图（</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），并问“是这样的意思吗？”“龙是平面的吗？”陈某回复：“浮雕”并示意案外人龙头换方向。</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26</w:t>
      </w:r>
      <w:r>
        <w:rPr>
          <w:rFonts w:hint="eastAsia" w:ascii="仿宋_GB2312" w:hAnsi="Times New Roman" w:eastAsia="仿宋_GB2312" w:cs="仿宋_GB2312"/>
          <w:kern w:val="2"/>
          <w:sz w:val="32"/>
          <w:szCs w:val="32"/>
          <w:lang w:val="en-US" w:eastAsia="zh-CN" w:bidi="ar"/>
        </w:rPr>
        <w:t>分，案外人发送调换龙头方向的服饰扣正面设计图（</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），陈某回复有红笔标注的服饰扣正面设计图（</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日</w:t>
      </w:r>
      <w:bookmarkStart w:id="21" w:name="WKJC_2c999f6095cb8b4b0195db6aa07831e8"/>
      <w:r>
        <w:rPr>
          <w:rFonts w:hint="eastAsia" w:ascii="仿宋_GB2312" w:hAnsi="Times New Roman" w:eastAsia="仿宋_GB2312" w:cs="仿宋_GB2312"/>
          <w:kern w:val="2"/>
          <w:sz w:val="32"/>
          <w:szCs w:val="32"/>
          <w:lang w:val="en-US" w:eastAsia="zh-CN" w:bidi="ar"/>
        </w:rPr>
        <w:t>下午</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时</w:t>
      </w:r>
      <w:bookmarkEnd w:id="21"/>
      <w:r>
        <w:rPr>
          <w:rFonts w:hint="default" w:ascii="Times New Roman" w:hAnsi="Times New Roman" w:eastAsia="仿宋_GB2312" w:cs="Times New Roman"/>
          <w:kern w:val="2"/>
          <w:sz w:val="32"/>
          <w:szCs w:val="32"/>
          <w:lang w:val="en-US" w:eastAsia="zh-CN" w:bidi="ar"/>
        </w:rPr>
        <w:t>52</w:t>
      </w:r>
      <w:r>
        <w:rPr>
          <w:rFonts w:hint="eastAsia" w:ascii="仿宋_GB2312" w:hAnsi="Times New Roman" w:eastAsia="仿宋_GB2312" w:cs="仿宋_GB2312"/>
          <w:kern w:val="2"/>
          <w:sz w:val="32"/>
          <w:szCs w:val="32"/>
          <w:lang w:val="en-US" w:eastAsia="zh-CN" w:bidi="ar"/>
        </w:rPr>
        <w:t>分，案外人发送三张模型图，正面包含两条龙纹、轮廓形状与涉案专利基本一致。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分，案外人发送样品照片。此外该聊天记录中存在多条语音聊天、语音通话记录。</w:t>
      </w:r>
    </w:p>
    <w:p w14:paraId="4EC1D04F">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温某与陈某的某甲平台聊天记录显示，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分，陈某发送带有龙纹的服饰扣正面设计图（</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），温某回复“可以”。陈某说“</w:t>
      </w:r>
      <w:bookmarkStart w:id="22" w:name="WKJC_2c999f6095cb8b4b0195db6aa07831ec"/>
      <w:r>
        <w:rPr>
          <w:rFonts w:hint="eastAsia" w:ascii="仿宋_GB2312" w:hAnsi="Times New Roman" w:eastAsia="仿宋_GB2312" w:cs="仿宋_GB2312"/>
          <w:kern w:val="2"/>
          <w:sz w:val="32"/>
          <w:szCs w:val="32"/>
          <w:lang w:val="en-US" w:eastAsia="zh-CN" w:bidi="ar"/>
        </w:rPr>
        <w:t>好的好的</w:t>
      </w:r>
      <w:bookmarkEnd w:id="22"/>
      <w:r>
        <w:rPr>
          <w:rFonts w:hint="eastAsia" w:ascii="仿宋_GB2312" w:hAnsi="Times New Roman" w:eastAsia="仿宋_GB2312" w:cs="仿宋_GB2312"/>
          <w:kern w:val="2"/>
          <w:sz w:val="32"/>
          <w:szCs w:val="32"/>
          <w:lang w:val="en-US" w:eastAsia="zh-CN" w:bidi="ar"/>
        </w:rPr>
        <w:t>可以，那我让他干啊。”温某说“拉一下，拉饱满一点”“波某，转一下，龙头朝前”“让他稍微拉一下，拉变形，尽量把整个画面拉饱满”“基本上雕出来就可以，龙头朝前嘛，龙头在前面”“龙头在圆形那一边”。陈某发送调换龙头方向的服饰扣正面设计图（</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其后，陈某根据温某的要求，对正面设计图进行调整，陈某说“老师，你用那个手机那个编辑跟哪个地方给他改一下，哪个地方要改拉长一点，你稍微往前拉一点，我再发给他，可以吧？”后温某发送有红笔标注的服饰扣正面设计图（</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）并说“我只画一边，我两边画不对称，我画一边我想他应该能够明白了。”</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分，陈某发送新的服饰扣正面设计图，温某回复“可以的，就下面那个角不是伸出来了吗？把它那点缩回去就可以了。”</w:t>
      </w:r>
    </w:p>
    <w:p w14:paraId="79911041">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温某与案外人唐某甲的某甲平台聊天记录显示，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22</w:t>
      </w:r>
      <w:r>
        <w:rPr>
          <w:rFonts w:hint="eastAsia" w:ascii="仿宋_GB2312" w:hAnsi="Times New Roman" w:eastAsia="仿宋_GB2312" w:cs="仿宋_GB2312"/>
          <w:kern w:val="2"/>
          <w:sz w:val="32"/>
          <w:szCs w:val="32"/>
          <w:lang w:val="en-US" w:eastAsia="zh-CN" w:bidi="ar"/>
        </w:rPr>
        <w:t>分，温某向唐某甲发送涉案专利产品的视频，并发送语音“这些东西的设计费呀，然后还有版权啊，都是我们自己的原创你知道吧。而且，我们这个款式更新很快的，我们都是根据那个剧情需要来做设计的”。同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21</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分，温某发送两张涉案专利试制样品图片，并发送“唐某乙，这个背后改好没有？改好了明天一起报价一起订了”“这个要</w:t>
      </w:r>
      <w:r>
        <w:rPr>
          <w:rFonts w:hint="default" w:ascii="Times New Roman" w:hAnsi="Times New Roman" w:eastAsia="仿宋_GB2312" w:cs="Times New Roman"/>
          <w:kern w:val="2"/>
          <w:sz w:val="32"/>
          <w:szCs w:val="32"/>
          <w:lang w:val="en-US" w:eastAsia="zh-CN" w:bidi="ar"/>
        </w:rPr>
        <w:t>1000</w:t>
      </w:r>
      <w:r>
        <w:rPr>
          <w:rFonts w:hint="eastAsia" w:ascii="仿宋_GB2312" w:hAnsi="Times New Roman" w:eastAsia="仿宋_GB2312" w:cs="仿宋_GB2312"/>
          <w:kern w:val="2"/>
          <w:sz w:val="32"/>
          <w:szCs w:val="32"/>
          <w:lang w:val="en-US" w:eastAsia="zh-CN" w:bidi="ar"/>
        </w:rPr>
        <w:t>个。”</w:t>
      </w:r>
    </w:p>
    <w:p w14:paraId="2F6D3C22">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温某与陈某的某甲平台聊天记录显示，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21</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39</w:t>
      </w:r>
      <w:r>
        <w:rPr>
          <w:rFonts w:hint="eastAsia" w:ascii="仿宋_GB2312" w:hAnsi="Times New Roman" w:eastAsia="仿宋_GB2312" w:cs="仿宋_GB2312"/>
          <w:kern w:val="2"/>
          <w:sz w:val="32"/>
          <w:szCs w:val="32"/>
          <w:lang w:val="en-US" w:eastAsia="zh-CN" w:bidi="ar"/>
        </w:rPr>
        <w:t>分，温某向陈某发送某甲平台消息：“波总，反正</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号你过来，钱都准备好了，善后工作完成，尾款给你清了，以后互相不要打扰。但是款付清了就等于前面的模具、设计都是我彻底买下的了。你要用我的模具，我的设计，我也没有理由白给你用，如果你不用就不提了，但是你要用，你要么买我模具出的产品，我也可以卖给你。成本嘛你也是知道的，你给点合理的毛利，我也同意就行了。起码也是对买家的尊重。但是你要不经我同意拿来用，这肯定也是侵权行为。也是不讲商业信用的。反正一码归一码，账必须算清楚。我知道你看不起这种做法，觉得我是废话，但是我还是</w:t>
      </w:r>
      <w:bookmarkStart w:id="23" w:name="WKJC_2c999f6095cb8b4b0195db6aa07831fe"/>
      <w:r>
        <w:rPr>
          <w:rFonts w:hint="eastAsia" w:ascii="仿宋_GB2312" w:hAnsi="Times New Roman" w:eastAsia="仿宋_GB2312" w:cs="仿宋_GB2312"/>
          <w:kern w:val="2"/>
          <w:sz w:val="32"/>
          <w:szCs w:val="32"/>
          <w:lang w:val="en-US" w:eastAsia="zh-CN" w:bidi="ar"/>
        </w:rPr>
        <w:t>啰嗦</w:t>
      </w:r>
      <w:bookmarkEnd w:id="23"/>
      <w:r>
        <w:rPr>
          <w:rFonts w:hint="eastAsia" w:ascii="仿宋_GB2312" w:hAnsi="Times New Roman" w:eastAsia="仿宋_GB2312" w:cs="仿宋_GB2312"/>
          <w:kern w:val="2"/>
          <w:sz w:val="32"/>
          <w:szCs w:val="32"/>
          <w:lang w:val="en-US" w:eastAsia="zh-CN" w:bidi="ar"/>
        </w:rPr>
        <w:t>一下正确的废话，把话说在前面，先说断，后不乱。”</w:t>
      </w:r>
      <w:r>
        <w:rPr>
          <w:rFonts w:hint="default" w:ascii="Times New Roman" w:hAnsi="Times New Roman" w:eastAsia="仿宋_GB2312" w:cs="Times New Roman"/>
          <w:kern w:val="2"/>
          <w:sz w:val="32"/>
          <w:szCs w:val="32"/>
          <w:lang w:val="en-US" w:eastAsia="zh-CN" w:bidi="ar"/>
        </w:rPr>
        <w:t>21</w:t>
      </w:r>
      <w:r>
        <w:rPr>
          <w:rFonts w:hint="eastAsia" w:ascii="仿宋_GB2312" w:hAnsi="Times New Roman" w:eastAsia="仿宋_GB2312" w:cs="仿宋_GB2312"/>
          <w:kern w:val="2"/>
          <w:sz w:val="32"/>
          <w:szCs w:val="32"/>
          <w:lang w:val="en-US" w:eastAsia="zh-CN" w:bidi="ar"/>
        </w:rPr>
        <w:t>时</w:t>
      </w:r>
      <w:r>
        <w:rPr>
          <w:rFonts w:hint="default" w:ascii="Times New Roman" w:hAnsi="Times New Roman" w:eastAsia="仿宋_GB2312" w:cs="Times New Roman"/>
          <w:kern w:val="2"/>
          <w:sz w:val="32"/>
          <w:szCs w:val="32"/>
          <w:lang w:val="en-US" w:eastAsia="zh-CN" w:bidi="ar"/>
        </w:rPr>
        <w:t>58</w:t>
      </w:r>
      <w:r>
        <w:rPr>
          <w:rFonts w:hint="eastAsia" w:ascii="仿宋_GB2312" w:hAnsi="Times New Roman" w:eastAsia="仿宋_GB2312" w:cs="仿宋_GB2312"/>
          <w:kern w:val="2"/>
          <w:sz w:val="32"/>
          <w:szCs w:val="32"/>
          <w:lang w:val="en-US" w:eastAsia="zh-CN" w:bidi="ar"/>
        </w:rPr>
        <w:t>分，陈某某甲平台回复：“我的模具都会自己开”“有需要我会找你买”。</w:t>
      </w:r>
    </w:p>
    <w:p w14:paraId="246A2AF1">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温某与陈某的支付宝转账记录显示，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日，陈某分别向温某转账</w:t>
      </w:r>
      <w:r>
        <w:rPr>
          <w:rFonts w:hint="default" w:ascii="Times New Roman" w:hAnsi="Times New Roman" w:eastAsia="仿宋_GB2312" w:cs="Times New Roman"/>
          <w:kern w:val="2"/>
          <w:sz w:val="32"/>
          <w:szCs w:val="32"/>
          <w:lang w:val="en-US" w:eastAsia="zh-CN" w:bidi="ar"/>
        </w:rPr>
        <w:t>7200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22472</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日，温某分别向陈某转账</w:t>
      </w:r>
      <w:r>
        <w:rPr>
          <w:rFonts w:hint="default" w:ascii="Times New Roman" w:hAnsi="Times New Roman" w:eastAsia="仿宋_GB2312" w:cs="Times New Roman"/>
          <w:kern w:val="2"/>
          <w:sz w:val="32"/>
          <w:szCs w:val="32"/>
          <w:lang w:val="en-US" w:eastAsia="zh-CN" w:bidi="ar"/>
        </w:rPr>
        <w:t>350000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300000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50000</w:t>
      </w:r>
      <w:r>
        <w:rPr>
          <w:rFonts w:hint="eastAsia" w:ascii="仿宋_GB2312" w:hAnsi="Times New Roman" w:eastAsia="仿宋_GB2312" w:cs="仿宋_GB2312"/>
          <w:kern w:val="2"/>
          <w:sz w:val="32"/>
          <w:szCs w:val="32"/>
          <w:lang w:val="en-US" w:eastAsia="zh-CN" w:bidi="ar"/>
        </w:rPr>
        <w:t>元，三笔转账记录均备注“购买陈某海宁战某股份”。</w:t>
      </w:r>
    </w:p>
    <w:p w14:paraId="0750D653">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战某之公司在二审庭审中明确，其在本案中主张的被诉侵权产品的某丙平台链接名称为“百某铸甲</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明制修身分体锁子甲女款中国甲胄金银铠甲盔甲汉服装”，战某之公司通过“生意参谋”获取该链接自</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日的销售情况，显示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月链接开始产生销量，至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日，销量合计</w:t>
      </w:r>
      <w:r>
        <w:rPr>
          <w:rFonts w:hint="default" w:ascii="Times New Roman" w:hAnsi="Times New Roman" w:eastAsia="仿宋_GB2312" w:cs="Times New Roman"/>
          <w:kern w:val="2"/>
          <w:sz w:val="32"/>
          <w:szCs w:val="32"/>
          <w:lang w:val="en-US" w:eastAsia="zh-CN" w:bidi="ar"/>
        </w:rPr>
        <w:t>104</w:t>
      </w:r>
      <w:r>
        <w:rPr>
          <w:rFonts w:hint="eastAsia" w:ascii="仿宋_GB2312" w:hAnsi="Times New Roman" w:eastAsia="仿宋_GB2312" w:cs="仿宋_GB2312"/>
          <w:kern w:val="2"/>
          <w:sz w:val="32"/>
          <w:szCs w:val="32"/>
          <w:lang w:val="en-US" w:eastAsia="zh-CN" w:bidi="ar"/>
        </w:rPr>
        <w:t>件，销售金额合计</w:t>
      </w:r>
      <w:r>
        <w:rPr>
          <w:rFonts w:hint="default" w:ascii="Times New Roman" w:hAnsi="Times New Roman" w:eastAsia="仿宋_GB2312" w:cs="Times New Roman"/>
          <w:kern w:val="2"/>
          <w:sz w:val="32"/>
          <w:szCs w:val="32"/>
          <w:lang w:val="en-US" w:eastAsia="zh-CN" w:bidi="ar"/>
        </w:rPr>
        <w:t>245659</w:t>
      </w:r>
      <w:r>
        <w:rPr>
          <w:rFonts w:hint="eastAsia" w:ascii="仿宋_GB2312" w:hAnsi="Times New Roman" w:eastAsia="仿宋_GB2312" w:cs="仿宋_GB2312"/>
          <w:kern w:val="2"/>
          <w:sz w:val="32"/>
          <w:szCs w:val="32"/>
          <w:lang w:val="en-US" w:eastAsia="zh-CN" w:bidi="ar"/>
        </w:rPr>
        <w:t>元。至二审庭审时，被诉侵权链接未下架。</w:t>
      </w:r>
    </w:p>
    <w:p w14:paraId="4D0EC0FD">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战某之公司的上诉请求和理由，以及百某公司、陈某的答辩意见，本院认为，本案二审争议焦点为：一、百某公司、陈某提出的先用权抗辩是否成立；二、如构成侵权，百某公司、陈某应承担的民事责任。百某公司、陈某在二审中明确不再主张现有设计抗辩，故本院不予审查评述。</w:t>
      </w:r>
    </w:p>
    <w:p w14:paraId="04DE520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关于争议焦点一</w:t>
      </w:r>
    </w:p>
    <w:p w14:paraId="57C397B4">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七十五条规定：“有下列情形之一的，不视为侵犯专利权……（二）在专利申请日前已经制造相同产品、使用相同方法或者已经作好制造、使用的必要准备，并且仅在原有范围内继续制造、使用的……”《最高人民法院关于审理侵犯专利权纠纷案件应用法律若干问题的解释》第十五条规定：“被诉侵权人以非法获得的技术或者设计主张先用权抗辩的，人民法院不予支持。”故此，合法获得被诉侵权设计，是被诉侵权人主张先用权抗辩的必要前提。</w:t>
      </w:r>
    </w:p>
    <w:p w14:paraId="6C8A706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本案中，双方均认可</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左右关于带有龙纹图案的服饰扣正面图样设计属于涉案专利及被诉侵权设计的创作起点，彼时陈某与温某均系战某之公司的投资人。从陈某与温某、陈某与案外人的某甲平台聊天记录内容看，在该设计方案的形成过程中，虽然记录显示陈某最早向案外人提出古代盔甲服饰扣参考图样以及龙纹图样，但龙头方向、拉伸饱满等重要布局修改、最终方案的确定均以温某的意见为准，陈某关于该设计是其独立完成，仅是向温某进行咨询的抗辩意见，不能成立。从战某之公司的经营范围以及陈某彼时与温某、战某之公司的关系来看，无论陈某是接受公司分配任务，还是接受公司委托，该服饰扣设计均应认定是为战某之公司进行。另根据同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日某甲平台聊天记录，温某向陈某发送</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但是款付清了就等于前面的模具、设计都是我彻底买下的了……你要不经我同意拿来用，这肯定也是侵权行为。也是不讲商业信用的。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陈某回复“我的模具都会自己开”“有需要我会找你买”。可见双方就此前合作期间形成的全部设计、模具归属于战某之公司已作明确约定，而涉案专利的主要设计特征在当时已经设计完成，结合前文所述设计过程和设计目的，可以认定双方上述约定的范围包含涉案服饰扣设计，百某公司、陈某辩称双方约定未明确包含该设计，本院不予采信。先用权抗辩制度所保护的先用者应当是合法、善意的，陈某明确知晓涉案服饰扣设计的具体内容及知识产权归属，却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月使用其入股战某之公司时掌握</w:t>
      </w:r>
      <w:bookmarkStart w:id="24" w:name="WKJC_2c999f6095cb8b4b0195db6aa0783208"/>
      <w:r>
        <w:rPr>
          <w:rFonts w:hint="eastAsia" w:ascii="仿宋_GB2312" w:hAnsi="Times New Roman" w:eastAsia="仿宋_GB2312" w:cs="仿宋_GB2312"/>
          <w:kern w:val="2"/>
          <w:sz w:val="32"/>
          <w:szCs w:val="32"/>
          <w:lang w:val="en-US" w:eastAsia="zh-CN" w:bidi="ar"/>
        </w:rPr>
        <w:t>的落入</w:t>
      </w:r>
      <w:bookmarkEnd w:id="24"/>
      <w:r>
        <w:rPr>
          <w:rFonts w:hint="eastAsia" w:ascii="仿宋_GB2312" w:hAnsi="Times New Roman" w:eastAsia="仿宋_GB2312" w:cs="仿宋_GB2312"/>
          <w:kern w:val="2"/>
          <w:sz w:val="32"/>
          <w:szCs w:val="32"/>
          <w:lang w:val="en-US" w:eastAsia="zh-CN" w:bidi="ar"/>
        </w:rPr>
        <w:t>涉案专利权保护范围的侵权设计委托某乙公司开模，该行为并非合法、善意的在先使用行为，故对于百某公司、陈某主张的先用权抗辩，本院不予支持。</w:t>
      </w:r>
    </w:p>
    <w:p w14:paraId="7F77A747">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关于争议焦点二</w:t>
      </w:r>
    </w:p>
    <w:p w14:paraId="52FAA989">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十一条第二款规定：“外观设计专利权被授予后，任何单位或者个人未经专利权人许可，都不得实施其专利，即不得为生产经营目的制造、许诺销售、销售、进口其外观设计专利产品。”百某公司未经专利权人许可，制造、销售、许诺销售落入涉案专利权保护范围的产品，应承担停止侵害、赔偿损失的民事责任。陈某系百某公司的股东，持股比例</w:t>
      </w:r>
      <w:r>
        <w:rPr>
          <w:rFonts w:hint="default" w:ascii="Times New Roman" w:hAnsi="Times New Roman" w:eastAsia="仿宋_GB2312" w:cs="Times New Roman"/>
          <w:kern w:val="2"/>
          <w:sz w:val="32"/>
          <w:szCs w:val="32"/>
          <w:lang w:val="en-US" w:eastAsia="zh-CN" w:bidi="ar"/>
        </w:rPr>
        <w:t>40%</w:t>
      </w:r>
      <w:r>
        <w:rPr>
          <w:rFonts w:hint="eastAsia" w:ascii="仿宋_GB2312" w:hAnsi="Times New Roman" w:eastAsia="仿宋_GB2312" w:cs="仿宋_GB2312"/>
          <w:kern w:val="2"/>
          <w:sz w:val="32"/>
          <w:szCs w:val="32"/>
          <w:lang w:val="en-US" w:eastAsia="zh-CN" w:bidi="ar"/>
        </w:rPr>
        <w:t>。涉案店铺经营者原为陈某，后于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日变更为百某公司。陈某参与了涉案服饰扣的设计过程，在明知该设计方案的知识产权归属于战某之公司的情况下，仍于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委托案外人某乙公司开模，准备制造被诉侵权产品，销货单上载明客户名称“海宁陈某”。由此可见，陈某主观上与百某公司存在侵权的意思联络，客观上分工合作共同实施被诉侵权行为，应与百某公司承担共同侵权责任。对战某之公司要求百某公司、陈某停止制造、销售、许诺销售被诉侵权产品的诉请，本院予以支持。</w:t>
      </w:r>
    </w:p>
    <w:p w14:paraId="3B66AAA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赔偿金额，《中华人民共和国专利法》第七十一条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赔偿数额还应当包括权利人为制止侵权行为所支付的合理开支。”</w:t>
      </w:r>
    </w:p>
    <w:p w14:paraId="48C3425F">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本案中，战某之公司主张按百某公司、陈某的侵权获利计算赔偿金额，明确主张侵权赔偿范围限于名称为“百某铸甲</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明制修身分体锁子甲女款中国甲胄金银铠甲盔甲汉服装”的某丙平台链接，并主张：</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该链接</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月一年销售额为</w:t>
      </w:r>
      <w:r>
        <w:rPr>
          <w:rFonts w:hint="default" w:ascii="Times New Roman" w:hAnsi="Times New Roman" w:eastAsia="仿宋_GB2312" w:cs="Times New Roman"/>
          <w:kern w:val="2"/>
          <w:sz w:val="32"/>
          <w:szCs w:val="32"/>
          <w:lang w:val="en-US" w:eastAsia="zh-CN" w:bidi="ar"/>
        </w:rPr>
        <w:t>245659</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自</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月专利申请时间至</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月上诉前，该链接持续销售，侵权时间为两年；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销售利润为销售额的</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涉案专利对于被诉链接甲胄产品的贡献率为</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。由此计算百某公司、陈某侵权获利为</w:t>
      </w:r>
      <w:r>
        <w:rPr>
          <w:rFonts w:hint="default" w:ascii="Times New Roman" w:hAnsi="Times New Roman" w:eastAsia="仿宋_GB2312" w:cs="Times New Roman"/>
          <w:kern w:val="2"/>
          <w:sz w:val="32"/>
          <w:szCs w:val="32"/>
          <w:lang w:val="en-US" w:eastAsia="zh-CN" w:bidi="ar"/>
        </w:rPr>
        <w:t>245659*2*50%*30%=73697.7</w:t>
      </w:r>
      <w:r>
        <w:rPr>
          <w:rFonts w:hint="eastAsia" w:ascii="仿宋_GB2312" w:hAnsi="Times New Roman" w:eastAsia="仿宋_GB2312" w:cs="仿宋_GB2312"/>
          <w:kern w:val="2"/>
          <w:sz w:val="32"/>
          <w:szCs w:val="32"/>
          <w:lang w:val="en-US" w:eastAsia="zh-CN" w:bidi="ar"/>
        </w:rPr>
        <w:t>元。对此本院认为，被诉侵权产品服饰扣仅是甲胄产品的诸多配件之一，且占比较小，无证据证明涉案链接中甲胄产品的销售利润及被诉侵权产品对甲胄产品整体的利润贡献率，该链接自</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月起实际产生销量，故</w:t>
      </w:r>
      <w:r>
        <w:rPr>
          <w:rFonts w:hint="default" w:ascii="Times New Roman" w:hAnsi="Times New Roman" w:eastAsia="仿宋_GB2312" w:cs="Times New Roman"/>
          <w:kern w:val="2"/>
          <w:sz w:val="32"/>
          <w:szCs w:val="32"/>
          <w:lang w:val="en-US" w:eastAsia="zh-CN" w:bidi="ar"/>
        </w:rPr>
        <w:t>245659</w:t>
      </w:r>
      <w:r>
        <w:rPr>
          <w:rFonts w:hint="eastAsia" w:ascii="仿宋_GB2312" w:hAnsi="Times New Roman" w:eastAsia="仿宋_GB2312" w:cs="仿宋_GB2312"/>
          <w:kern w:val="2"/>
          <w:sz w:val="32"/>
          <w:szCs w:val="32"/>
          <w:lang w:val="en-US" w:eastAsia="zh-CN" w:bidi="ar"/>
        </w:rPr>
        <w:t>元并非</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个月的销售额，以此作为基数计算亦不准确。故此，对于战某之公司主张的计算方式，本院不予支持。在案证据不能证明战某之公司因被侵权所受到的实际损失和百某公司、陈某因侵权所获得的利益，亦无专利许可使用费可供参照，故应适用法定赔偿方式确定赔偿金额。本院尤其注意到以下因素：</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涉案专利为外观设计专利，对甲胄产品利润有一定贡献度，但在整体中占比较小；</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百某公司、陈某实施了制造、销售、许诺销售被诉侵权产品的行为；</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被诉侵权链接至今持续销售包含被诉侵权产品的甲胄产品；</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陈某明知涉案专利设计方案归属于战某之公司，仍实施被诉侵权行为，主观故意明显；</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战某之公司为本案维权公证取证，并委托律师出庭，付出了一定的维权合理开支。综合考虑上述权利因素与侵权、维权因素，本院酌情确定百某公司、陈某赔偿战某之公司经济损失及合理维权费用共计</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万元。</w:t>
      </w:r>
    </w:p>
    <w:p w14:paraId="306F8529">
      <w:pPr>
        <w:pStyle w:val="2"/>
        <w:keepNext w:val="0"/>
        <w:keepLines w:val="0"/>
        <w:widowControl w:val="0"/>
        <w:suppressLineNumbers w:val="0"/>
        <w:autoSpaceDE w:val="0"/>
        <w:autoSpaceDN/>
        <w:spacing w:before="100" w:beforeAutospacing="1" w:after="0" w:afterAutospacing="0" w:line="572" w:lineRule="exact"/>
        <w:ind w:left="0" w:right="0"/>
        <w:rPr>
          <w:rFonts w:hint="default" w:ascii="Times New Roman" w:hAnsi="Times New Roman" w:eastAsia="仿宋_GB2312" w:cs="Times New Roman"/>
          <w:kern w:val="2"/>
          <w:sz w:val="28"/>
          <w:szCs w:val="28"/>
        </w:rPr>
      </w:pPr>
      <w:r>
        <w:rPr>
          <w:rFonts w:hint="eastAsia" w:ascii="Times New Roman" w:hAnsi="Times New Roman" w:eastAsia="仿宋_GB2312" w:cs="Times New Roman"/>
          <w:kern w:val="2"/>
          <w:sz w:val="32"/>
          <w:szCs w:val="32"/>
        </w:rPr>
        <w:t xml:space="preserve">    </w:t>
      </w:r>
      <w:r>
        <w:rPr>
          <w:rFonts w:hint="eastAsia" w:ascii="仿宋_GB2312" w:hAnsi="Times New Roman" w:eastAsia="仿宋_GB2312" w:cs="仿宋_GB2312"/>
          <w:kern w:val="2"/>
          <w:sz w:val="32"/>
          <w:szCs w:val="32"/>
        </w:rPr>
        <w:t>此外，关于二审诉讼费用分担，《</w:t>
      </w:r>
      <w:r>
        <w:rPr>
          <w:rFonts w:hint="eastAsia" w:ascii="仿宋_GB2312" w:hAnsi="Times New Roman" w:eastAsia="仿宋_GB2312" w:cs="仿宋_GB2312"/>
          <w:b w:val="0"/>
          <w:kern w:val="2"/>
          <w:sz w:val="32"/>
          <w:szCs w:val="32"/>
        </w:rPr>
        <w:t>诉讼费用交纳办法》第四十条规定，</w:t>
      </w:r>
      <w:r>
        <w:rPr>
          <w:rFonts w:hint="eastAsia" w:ascii="仿宋_GB2312" w:hAnsi="Times New Roman" w:eastAsia="仿宋_GB2312" w:cs="仿宋_GB2312"/>
          <w:kern w:val="2"/>
          <w:sz w:val="32"/>
          <w:szCs w:val="32"/>
        </w:rPr>
        <w:t>当事人因自身原因未能在举证期限内举证，在二审或者再审期间提出新的证据致使诉讼费用增加的，增加的诉讼费用由该当事人负担。本案中，由于战某之公司提交新的证据，影响法院认定事实，进而导致改判结果，而该些证据显然早已由战某之公司掌握，对于二审因此新增加的诉讼费用，由战某之公司负担。</w:t>
      </w:r>
    </w:p>
    <w:p w14:paraId="024A9682">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综上，战某之公司的上诉请求成立，本院予以支持。由于二审出现新证据，本院根据新查明的事实予以改判。依照《中华人民共和国民事诉讼法》第一百七十七条第一款第二项规定，判决如下：</w:t>
      </w:r>
    </w:p>
    <w:p w14:paraId="1B61BA61">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一、撤销浙江省杭州市中级人民法院（</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1639</w:t>
      </w:r>
      <w:r>
        <w:rPr>
          <w:rFonts w:hint="eastAsia" w:ascii="仿宋_GB2312" w:hAnsi="Times New Roman" w:eastAsia="仿宋_GB2312" w:cs="仿宋_GB2312"/>
          <w:kern w:val="2"/>
          <w:sz w:val="32"/>
          <w:szCs w:val="32"/>
          <w:lang w:val="en-US" w:eastAsia="zh-CN" w:bidi="ar"/>
        </w:rPr>
        <w:t>号民事判决；</w:t>
      </w:r>
    </w:p>
    <w:p w14:paraId="61B08798">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二、杭州百某文化创意有限公司、陈某立即停止制造、销售、许诺销售侵害海宁市战某之体育文化有限公司专利号为</w:t>
      </w:r>
      <w:r>
        <w:rPr>
          <w:rFonts w:hint="default" w:ascii="Times New Roman" w:hAnsi="Times New Roman" w:eastAsia="仿宋_GB2312" w:cs="Times New Roman"/>
          <w:kern w:val="2"/>
          <w:sz w:val="32"/>
          <w:szCs w:val="32"/>
          <w:lang w:val="en-US" w:eastAsia="zh-CN" w:bidi="ar"/>
        </w:rPr>
        <w:t>ZL2022****0400.4</w:t>
      </w:r>
      <w:r>
        <w:rPr>
          <w:rFonts w:hint="eastAsia" w:ascii="仿宋_GB2312" w:hAnsi="Times New Roman" w:eastAsia="仿宋_GB2312" w:cs="仿宋_GB2312"/>
          <w:kern w:val="2"/>
          <w:sz w:val="32"/>
          <w:szCs w:val="32"/>
          <w:lang w:val="en-US" w:eastAsia="zh-CN" w:bidi="ar"/>
        </w:rPr>
        <w:t>、名称为“服饰扣（双龙铊尾）”的外观设计专利权的产品；</w:t>
      </w:r>
    </w:p>
    <w:p w14:paraId="52E81DF6">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三、杭州百某文化创意有限公司、陈某于本判决送达之日起十日内赔偿海宁市战某之体育文化有限公司经济损失及合理维权费用共计</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万元；</w:t>
      </w:r>
    </w:p>
    <w:p w14:paraId="564CA661">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四、驳回海宁市战某之体育文化有限公司的其他诉讼请求。</w:t>
      </w:r>
    </w:p>
    <w:p w14:paraId="7B4691F9">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如果未按本判决指定的期间履行给付金钱义务，应当依照《中华人民共和国民事诉讼法》第二百六十四条之规定，加倍支付迟延履行期间的债务利息。</w:t>
      </w:r>
    </w:p>
    <w:p w14:paraId="3858FFE5">
      <w:pPr>
        <w:keepNext w:val="0"/>
        <w:keepLines w:val="0"/>
        <w:widowControl w:val="0"/>
        <w:suppressLineNumbers w:val="0"/>
        <w:autoSpaceDE w:val="0"/>
        <w:autoSpaceDN/>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一审案件受理费</w:t>
      </w:r>
      <w:r>
        <w:rPr>
          <w:rFonts w:hint="default" w:ascii="Times New Roman" w:hAnsi="Times New Roman" w:eastAsia="仿宋_GB2312" w:cs="Times New Roman"/>
          <w:kern w:val="2"/>
          <w:sz w:val="32"/>
          <w:szCs w:val="32"/>
          <w:lang w:val="en-US" w:eastAsia="zh-CN" w:bidi="ar"/>
        </w:rPr>
        <w:t>8140</w:t>
      </w:r>
      <w:r>
        <w:rPr>
          <w:rFonts w:hint="eastAsia" w:ascii="仿宋_GB2312" w:hAnsi="Times New Roman" w:eastAsia="仿宋_GB2312" w:cs="仿宋_GB2312"/>
          <w:kern w:val="2"/>
          <w:sz w:val="32"/>
          <w:szCs w:val="32"/>
          <w:lang w:val="en-US" w:eastAsia="zh-CN" w:bidi="ar"/>
        </w:rPr>
        <w:t>元，由海宁市战某之体育文化有限公司负担</w:t>
      </w:r>
      <w:r>
        <w:rPr>
          <w:rFonts w:hint="default" w:ascii="Times New Roman" w:hAnsi="Times New Roman" w:eastAsia="仿宋_GB2312" w:cs="Times New Roman"/>
          <w:kern w:val="2"/>
          <w:sz w:val="32"/>
          <w:szCs w:val="32"/>
          <w:lang w:val="en-US" w:eastAsia="zh-CN" w:bidi="ar"/>
        </w:rPr>
        <w:t>3713</w:t>
      </w:r>
      <w:r>
        <w:rPr>
          <w:rFonts w:hint="eastAsia" w:ascii="仿宋_GB2312" w:hAnsi="Times New Roman" w:eastAsia="仿宋_GB2312" w:cs="仿宋_GB2312"/>
          <w:kern w:val="2"/>
          <w:sz w:val="32"/>
          <w:szCs w:val="32"/>
          <w:lang w:val="en-US" w:eastAsia="zh-CN" w:bidi="ar"/>
        </w:rPr>
        <w:t>元，杭州百某文化创意有限公司、陈某共同负担</w:t>
      </w:r>
      <w:r>
        <w:rPr>
          <w:rFonts w:hint="default" w:ascii="Times New Roman" w:hAnsi="Times New Roman" w:eastAsia="仿宋_GB2312" w:cs="Times New Roman"/>
          <w:kern w:val="2"/>
          <w:sz w:val="32"/>
          <w:szCs w:val="32"/>
          <w:lang w:val="en-US" w:eastAsia="zh-CN" w:bidi="ar"/>
        </w:rPr>
        <w:t>4427</w:t>
      </w:r>
      <w:r>
        <w:rPr>
          <w:rFonts w:hint="eastAsia" w:ascii="仿宋_GB2312" w:hAnsi="Times New Roman" w:eastAsia="仿宋_GB2312" w:cs="仿宋_GB2312"/>
          <w:kern w:val="2"/>
          <w:sz w:val="32"/>
          <w:szCs w:val="32"/>
          <w:lang w:val="en-US" w:eastAsia="zh-CN" w:bidi="ar"/>
        </w:rPr>
        <w:t>元；二审案件受理费</w:t>
      </w:r>
      <w:r>
        <w:rPr>
          <w:rFonts w:hint="default" w:ascii="Times New Roman" w:hAnsi="Times New Roman" w:eastAsia="仿宋_GB2312" w:cs="Times New Roman"/>
          <w:kern w:val="2"/>
          <w:sz w:val="32"/>
          <w:szCs w:val="32"/>
          <w:lang w:val="en-US" w:eastAsia="zh-CN" w:bidi="ar"/>
        </w:rPr>
        <w:t>1462</w:t>
      </w:r>
      <w:r>
        <w:rPr>
          <w:rFonts w:hint="eastAsia" w:ascii="仿宋_GB2312" w:hAnsi="Times New Roman" w:eastAsia="仿宋_GB2312" w:cs="仿宋_GB2312"/>
          <w:kern w:val="2"/>
          <w:sz w:val="32"/>
          <w:szCs w:val="32"/>
          <w:lang w:val="en-US" w:eastAsia="zh-CN" w:bidi="ar"/>
        </w:rPr>
        <w:t>元，由海宁市战某之体育文化有限公司负担。</w:t>
      </w:r>
    </w:p>
    <w:p w14:paraId="3D464A2B">
      <w:pPr>
        <w:keepNext w:val="0"/>
        <w:keepLines w:val="0"/>
        <w:widowControl w:val="0"/>
        <w:suppressLineNumbers w:val="0"/>
        <w:spacing w:before="0" w:beforeAutospacing="0" w:after="0" w:afterAutospacing="0" w:line="572" w:lineRule="exact"/>
        <w:ind w:left="0" w:right="0" w:firstLine="640" w:firstLineChars="200"/>
        <w:jc w:val="both"/>
        <w:rPr>
          <w:rFonts w:hint="eastAsia" w:ascii="Times New Roman" w:hAnsi="Times New Roman" w:eastAsia="仿宋_GB2312" w:cs="Times New Roman"/>
          <w:kern w:val="2"/>
          <w:sz w:val="28"/>
          <w:szCs w:val="28"/>
        </w:rPr>
      </w:pPr>
      <w:r>
        <w:rPr>
          <w:rFonts w:hint="eastAsia" w:ascii="仿宋_GB2312" w:hAnsi="Times New Roman" w:eastAsia="仿宋_GB2312" w:cs="仿宋_GB2312"/>
          <w:kern w:val="2"/>
          <w:sz w:val="32"/>
          <w:szCs w:val="32"/>
          <w:lang w:val="en-US" w:eastAsia="zh-CN" w:bidi="ar"/>
        </w:rPr>
        <w:t>本判决为终审判决。</w:t>
      </w:r>
    </w:p>
    <w:p w14:paraId="09120AA5">
      <w:pPr>
        <w:pStyle w:val="2"/>
        <w:widowControl/>
        <w:spacing w:before="100" w:beforeAutospacing="1"/>
        <w:ind w:left="0" w:right="0"/>
        <w:rPr>
          <w:rFonts w:hint="eastAsia" w:ascii="Times New Roman" w:hAnsi="Times New Roman" w:eastAsia="仿宋_GB2312" w:cs="Times New Roman"/>
          <w:kern w:val="2"/>
          <w:sz w:val="28"/>
          <w:szCs w:val="28"/>
        </w:rPr>
      </w:pPr>
      <w:r>
        <w:rPr>
          <w:rFonts w:hint="eastAsia" w:ascii="Times New Roman" w:hAnsi="Times New Roman" w:eastAsia="仿宋_GB2312" w:cs="Times New Roman"/>
          <w:kern w:val="2"/>
          <w:sz w:val="28"/>
          <w:szCs w:val="28"/>
        </w:rPr>
        <w:t xml:space="preserve"> </w:t>
      </w:r>
    </w:p>
    <w:p w14:paraId="613FA42D">
      <w:pPr>
        <w:keepNext w:val="0"/>
        <w:keepLines w:val="0"/>
        <w:widowControl w:val="0"/>
        <w:suppressLineNumbers w:val="0"/>
        <w:tabs>
          <w:tab w:val="left" w:pos="4304"/>
        </w:tabs>
        <w:spacing w:before="0" w:beforeAutospacing="0" w:after="0" w:afterAutospacing="0" w:line="592" w:lineRule="exact"/>
        <w:ind w:left="0" w:right="0" w:firstLine="4489" w:firstLineChars="1403"/>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琼</w:t>
      </w:r>
    </w:p>
    <w:p w14:paraId="137F11B5">
      <w:pPr>
        <w:keepNext w:val="0"/>
        <w:keepLines w:val="0"/>
        <w:widowControl w:val="0"/>
        <w:suppressLineNumbers w:val="0"/>
        <w:tabs>
          <w:tab w:val="left" w:pos="4304"/>
        </w:tabs>
        <w:spacing w:before="0" w:beforeAutospacing="0" w:after="0" w:afterAutospacing="0" w:line="592" w:lineRule="exact"/>
        <w:ind w:left="0" w:right="0" w:firstLine="4489" w:firstLineChars="1403"/>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75ADCAEB">
      <w:pPr>
        <w:keepNext w:val="0"/>
        <w:keepLines w:val="0"/>
        <w:widowControl w:val="0"/>
        <w:suppressLineNumbers w:val="0"/>
        <w:tabs>
          <w:tab w:val="left" w:pos="4304"/>
        </w:tabs>
        <w:spacing w:before="0" w:beforeAutospacing="0" w:after="0" w:afterAutospacing="0" w:line="592" w:lineRule="exact"/>
        <w:ind w:left="0" w:right="0" w:firstLine="4489" w:firstLineChars="1403"/>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42DEA340">
      <w:pPr>
        <w:keepNext w:val="0"/>
        <w:keepLines w:val="0"/>
        <w:widowControl w:val="0"/>
        <w:suppressLineNumbers w:val="0"/>
        <w:tabs>
          <w:tab w:val="left" w:pos="4304"/>
        </w:tabs>
        <w:spacing w:before="0" w:beforeAutospacing="0" w:after="0" w:afterAutospacing="0" w:line="592" w:lineRule="exact"/>
        <w:ind w:left="0" w:right="0" w:firstLine="4489" w:firstLineChars="1403"/>
        <w:jc w:val="both"/>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bidi="ar"/>
        </w:rPr>
        <w:t xml:space="preserve"> </w:t>
      </w:r>
    </w:p>
    <w:p w14:paraId="44CEEC30">
      <w:pPr>
        <w:keepNext w:val="0"/>
        <w:keepLines w:val="0"/>
        <w:widowControl w:val="0"/>
        <w:suppressLineNumbers w:val="0"/>
        <w:tabs>
          <w:tab w:val="left" w:pos="5918"/>
        </w:tabs>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7182C616">
      <w:pPr>
        <w:keepNext w:val="0"/>
        <w:keepLines w:val="0"/>
        <w:widowControl w:val="0"/>
        <w:suppressLineNumbers w:val="0"/>
        <w:tabs>
          <w:tab w:val="left" w:pos="5918"/>
        </w:tabs>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6A962838">
      <w:pPr>
        <w:pStyle w:val="2"/>
        <w:widowControl/>
        <w:spacing w:before="100" w:beforeAutospacing="1"/>
        <w:ind w:left="0" w:right="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 xml:space="preserve"> </w:t>
      </w:r>
    </w:p>
    <w:tbl>
      <w:tblPr>
        <w:tblStyle w:val="4"/>
        <w:tblW w:w="0" w:type="auto"/>
        <w:tblInd w:w="4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7"/>
      </w:tblGrid>
      <w:tr w14:paraId="27E2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777" w:type="dxa"/>
            <w:tcBorders>
              <w:top w:val="nil"/>
              <w:left w:val="nil"/>
              <w:bottom w:val="nil"/>
              <w:right w:val="nil"/>
            </w:tcBorders>
            <w:noWrap/>
            <w:vAlign w:val="top"/>
          </w:tcPr>
          <w:p w14:paraId="3AAEB871">
            <w:pPr>
              <w:pStyle w:val="3"/>
              <w:widowControl/>
              <w:spacing w:line="592" w:lineRule="exact"/>
              <w:jc w:val="distribute"/>
              <w:rPr>
                <w:rFonts w:hint="default" w:ascii="Times New Roman" w:hAnsi="Times New Roman" w:eastAsia="仿宋_GB2312" w:cs="Times New Roman"/>
                <w:kern w:val="2"/>
                <w:sz w:val="32"/>
                <w:szCs w:val="32"/>
              </w:rPr>
            </w:pPr>
            <w:r>
              <w:rPr>
                <w:rFonts w:hint="eastAsia" w:ascii="仿宋_GB2312" w:hAnsi="Times New Roman" w:eastAsia="仿宋_GB2312" w:cs="仿宋_GB2312"/>
                <w:spacing w:val="-45"/>
                <w:kern w:val="2"/>
                <w:sz w:val="32"/>
                <w:szCs w:val="32"/>
              </w:rPr>
              <w:t>二○二五年三月二十八日</w:t>
            </w:r>
          </w:p>
        </w:tc>
      </w:tr>
    </w:tbl>
    <w:p w14:paraId="5BB7DF58">
      <w:pPr>
        <w:keepNext w:val="0"/>
        <w:keepLines w:val="0"/>
        <w:widowControl w:val="0"/>
        <w:suppressLineNumbers w:val="0"/>
        <w:tabs>
          <w:tab w:val="left" w:pos="5649"/>
          <w:tab w:val="left" w:pos="5812"/>
          <w:tab w:val="left" w:pos="6456"/>
          <w:tab w:val="left" w:pos="7801"/>
          <w:tab w:val="left" w:pos="8070"/>
        </w:tabs>
        <w:autoSpaceDE w:val="0"/>
        <w:autoSpaceDN/>
        <w:spacing w:before="0" w:beforeAutospacing="0" w:after="0" w:afterAutospacing="0" w:line="57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683F146E">
      <w:pPr>
        <w:keepNext w:val="0"/>
        <w:keepLines w:val="0"/>
        <w:widowControl w:val="0"/>
        <w:suppressLineNumbers w:val="0"/>
        <w:tabs>
          <w:tab w:val="left" w:pos="5649"/>
          <w:tab w:val="left" w:pos="5918"/>
          <w:tab w:val="left" w:pos="6663"/>
          <w:tab w:val="left" w:pos="7801"/>
          <w:tab w:val="left" w:pos="8070"/>
        </w:tabs>
        <w:spacing w:before="0" w:beforeAutospacing="0" w:after="0" w:afterAutospacing="0" w:line="592" w:lineRule="exact"/>
        <w:ind w:left="0" w:right="0"/>
        <w:jc w:val="both"/>
        <w:rPr>
          <w:rFonts w:hint="eastAsia" w:ascii="Times New Roman" w:hAnsi="Times New Roman" w:eastAsia="仿宋_GB2312" w:cs="Times New Roman"/>
          <w:kern w:val="2"/>
          <w:sz w:val="28"/>
          <w:szCs w:val="28"/>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姜</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镭</w:t>
      </w:r>
      <w:r>
        <w:rPr>
          <w:rFonts w:hint="eastAsia" w:ascii="Times New Roman" w:hAnsi="Times New Roman" w:eastAsia="仿宋_GB2312" w:cs="Times New Roman"/>
          <w:kern w:val="2"/>
          <w:sz w:val="32"/>
          <w:szCs w:val="32"/>
          <w:lang w:val="en-US" w:eastAsia="zh-CN" w:bidi="ar"/>
        </w:rPr>
        <w:t xml:space="preserve"> </w:t>
      </w:r>
    </w:p>
    <w:p w14:paraId="5ED4DAB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BFF689F"/>
    <w:rsid w:val="3BFF689F"/>
    <w:rsid w:val="5DC955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4"/>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after="140" w:afterAutospacing="0" w:line="273" w:lineRule="auto"/>
      <w:jc w:val="both"/>
    </w:pPr>
    <w:rPr>
      <w:rFonts w:hint="default" w:ascii="Times New Roman" w:hAnsi="Times New Roman" w:eastAsia="仿宋_GB2312" w:cs="Times New Roman"/>
      <w:kern w:val="2"/>
      <w:sz w:val="28"/>
      <w:szCs w:val="28"/>
      <w:lang w:val="en-US" w:eastAsia="zh-CN" w:bidi="ar"/>
    </w:rPr>
  </w:style>
  <w:style w:type="paragraph" w:styleId="3">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仿宋_GB2312" w:cs="Times New Roman"/>
      <w:kern w:val="2"/>
      <w:sz w:val="28"/>
      <w:szCs w:val="28"/>
      <w:lang w:val="en-US" w:eastAsia="zh-CN" w:bidi="ar"/>
    </w:rPr>
  </w:style>
  <w:style w:type="character" w:customStyle="1" w:styleId="6">
    <w:name w:val="15"/>
    <w:basedOn w:val="5"/>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2026-06-30T17:04:00Z</dcterms:created>
  <dc:creator>王莉莉</dc:creator>
  <cp:lastModifiedBy>Laurent</cp:lastModifiedBy>
  <dcterms:modified xsi:type="dcterms:W3CDTF">2026-07-18T05:48:56Z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F46F96D49E6C4DA598C769397CEFD69E_13</vt:lpwstr>
  </property>
</Properties>
</file>