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0"/>
        <w:jc w:val="center"/>
        <w:rPr>
          <w:rFonts w:ascii="方正小标宋简体" w:hAnsi="宋体" w:eastAsia="方正小标宋简体"/>
          <w:sz w:val="44"/>
        </w:rPr>
      </w:pPr>
      <w:r>
        <w:rPr>
          <w:rFonts w:hint="eastAsia" w:ascii="方正小标宋简体" w:hAnsi="宋体" w:eastAsia="方正小标宋简体"/>
          <w:sz w:val="44"/>
        </w:rPr>
        <w:t>浙江省金华市中级人民法院</w:t>
      </w:r>
    </w:p>
    <w:p>
      <w:pPr>
        <w:widowControl w:val="0"/>
        <w:adjustRightInd/>
        <w:snapToGrid/>
        <w:spacing w:afterLines="200"/>
        <w:jc w:val="center"/>
        <w:rPr>
          <w:rFonts w:ascii="方正小标宋简体" w:hAnsi="宋体" w:eastAsia="方正小标宋简体"/>
          <w:sz w:val="44"/>
        </w:rPr>
      </w:pPr>
      <w:r>
        <w:rPr>
          <w:rFonts w:hint="eastAsia" w:ascii="方正小标宋简体" w:hAnsi="宋体" w:eastAsia="方正小标宋简体"/>
          <w:sz w:val="44"/>
        </w:rPr>
        <w:t>民事判决书</w:t>
      </w:r>
    </w:p>
    <w:p>
      <w:pPr>
        <w:widowControl w:val="0"/>
        <w:adjustRightInd/>
        <w:snapToGrid/>
        <w:spacing w:afterLines="100" w:line="380" w:lineRule="exact"/>
        <w:ind w:right="660" w:rightChars="300"/>
        <w:jc w:val="right"/>
        <w:rPr>
          <w:rFonts w:ascii="仿宋_GB2312" w:hAnsi="Times New Roman" w:eastAsia="仿宋_GB2312"/>
          <w:sz w:val="32"/>
        </w:rPr>
      </w:pPr>
      <w:r>
        <w:rPr>
          <w:rFonts w:hint="eastAsia" w:ascii="仿宋_GB2312" w:hAnsi="Times New Roman" w:eastAsia="仿宋_GB2312"/>
          <w:sz w:val="32"/>
        </w:rPr>
        <w:t>（2022）浙07民初352号</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原告：</w:t>
      </w:r>
      <w:r>
        <w:rPr>
          <w:rFonts w:hint="eastAsia" w:ascii="仿宋_GB2312" w:hAnsi="宋体" w:eastAsia="仿宋_GB2312"/>
          <w:sz w:val="32"/>
          <w:lang w:eastAsia="zh-CN"/>
        </w:rPr>
        <w:t>融某科技（深圳）有限公司</w:t>
      </w:r>
      <w:r>
        <w:rPr>
          <w:rFonts w:hint="eastAsia" w:ascii="仿宋_GB2312" w:hAnsi="宋体" w:eastAsia="仿宋_GB2312"/>
          <w:sz w:val="32"/>
        </w:rPr>
        <w:t>。</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永康市晶某贸易有限公司</w:t>
      </w:r>
      <w:r>
        <w:rPr>
          <w:rFonts w:hint="eastAsia" w:ascii="仿宋_GB2312" w:hAnsi="宋体" w:eastAsia="仿宋_GB2312"/>
          <w:sz w:val="32"/>
        </w:rPr>
        <w:t>。</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原告</w:t>
      </w:r>
      <w:r>
        <w:rPr>
          <w:rFonts w:hint="eastAsia" w:ascii="仿宋_GB2312" w:hAnsi="宋体" w:eastAsia="仿宋_GB2312"/>
          <w:sz w:val="32"/>
          <w:lang w:eastAsia="zh-CN"/>
        </w:rPr>
        <w:t>融某科技（深圳）有限公司</w:t>
      </w:r>
      <w:r>
        <w:rPr>
          <w:rFonts w:hint="eastAsia" w:ascii="仿宋_GB2312" w:hAnsi="宋体" w:eastAsia="仿宋_GB2312"/>
          <w:sz w:val="32"/>
        </w:rPr>
        <w:t>（以下简称</w:t>
      </w:r>
      <w:r>
        <w:rPr>
          <w:rFonts w:hint="eastAsia" w:ascii="仿宋_GB2312" w:hAnsi="宋体" w:eastAsia="仿宋_GB2312"/>
          <w:sz w:val="32"/>
          <w:lang w:eastAsia="zh-CN"/>
        </w:rPr>
        <w:t>融某公司</w:t>
      </w:r>
      <w:r>
        <w:rPr>
          <w:rFonts w:hint="eastAsia" w:ascii="仿宋_GB2312" w:hAnsi="宋体" w:eastAsia="仿宋_GB2312"/>
          <w:sz w:val="32"/>
        </w:rPr>
        <w:t>）与被告</w:t>
      </w:r>
      <w:r>
        <w:rPr>
          <w:rFonts w:hint="eastAsia" w:ascii="仿宋_GB2312" w:hAnsi="宋体" w:eastAsia="仿宋_GB2312"/>
          <w:sz w:val="32"/>
          <w:lang w:eastAsia="zh-CN"/>
        </w:rPr>
        <w:t>永康市晶某贸易有限公司</w:t>
      </w:r>
      <w:r>
        <w:rPr>
          <w:rFonts w:hint="eastAsia" w:ascii="仿宋_GB2312" w:hAnsi="宋体" w:eastAsia="仿宋_GB2312"/>
          <w:sz w:val="32"/>
        </w:rPr>
        <w:t>（以下简称</w:t>
      </w:r>
      <w:r>
        <w:rPr>
          <w:rFonts w:hint="eastAsia" w:ascii="仿宋_GB2312" w:hAnsi="宋体" w:eastAsia="仿宋_GB2312"/>
          <w:sz w:val="32"/>
          <w:lang w:eastAsia="zh-CN"/>
        </w:rPr>
        <w:t>晶某公司</w:t>
      </w:r>
      <w:r>
        <w:rPr>
          <w:rFonts w:hint="eastAsia" w:ascii="仿宋_GB2312" w:hAnsi="宋体" w:eastAsia="仿宋_GB2312"/>
          <w:sz w:val="32"/>
        </w:rPr>
        <w:t>）侵害外观设计专利权纠纷一案，本院于2022年6月10日立案，依法组成合议庭，于2022年9月1日公开开庭进行了审理。原告</w:t>
      </w:r>
      <w:r>
        <w:rPr>
          <w:rFonts w:hint="eastAsia" w:ascii="仿宋_GB2312" w:hAnsi="宋体" w:eastAsia="仿宋_GB2312"/>
          <w:sz w:val="32"/>
          <w:lang w:eastAsia="zh-CN"/>
        </w:rPr>
        <w:t>融某公司</w:t>
      </w:r>
      <w:r>
        <w:rPr>
          <w:rFonts w:hint="eastAsia" w:ascii="仿宋_GB2312" w:hAnsi="宋体" w:eastAsia="仿宋_GB2312"/>
          <w:sz w:val="32"/>
        </w:rPr>
        <w:t>的委托诉讼代理人曹</w:t>
      </w:r>
      <w:r>
        <w:rPr>
          <w:rFonts w:hint="eastAsia" w:ascii="仿宋_GB2312" w:hAnsi="宋体" w:eastAsia="仿宋_GB2312"/>
          <w:sz w:val="32"/>
          <w:lang w:eastAsia="zh-CN"/>
        </w:rPr>
        <w:t>某</w:t>
      </w: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的委托诉讼代理人戴</w:t>
      </w:r>
      <w:r>
        <w:rPr>
          <w:rFonts w:hint="eastAsia" w:ascii="仿宋_GB2312" w:hAnsi="宋体" w:eastAsia="仿宋_GB2312"/>
          <w:sz w:val="32"/>
          <w:lang w:eastAsia="zh-CN"/>
        </w:rPr>
        <w:t>某</w:t>
      </w:r>
      <w:r>
        <w:rPr>
          <w:rFonts w:hint="eastAsia" w:ascii="仿宋_GB2312" w:hAnsi="宋体" w:eastAsia="仿宋_GB2312"/>
          <w:sz w:val="32"/>
        </w:rPr>
        <w:t>到庭参加诉讼。本案现已审理终结。</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原告</w:t>
      </w:r>
      <w:r>
        <w:rPr>
          <w:rFonts w:hint="eastAsia" w:ascii="仿宋_GB2312" w:hAnsi="宋体" w:eastAsia="仿宋_GB2312"/>
          <w:sz w:val="32"/>
          <w:lang w:eastAsia="zh-CN"/>
        </w:rPr>
        <w:t>融某公司</w:t>
      </w:r>
      <w:r>
        <w:rPr>
          <w:rFonts w:hint="eastAsia" w:ascii="仿宋_GB2312" w:hAnsi="宋体" w:eastAsia="仿宋_GB2312"/>
          <w:sz w:val="32"/>
        </w:rPr>
        <w:t>向本院提出诉讼请求：1、判令被告停止侵害原告专利号为“</w:t>
      </w:r>
      <w:r>
        <w:rPr>
          <w:rFonts w:hint="eastAsia" w:ascii="仿宋_GB2312" w:hAnsi="宋体" w:eastAsia="仿宋_GB2312"/>
          <w:sz w:val="32"/>
          <w:lang w:eastAsia="zh-CN"/>
        </w:rPr>
        <w:t>ZL2020xxxx9847.6</w:t>
      </w:r>
      <w:r>
        <w:rPr>
          <w:rFonts w:hint="eastAsia" w:ascii="仿宋_GB2312" w:hAnsi="宋体" w:eastAsia="仿宋_GB2312"/>
          <w:sz w:val="32"/>
        </w:rPr>
        <w:t>”、名称为“红外测温仪”的外观设计专利权的行为，包括停止生产、销售、许诺销售，并销毁其库存侵权产品；2、判令被告赔偿原告经济损失人民币80000元（包括原告为维权的合理开支，含公证费、律师费等）；3、本案诉讼费用由被告承担。</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事实与理由：原告系专利号为“</w:t>
      </w:r>
      <w:r>
        <w:rPr>
          <w:rFonts w:hint="eastAsia" w:ascii="仿宋_GB2312" w:hAnsi="宋体" w:eastAsia="仿宋_GB2312"/>
          <w:sz w:val="32"/>
          <w:lang w:eastAsia="zh-CN"/>
        </w:rPr>
        <w:t>ZL2020xxxx9847.6</w:t>
      </w:r>
      <w:r>
        <w:rPr>
          <w:rFonts w:hint="eastAsia" w:ascii="仿宋_GB2312" w:hAnsi="宋体" w:eastAsia="仿宋_GB2312"/>
          <w:sz w:val="32"/>
        </w:rPr>
        <w:t>”、名称为“红外测温仪”的外观设计专利的权利人。原告于2020年6月2日向国家知识产权局申请了该外观设计专利，国家知识产权局于2020年9月29日决定授予原告专利权。2021年底，原告发现被告在天猫平台上以“</w:t>
      </w:r>
      <w:r>
        <w:rPr>
          <w:rFonts w:hint="eastAsia" w:ascii="仿宋_GB2312" w:hAnsi="宋体" w:eastAsia="仿宋_GB2312"/>
          <w:sz w:val="32"/>
          <w:lang w:eastAsia="zh-CN"/>
        </w:rPr>
        <w:t>晶某旗舰店</w:t>
      </w:r>
      <w:r>
        <w:rPr>
          <w:rFonts w:hint="eastAsia" w:ascii="仿宋_GB2312" w:hAnsi="宋体" w:eastAsia="仿宋_GB2312"/>
          <w:sz w:val="32"/>
        </w:rPr>
        <w:t>”为名所销售的侵权产品“红外线测温仪门口自动立式体温计电子温度检测仪远距离商用一体机”，与原告的专利产品形状一致，落入了涉案专利的保护范围。据天猫网店公布的经营者相关资质信息显示：</w:t>
      </w:r>
      <w:r>
        <w:rPr>
          <w:rFonts w:hint="eastAsia" w:ascii="仿宋_GB2312" w:hAnsi="宋体" w:eastAsia="仿宋_GB2312"/>
          <w:sz w:val="32"/>
          <w:lang w:eastAsia="zh-CN"/>
        </w:rPr>
        <w:t>晶某旗舰店</w:t>
      </w:r>
      <w:r>
        <w:rPr>
          <w:rFonts w:hint="eastAsia" w:ascii="仿宋_GB2312" w:hAnsi="宋体" w:eastAsia="仿宋_GB2312"/>
          <w:sz w:val="32"/>
        </w:rPr>
        <w:t>的经营者为被告。经原告查询：被告在天猫平台上宣称其月销量3000+。原告已向广东省深圳市深圳公证处申请对被告侵权行为的相关证据进行了公证。原告认为，被告未经原告许可以生产经营为目的制造、销售、许诺销售与涉案专利外观设计相同的产品，根据《中华人民共和国专利法》第十一条的规定，已经侵害了原告的专利权，依法应当承担侵权责任。</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辩称，一、被诉产品属于抵触申请，不构成侵权。根据被告提供的证据，涉案产品属于抵触申请，与外观设计专利：</w:t>
      </w:r>
      <w:r>
        <w:rPr>
          <w:rFonts w:hint="eastAsia" w:ascii="仿宋_GB2312" w:hAnsi="宋体" w:eastAsia="仿宋_GB2312"/>
          <w:sz w:val="32"/>
          <w:lang w:eastAsia="zh-CN"/>
        </w:rPr>
        <w:t>ZL2020xxxx6615.0</w:t>
      </w:r>
      <w:r>
        <w:rPr>
          <w:rFonts w:hint="eastAsia" w:ascii="仿宋_GB2312" w:hAnsi="宋体" w:eastAsia="仿宋_GB2312"/>
          <w:sz w:val="32"/>
        </w:rPr>
        <w:t>无实质性差异。涉案产品其相同点在于：测温仪整体呈矩体，顶部具有凸出的感应头，面壳中部设有显示屏及按键，面壳两侧及底端具有凹陷部的设计。故涉案产品与抵触申请无实质性差异，原告专利整体形状与各部位设计无新颖性，专利贡献度低，涉案产品对涉案专利不构成侵权。二、涉案产品与涉案专利有显著差异，不构成侵权。测温仪类产品由于其结构功能性的限制，外观设计空间较小，而涉案专利区别于上述设计的主要设计要点在于：产品各个部位的细节差异，如感应头的设计，显示屏的设计，按键的设计，凹陷部设计的差异等。上述设计要素往往容易引起一般消费者的关注，尤其是测温仪的感应头，所占产品整体比例较大，突出设计的形状明显，足以使一般消费者区分两者设计的不同。在抵触申请的基础上，涉案产品均与涉案专利在上述方面存在显著差异，不构成近似侵权。区别在于：1：两者感应头设计不同。涉案专利感应头宽度与整体宽度等宽；而涉案产品感应头宽度明显小于整体宽度。在俯视图、仰视图、侧视图中涉案专利感应头两侧倾斜角度较小；而涉案产品在俯视图中感应头两侧倾斜角度较大。2：两者显示屏设计不同。涉案专利显示屏较小，且显示屏呈矩形；而涉案产品显示屏较大，且显示屏呈圆角矩形。3：两者按键设计不同。涉案专利按键呈矩形；而涉案产品按键呈跑道型。4：两者面壳表面纹理设计不同。涉案产品面壳两侧及底端设有单个梯形凹陷；而涉案产品面壳两侧及底端设有多个四边形凹陷。5：两者底部连接孔设计不同。涉案专利底部连接孔呈六边形；而涉案产品底部连接孔呈圆形。6：两者推钮设计不同。涉案专利侧面设有推钮；而涉案产品无此特征。根据《最高人民法院关于审理侵犯专利权纠纷案件应用法律若干问题的解释（二）》第十四条规定，人民法院在认定一般消费者对于外观设计所具有的知识水平和认知能力时，一般应当考虑被诉侵权行为发生时授权外观设计所属相同或者相近种类产品的设计空间。设计空间较大的，人民法院可以认定一般消费者通常不容易注意到不同设计之间的较小区别；设计空间较小的，人民法院可以认定一般消费者通常更容易注意到不同设计之间的较小区别。涉案的测温仪类产品由于其结构功能性的限制，外观设计空间较小，涉案产品与涉案专利在各处细节上均存在显著差异，足以使一般消费者区分两者设计的不同。涉案产品属于抵触申请，且在此之上涉案产品仍与涉案专利存在显著差异，足以使一般消费者区分两者设计的不同，根据“整体观察、综合判断”原则，涉案产品与涉案专利相比，既不相同，也不近似，未落入涉案专利保护范围。三、原告诉请被告赔偿的8万损失缺乏事实及法律依据。1、根据公证书显示，取证的为多规格链接，涉案产品仅为其中一款测温仪，销量较低。2、原告未提供公证费及律师费的合理开支相关票据，被告不予认可。3、原告的外观设计专利权占比小，专利贡献度低，不应过高保护。4、涉案产品利润较低，除去产品本身成本，还有运营费、人工费、快递费等必要开支，仅涉案产品并无利润可言。故目前原告诉被告侵犯其外观设计专利权，既无事实根据，也无法律根据，请求法院驳回原告的全部诉讼请求。</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原告</w:t>
      </w:r>
      <w:r>
        <w:rPr>
          <w:rFonts w:hint="eastAsia" w:ascii="仿宋_GB2312" w:hAnsi="宋体" w:eastAsia="仿宋_GB2312"/>
          <w:sz w:val="32"/>
          <w:lang w:eastAsia="zh-CN"/>
        </w:rPr>
        <w:t>融某公司</w:t>
      </w:r>
      <w:r>
        <w:rPr>
          <w:rFonts w:hint="eastAsia" w:ascii="仿宋_GB2312" w:hAnsi="宋体" w:eastAsia="仿宋_GB2312"/>
          <w:sz w:val="32"/>
        </w:rPr>
        <w:t>为证明其起诉主张，向本院提交如下证据：</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1、外观设计专利证书，证明原告是专利号为“</w:t>
      </w:r>
      <w:r>
        <w:rPr>
          <w:rFonts w:hint="eastAsia" w:ascii="仿宋_GB2312" w:hAnsi="宋体" w:eastAsia="仿宋_GB2312"/>
          <w:sz w:val="32"/>
          <w:lang w:eastAsia="zh-CN"/>
        </w:rPr>
        <w:t>ZL2020xxxx9847.6</w:t>
      </w:r>
      <w:r>
        <w:rPr>
          <w:rFonts w:hint="eastAsia" w:ascii="仿宋_GB2312" w:hAnsi="宋体" w:eastAsia="仿宋_GB2312"/>
          <w:sz w:val="32"/>
        </w:rPr>
        <w:t>”、名称为“红外测温仪”的外观设计专利的权利人，国家知识产权局于2020年9月29日决定授予原告专利权。</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2、外观设计专利可视图，证明涉案外观专利产品的图片或照片，产品用于红外测量温度的测温仪，设计要点在于形状，最能表明设计要点的图片是立体图。</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3、外观设计专利评价报告，证明经外观专利评价，原告涉案专利对比设计报告1与其他现有设计在产品设计上存在明显区别，对于一般消费者来说，该差别对外观设计的整体视觉效果产生了显著影响，原告涉案专利与对比设计1及其他现有设计相比均具有显著差异。</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4、恢复权利请求审批通知书及专利年费发票，证明原告涉案专利的专利权处于有效期内。</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5、（2022）深证字第47436号公证书，证明被告实施了销售或许诺销售侵犯原告外观专利权的产品的行为，且被告宣称其月销量3000+。</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质证认为，对证据1-4三性均无异议。对证据5真实性无异议，对关联性有异议，不能达到原告的证明目的，被告不构成侵权，案涉产品链接项下有多规格产品，不能证明该款涉案侵权产品的月销量为3000+。</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向本院提交如下证据：</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1、外观设计专利：</w:t>
      </w:r>
      <w:r>
        <w:rPr>
          <w:rFonts w:hint="eastAsia" w:ascii="仿宋_GB2312" w:hAnsi="宋体" w:eastAsia="仿宋_GB2312"/>
          <w:sz w:val="32"/>
          <w:lang w:eastAsia="zh-CN"/>
        </w:rPr>
        <w:t>ZL2020xxxx6615.0</w:t>
      </w:r>
      <w:r>
        <w:rPr>
          <w:rFonts w:hint="eastAsia" w:ascii="仿宋_GB2312" w:hAnsi="宋体" w:eastAsia="仿宋_GB2312"/>
          <w:sz w:val="32"/>
        </w:rPr>
        <w:t>专利文本：授权公告号</w:t>
      </w:r>
      <w:r>
        <w:rPr>
          <w:rFonts w:hint="eastAsia" w:ascii="仿宋_GB2312" w:hAnsi="宋体" w:eastAsia="仿宋_GB2312"/>
          <w:sz w:val="32"/>
          <w:lang w:eastAsia="zh-CN"/>
        </w:rPr>
        <w:t>CN306xxx784S</w:t>
      </w:r>
      <w:r>
        <w:rPr>
          <w:rFonts w:hint="eastAsia" w:ascii="仿宋_GB2312" w:hAnsi="宋体" w:eastAsia="仿宋_GB2312"/>
          <w:sz w:val="32"/>
        </w:rPr>
        <w:t>，证明该专利申请日是2020年5月21日，涉案产品整体形状设计及各个位置细节设计已被现有设计公开，涉案产品与现有设计无实质性差异，被告不构成侵犯原告外观设计专利权。证据1的外观设计专利构成抵触申请，被诉产品与抵触申请的整体形状及各个设计均无实质性差异，被告不构成侵权。</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2、外观设计专利：</w:t>
      </w:r>
      <w:r>
        <w:rPr>
          <w:rFonts w:hint="eastAsia" w:ascii="仿宋_GB2312" w:hAnsi="宋体" w:eastAsia="仿宋_GB2312"/>
          <w:sz w:val="32"/>
          <w:lang w:eastAsia="zh-CN"/>
        </w:rPr>
        <w:t>ZL2020xxxx2114.X</w:t>
      </w:r>
      <w:r>
        <w:rPr>
          <w:rFonts w:hint="eastAsia" w:ascii="仿宋_GB2312" w:hAnsi="宋体" w:eastAsia="仿宋_GB2312"/>
          <w:sz w:val="32"/>
        </w:rPr>
        <w:t>专利文本：授权公告号</w:t>
      </w:r>
      <w:r>
        <w:rPr>
          <w:rFonts w:hint="eastAsia" w:ascii="仿宋_GB2312" w:hAnsi="宋体" w:eastAsia="仿宋_GB2312"/>
          <w:sz w:val="32"/>
          <w:lang w:eastAsia="zh-CN"/>
        </w:rPr>
        <w:t>CN306xxx796S</w:t>
      </w:r>
      <w:r>
        <w:rPr>
          <w:rFonts w:hint="eastAsia" w:ascii="仿宋_GB2312" w:hAnsi="宋体" w:eastAsia="仿宋_GB2312"/>
          <w:sz w:val="32"/>
        </w:rPr>
        <w:t>；</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3、外观设计专利：</w:t>
      </w:r>
      <w:r>
        <w:rPr>
          <w:rFonts w:hint="eastAsia" w:ascii="仿宋_GB2312" w:hAnsi="宋体" w:eastAsia="仿宋_GB2312"/>
          <w:sz w:val="32"/>
          <w:lang w:eastAsia="zh-CN"/>
        </w:rPr>
        <w:t>ZL2020xxxx0371.3</w:t>
      </w:r>
      <w:r>
        <w:rPr>
          <w:rFonts w:hint="eastAsia" w:ascii="仿宋_GB2312" w:hAnsi="宋体" w:eastAsia="仿宋_GB2312"/>
          <w:sz w:val="32"/>
        </w:rPr>
        <w:t>专利文本：授权公告号</w:t>
      </w:r>
      <w:r>
        <w:rPr>
          <w:rFonts w:hint="eastAsia" w:ascii="仿宋_GB2312" w:hAnsi="宋体" w:eastAsia="仿宋_GB2312"/>
          <w:sz w:val="32"/>
          <w:lang w:eastAsia="zh-CN"/>
        </w:rPr>
        <w:t>CN306xxx786S</w:t>
      </w:r>
      <w:r>
        <w:rPr>
          <w:rFonts w:hint="eastAsia" w:ascii="仿宋_GB2312" w:hAnsi="宋体" w:eastAsia="仿宋_GB2312"/>
          <w:sz w:val="32"/>
        </w:rPr>
        <w:t>；</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证据2、3共同证明：证据2专利申请日为2020年4月1日，证据3专利申请日为2020年5月22日，均早于涉案专利的申请日2020年6月2日。测温仪由于其结构功能性的限制，外观设计空间较小，涉案红外测温仪整体呈矩形，红外线测温仪整体都呈矩形，顶部有凸出的感应头，面壳中部设有显示屏及按键，面壳两侧及底端具有凹陷部的设计，这些均是惯常设计，故涉案专利没有新颖性，专利贡献度比较低。</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原告</w:t>
      </w:r>
      <w:r>
        <w:rPr>
          <w:rFonts w:hint="eastAsia" w:ascii="仿宋_GB2312" w:hAnsi="宋体" w:eastAsia="仿宋_GB2312"/>
          <w:sz w:val="32"/>
          <w:lang w:eastAsia="zh-CN"/>
        </w:rPr>
        <w:t>融某公司</w:t>
      </w:r>
      <w:r>
        <w:rPr>
          <w:rFonts w:hint="eastAsia" w:ascii="仿宋_GB2312" w:hAnsi="宋体" w:eastAsia="仿宋_GB2312"/>
          <w:sz w:val="32"/>
        </w:rPr>
        <w:t>质证认为，对证据1的真实性、合法性认可，关联性不予认可。原告的外观专利与证据1的外观专利在产品设计上存在明显区别，具有实质性差异；对于一般消费者来说，该差别对外观设计的整体视觉效果产生显著影响，因此，两者既不相同，也不构成近似。具体差异表现在：主视图：不同点：（1）原告外观专利探测部的上表面呈跑道形，而证据1外观专利的探测部上表面呈四角圆滑过渡的正方形。（2）原告外观专利探测部的上表面的长宽比例约3:1，而证据1外观专利长宽比例约为1:1。（3）原告外观专利探测部表面三个圆形探测孔呈一字形排列，而证据1外观专利的圆形控测孔呈三角形排列。（4）原告外观专利机身均为扁平状的长方体，长方体的四个角倒圆角，而证据1外观专利的机身左右及下方进行切角处理，非长方体。（5）原告外观专利机身设置显示屏，显示屏呈长方形，位于机身中部，显示屏下方设长方形按钮，而证据1外观专利的显示屏呈四角圆滑处理的长方形，显示屏设置于机身下半部，显示屏下方为斜切面，显示屏下方未设置按钮。（6）原告外观专利显示屏上面未设置按钮、音孔；而证据1外观专利显示屏上方设置了两个球形按钮及音孔。（7）原告外观专利机身下半部左右两侧及机身底部设有长条形装饰槽，而证据1外观专利并未设置装饰槽。后视图：不同点：（1）原告外观专利在机身背面中上部设有一电池安装槽，电池安装槽为横向长方形，长方形的长边与短边长度较为接近，近似于正方形；而证据1外观专利是在机身背面中部设有一电池安装槽，电安装槽为竖向长方形，长边的长度约为短边的四倍。（2）证据1外观专利电池安装槽的左右两边设有与电池安装槽类似的装饰，原告的外观专利并无此装饰。（3）原告外观专利中下部设有一音孔，音孔的外轮廓均呈六边形；而证据1的外观专利无音孔。俯视图：不同点：两者探测部的左右两边的倾斜角度有差别。左视图：不同点：（1）原告外观专利机身呈长方体，而证据1的机身周边均作切面处理，不呈长方体状。（2）原告外观专利探测部底部与机身正面呈直线，而证据1外观专利探测部底部与机身正面呈曲线。（3）原告外观专利机身侧面与正面垂直，仅角度作圆滑处理；而证据1外观专利机身侧面与正面、背面之间作切角处理，侧面与正面、背面之间存在一斜切面。（4）原告外观专利机身侧面底部左右两边与底边呈直角，直角作圆滑处理；而证据1外观专利侧面底部左右均存在切面，左右两边与底边呈钝角，底部呈倒棱台状。（5）原告外观专利侧面右侧有装饰槽，而证据1外观专利侧面无装饰槽。（6）原告外观专利机身有侧设有一滑动开关及一充电孔，而被诉侵权产品没有。右视图：不同点：（1）原告外观专利机身呈长方体，而证据1的机身周边均作切面处理，不呈长方体状。（2）原告外观专利探测部底部与机身正面呈直线，而证据1外观专利探测部底部与机身正面呈曲线。（3）原告外观专利机身侧面与正面垂直，仅角度作圆滑处理；而证据1外观专利机身侧面与正面、背面之间作切角处理，侧面与正面、背面之间存在一斜切面。（4）原告外观专利机身侧面底部左右两边与底边呈直角，直角作圆滑处理；而证据1外观专利侧面底部左右均存在切面，左右两边与底边呈钝角，底部呈倒棱台状。（5）原告外观专利侧面右侧有装饰槽，而证据1外观专利侧面无装饰槽。（6）证据1外观专利右侧设有一滑动开关及一USB孔，而被诉侵权产品没有。仰视图：不同点：（1）原告外观专利底部与正面连接处中间设有一装饰槽，而证据1外观专利无装饰槽。（2）证据1外观专利底部与正面、背面连接处均作切面处理，而原告产品底部与正面、背面呈直角，无切面处理。比对结论：原告专利与证据1的外观专利存在产品设计上存在明显区别，对于一般消费者来说，该差别对外观设计的整体视觉效果产生了显著影响，因此，两者既不相同，也不构成近似。对证据2、3的真实性、合法性认可，关联性不认可；对原告的证明内容不予认可。原告的外观专利与证据2、3的外观专利在产品设计上存在明显区别，存在实质性差异；对于一般消费者来说，该差别对外观设计的整体视觉效果产生了显著影响，因此，两者既不相同，也不构成近似。而且涉案的红外线测温仪是最近两年新出现的产品，其现有设计并不多，设计空间较大，并不存在被告所称的设计空间小。</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本院认为，对原告和被告提供证据的真实性予以确认，对原告提供证据的证明目的予以确认，被告提供的证据是否能达到其证明目的，本院在下文予以论述。</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经审理，本院认定事实如下：</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设计人</w:t>
      </w:r>
      <w:r>
        <w:rPr>
          <w:rFonts w:hint="eastAsia" w:ascii="仿宋_GB2312" w:hAnsi="宋体" w:eastAsia="仿宋_GB2312"/>
          <w:sz w:val="32"/>
          <w:lang w:eastAsia="zh-CN"/>
        </w:rPr>
        <w:t>俞某</w:t>
      </w:r>
      <w:r>
        <w:rPr>
          <w:rFonts w:hint="eastAsia" w:ascii="仿宋_GB2312" w:hAnsi="宋体" w:eastAsia="仿宋_GB2312"/>
          <w:sz w:val="32"/>
        </w:rPr>
        <w:t>设计的“红外测温仪”于2020年6月2日向国家知识产权局申请外观设计专利，授权公告日为2020年9月29日，专利号为</w:t>
      </w:r>
      <w:r>
        <w:rPr>
          <w:rFonts w:hint="eastAsia" w:ascii="仿宋_GB2312" w:hAnsi="宋体" w:eastAsia="仿宋_GB2312"/>
          <w:sz w:val="32"/>
          <w:lang w:eastAsia="zh-CN"/>
        </w:rPr>
        <w:t>ZL2020xxxx9847.6</w:t>
      </w:r>
      <w:r>
        <w:rPr>
          <w:rFonts w:hint="eastAsia" w:ascii="仿宋_GB2312" w:hAnsi="宋体" w:eastAsia="仿宋_GB2312"/>
          <w:sz w:val="32"/>
        </w:rPr>
        <w:t>，专利权人为</w:t>
      </w:r>
      <w:r>
        <w:rPr>
          <w:rFonts w:hint="eastAsia" w:ascii="仿宋_GB2312" w:hAnsi="宋体" w:eastAsia="仿宋_GB2312"/>
          <w:sz w:val="32"/>
          <w:lang w:eastAsia="zh-CN"/>
        </w:rPr>
        <w:t>融某公司</w:t>
      </w:r>
      <w:r>
        <w:rPr>
          <w:rFonts w:hint="eastAsia" w:ascii="仿宋_GB2312" w:hAnsi="宋体" w:eastAsia="仿宋_GB2312"/>
          <w:sz w:val="32"/>
        </w:rPr>
        <w:t>。该专利包括主视图、后视图、左视图、右视图、俯视图、仰视图、立体图七幅图片。该外观设计产品是用于红外测量温度的测温仪；设计要点在于形状；最能表明外观设计要点的图片是立体图。2020年8月28日，</w:t>
      </w:r>
      <w:r>
        <w:rPr>
          <w:rFonts w:hint="eastAsia" w:ascii="仿宋_GB2312" w:hAnsi="宋体" w:eastAsia="仿宋_GB2312"/>
          <w:sz w:val="32"/>
          <w:lang w:eastAsia="zh-CN"/>
        </w:rPr>
        <w:t>融某公司</w:t>
      </w:r>
      <w:r>
        <w:rPr>
          <w:rFonts w:hint="eastAsia" w:ascii="仿宋_GB2312" w:hAnsi="宋体" w:eastAsia="仿宋_GB2312"/>
          <w:sz w:val="32"/>
        </w:rPr>
        <w:t>缴纳外观设计年费及印花税95元。2022年1月7日，</w:t>
      </w:r>
      <w:r>
        <w:rPr>
          <w:rFonts w:hint="eastAsia" w:ascii="仿宋_GB2312" w:hAnsi="宋体" w:eastAsia="仿宋_GB2312"/>
          <w:sz w:val="32"/>
          <w:lang w:eastAsia="zh-CN"/>
        </w:rPr>
        <w:t>北京知某知识产权代理有限公司</w:t>
      </w:r>
      <w:r>
        <w:rPr>
          <w:rFonts w:hint="eastAsia" w:ascii="仿宋_GB2312" w:hAnsi="宋体" w:eastAsia="仿宋_GB2312"/>
          <w:sz w:val="32"/>
        </w:rPr>
        <w:t>交纳该专利恢复权利请求费1000元、第2年年费90元、年费滞纳金150元。2021年2月8日，国家知识产权局出具外观设计专利权评价报告，初步结论为该专利全部外观设计未发现存在其他不符合专利法有关外观设计授权条件的缺陷。</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2022年5月12日，</w:t>
      </w:r>
      <w:r>
        <w:rPr>
          <w:rFonts w:hint="eastAsia" w:ascii="仿宋_GB2312" w:hAnsi="宋体" w:eastAsia="仿宋_GB2312"/>
          <w:sz w:val="32"/>
          <w:lang w:eastAsia="zh-CN"/>
        </w:rPr>
        <w:t>融某公司</w:t>
      </w:r>
      <w:r>
        <w:rPr>
          <w:rFonts w:hint="eastAsia" w:ascii="仿宋_GB2312" w:hAnsi="宋体" w:eastAsia="仿宋_GB2312"/>
          <w:sz w:val="32"/>
        </w:rPr>
        <w:t>向深圳市深圳公证处申请证据保全公证。（2022）深证字第47436号公证书载明以下事实：</w:t>
      </w:r>
      <w:r>
        <w:rPr>
          <w:rFonts w:hint="eastAsia" w:ascii="仿宋_GB2312" w:hAnsi="宋体" w:eastAsia="仿宋_GB2312"/>
          <w:sz w:val="32"/>
          <w:lang w:eastAsia="zh-CN"/>
        </w:rPr>
        <w:t>融某公司</w:t>
      </w:r>
      <w:r>
        <w:rPr>
          <w:rFonts w:hint="eastAsia" w:ascii="仿宋_GB2312" w:hAnsi="宋体" w:eastAsia="仿宋_GB2312"/>
          <w:sz w:val="32"/>
        </w:rPr>
        <w:t>委托代理人</w:t>
      </w:r>
      <w:r>
        <w:rPr>
          <w:rFonts w:hint="eastAsia" w:ascii="仿宋_GB2312" w:hAnsi="宋体" w:eastAsia="仿宋_GB2312"/>
          <w:sz w:val="32"/>
          <w:lang w:eastAsia="zh-CN"/>
        </w:rPr>
        <w:t>许某</w:t>
      </w:r>
      <w:r>
        <w:rPr>
          <w:rFonts w:hint="eastAsia" w:ascii="仿宋_GB2312" w:hAnsi="宋体" w:eastAsia="仿宋_GB2312"/>
          <w:sz w:val="32"/>
        </w:rPr>
        <w:t>申请证据保全公证。公证员</w:t>
      </w:r>
      <w:r>
        <w:rPr>
          <w:rFonts w:hint="eastAsia" w:ascii="仿宋_GB2312" w:hAnsi="宋体" w:eastAsia="仿宋_GB2312"/>
          <w:sz w:val="32"/>
          <w:lang w:eastAsia="zh-CN"/>
        </w:rPr>
        <w:t>王某</w:t>
      </w:r>
      <w:r>
        <w:rPr>
          <w:rFonts w:hint="eastAsia" w:ascii="仿宋_GB2312" w:hAnsi="宋体" w:eastAsia="仿宋_GB2312"/>
          <w:sz w:val="32"/>
        </w:rPr>
        <w:t>与该处工作人员</w:t>
      </w:r>
      <w:r>
        <w:rPr>
          <w:rFonts w:hint="eastAsia" w:ascii="仿宋_GB2312" w:hAnsi="宋体" w:eastAsia="仿宋_GB2312"/>
          <w:sz w:val="32"/>
          <w:lang w:eastAsia="zh-CN"/>
        </w:rPr>
        <w:t>杨某</w:t>
      </w:r>
      <w:r>
        <w:rPr>
          <w:rFonts w:hint="eastAsia" w:ascii="仿宋_GB2312" w:hAnsi="宋体" w:eastAsia="仿宋_GB2312"/>
          <w:sz w:val="32"/>
        </w:rPr>
        <w:t>于2022年5月12日下午来到深圳市南山区天利中央商务广场B、C座一楼员工通道货梯入口旁丰巢柜，依据</w:t>
      </w:r>
      <w:r>
        <w:rPr>
          <w:rFonts w:hint="eastAsia" w:ascii="仿宋_GB2312" w:hAnsi="宋体" w:eastAsia="仿宋_GB2312"/>
          <w:sz w:val="32"/>
          <w:lang w:eastAsia="zh-CN"/>
        </w:rPr>
        <w:t>许某</w:t>
      </w:r>
      <w:r>
        <w:rPr>
          <w:rFonts w:hint="eastAsia" w:ascii="仿宋_GB2312" w:hAnsi="宋体" w:eastAsia="仿宋_GB2312"/>
          <w:sz w:val="32"/>
        </w:rPr>
        <w:t>提供的取件信息和取件码，公证员从上述丰巢柜收取单号为432545034853558的快递包裹一个，公证员及该处工作人员携该包裹回到公证处办公室，使用工作手机对该包裹的外包装和内部物品进行拍照。公证员对上述包裹中的物品进行封存，并对封存后的包裹外观进行拍照，随后将上述所拍照片拷贝至公证处计算机并打印。同日，在公证处公证员及公证处工作人员的共同监督下，</w:t>
      </w:r>
      <w:r>
        <w:rPr>
          <w:rFonts w:hint="eastAsia" w:ascii="仿宋_GB2312" w:hAnsi="宋体" w:eastAsia="仿宋_GB2312"/>
          <w:sz w:val="32"/>
          <w:lang w:eastAsia="zh-CN"/>
        </w:rPr>
        <w:t>许某</w:t>
      </w:r>
      <w:r>
        <w:rPr>
          <w:rFonts w:hint="eastAsia" w:ascii="仿宋_GB2312" w:hAnsi="宋体" w:eastAsia="仿宋_GB2312"/>
          <w:sz w:val="32"/>
        </w:rPr>
        <w:t>使用公证处计算机登录“https：//www.tmall.com”（天猫）网站，点击“我的淘宝”，在下拉菜单中点击“已买到的宝贝”，进入相应页面并截屏，点击查看订单号为“2619568044864517780”订单对应的商品。在所示页面点击“</w:t>
      </w:r>
      <w:r>
        <w:rPr>
          <w:rFonts w:hint="eastAsia" w:ascii="仿宋_GB2312" w:hAnsi="宋体" w:eastAsia="仿宋_GB2312"/>
          <w:sz w:val="32"/>
          <w:lang w:eastAsia="zh-CN"/>
        </w:rPr>
        <w:t>晶某旗舰店</w:t>
      </w:r>
      <w:r>
        <w:rPr>
          <w:rFonts w:hint="eastAsia" w:ascii="仿宋_GB2312" w:hAnsi="宋体" w:eastAsia="仿宋_GB2312"/>
          <w:sz w:val="32"/>
        </w:rPr>
        <w:t>”，在下拉菜单中点击“企业资质”，完成验证后，进入相应页面并截屏。返回“订单详情”页面并进行截屏。点击“物流信息”相应页面并截屏。操作完成后，公证处对上述保全证据过程中所拍摄照片及截图进行打印保存。公证书所附照片显示封存物品包装上的快递单号为432545034853558，寄件人为“</w:t>
      </w:r>
      <w:r>
        <w:rPr>
          <w:rFonts w:hint="eastAsia" w:ascii="仿宋_GB2312" w:hAnsi="宋体" w:eastAsia="仿宋_GB2312"/>
          <w:sz w:val="32"/>
          <w:lang w:eastAsia="zh-CN"/>
        </w:rPr>
        <w:t>晶某旗舰店159****0270</w:t>
      </w:r>
      <w:r>
        <w:rPr>
          <w:rFonts w:hint="eastAsia" w:ascii="仿宋_GB2312" w:hAnsi="宋体" w:eastAsia="仿宋_GB2312"/>
          <w:sz w:val="32"/>
        </w:rPr>
        <w:t>浙江省金华市永康市苏溪工业区”；公证书所附</w:t>
      </w:r>
      <w:r>
        <w:rPr>
          <w:rFonts w:hint="eastAsia" w:ascii="仿宋_GB2312" w:hAnsi="宋体" w:eastAsia="仿宋_GB2312"/>
          <w:sz w:val="32"/>
          <w:lang w:eastAsia="zh-CN"/>
        </w:rPr>
        <w:t>晶某公司</w:t>
      </w:r>
      <w:r>
        <w:rPr>
          <w:rFonts w:hint="eastAsia" w:ascii="仿宋_GB2312" w:hAnsi="宋体" w:eastAsia="仿宋_GB2312"/>
          <w:sz w:val="32"/>
        </w:rPr>
        <w:t>的天猫店铺网页截图显示“红外线测温仪门口自动立式体温计电子温度检测仪远距离商用一体机”图片及产品介绍，显示月销量3000+，该产品已累计捐赠654笔，单价57.8元，优惠后买家实际付款37.8元。</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庭审中，被告</w:t>
      </w:r>
      <w:r>
        <w:rPr>
          <w:rFonts w:hint="eastAsia" w:ascii="仿宋_GB2312" w:hAnsi="宋体" w:eastAsia="仿宋_GB2312"/>
          <w:sz w:val="32"/>
          <w:lang w:eastAsia="zh-CN"/>
        </w:rPr>
        <w:t>晶某公司</w:t>
      </w:r>
      <w:r>
        <w:rPr>
          <w:rFonts w:hint="eastAsia" w:ascii="仿宋_GB2312" w:hAnsi="宋体" w:eastAsia="仿宋_GB2312"/>
          <w:sz w:val="32"/>
        </w:rPr>
        <w:t>对原告</w:t>
      </w:r>
      <w:r>
        <w:rPr>
          <w:rFonts w:hint="eastAsia" w:ascii="仿宋_GB2312" w:hAnsi="宋体" w:eastAsia="仿宋_GB2312"/>
          <w:sz w:val="32"/>
          <w:lang w:eastAsia="zh-CN"/>
        </w:rPr>
        <w:t>融某公司</w:t>
      </w:r>
      <w:r>
        <w:rPr>
          <w:rFonts w:hint="eastAsia" w:ascii="仿宋_GB2312" w:hAnsi="宋体" w:eastAsia="仿宋_GB2312"/>
          <w:sz w:val="32"/>
        </w:rPr>
        <w:t>出示的被公证处封存的案涉产品无异议，亦认可销售被诉产品。</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当庭拆封公证实物，内有测温仪1台、使用说明书1本、充电线1条、固定钉1个。将公证实物设计与案涉专利设计进行对比，原告认为，涉案专利与被诉侵权产品均为红外测温仪，均包括机身，机身上部设有一探测部，探测部与机身构成倒L形状，机身中部设有显示屏，机身下部设有按键区；两者的机身均为扁平状的长方体，长方体的四个角呈倒圆角；两者的探测部均为近似四棱台形状，四棱台的四个棱角处圆滑过渡，四棱台的上表面呈跑道形，四棱台的上表面均一字排列有三个圆形探测孔；两者的显示屏均为长方形，大小相近；两者的按键区均一字排列有四个功能按钮；两者机身下半部左右两侧及机身底部设有长条形装饰槽；两者机身的外轮廓均为倒圆角的方形，机身背面的顶部均设有一固定连接孔，中上部均设有一电池安装槽，中下部均设有一音孔；电池安装槽均为长方形，且大小相近；音孔的外轮廓均呈六边形。不同之处是被诉侵权产品的装饰槽内设有条纹，涉案专利的装饰槽内光滑无条纹；被诉侵权产品按键区的四个功能按钮为跑道形，涉案专利按键区的四个功能按钮为长方形；被诉侵权产品的音孔外围设有一环形凹槽，原告专利的音孔外围无环形凹槽；原告专利机身右侧设有一滑动开关及一USB孔，而被诉侵权产品没有。上述不同点为局部细微差别，对整体视觉效果影响较小。因此，两者构成近似。</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认为，被诉侵权产品与涉案专利在外观设计上存在明显差异。两者感应头设计不同，涉案专利感应头宽度与整体宽度等宽，而被诉侵权产品感应头宽度明显小于整体宽度，涉案专利在俯视图、仰视图中感应头两侧倾斜角度较小，而被诉侵权产品在俯视图、仰视图中感应头两侧倾斜角度较大，涉案专利在侧视图中感应头上下倾斜角度相同，而被诉侵权产品在侧视图中感应头下端倾斜角度大于上端；两者显示屏设计不同，涉案专利显示屏较小，且显示屏呈矩形，而被诉侵权产品显示屏较大，且显示屏呈圆角矩形；两者按键设计不同，涉案专利按键呈矩形，而被诉侵权产品按键呈跑道型；两者面壳表面纹理设计不同，涉案专利面壳两侧及底端设有单个梯形凹陷，被诉侵权产品两侧及底端设有多个四边形凹陷；两者底部连接孔设计不同，涉案专利底部连接孔呈六边形，而被诉侵权产品底部连接孔呈六圆形；两者测表面设计不同，涉案专利面壳侧方设有单个梯形凹陷，而被诉侵权产品面壳侧方设有多个四边形凹陷；两者推钮设计不同，涉案专利侧面设有推钮，而被诉侵权产品无此特征。</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提供的</w:t>
      </w:r>
      <w:r>
        <w:rPr>
          <w:rFonts w:hint="eastAsia" w:ascii="仿宋_GB2312" w:hAnsi="宋体" w:eastAsia="仿宋_GB2312"/>
          <w:sz w:val="32"/>
          <w:lang w:eastAsia="zh-CN"/>
        </w:rPr>
        <w:t>ZL2020xxxx6615.0</w:t>
      </w:r>
      <w:r>
        <w:rPr>
          <w:rFonts w:hint="eastAsia" w:ascii="仿宋_GB2312" w:hAnsi="宋体" w:eastAsia="仿宋_GB2312"/>
          <w:sz w:val="32"/>
        </w:rPr>
        <w:t>外观设计专利证书载明：</w:t>
      </w:r>
      <w:r>
        <w:rPr>
          <w:rFonts w:hint="eastAsia" w:ascii="仿宋_GB2312" w:hAnsi="宋体" w:eastAsia="仿宋_GB2312"/>
          <w:sz w:val="32"/>
          <w:lang w:eastAsia="zh-CN"/>
        </w:rPr>
        <w:t>张某峰</w:t>
      </w:r>
      <w:r>
        <w:rPr>
          <w:rFonts w:hint="eastAsia" w:ascii="仿宋_GB2312" w:hAnsi="宋体" w:eastAsia="仿宋_GB2312"/>
          <w:sz w:val="32"/>
        </w:rPr>
        <w:t>设计的“智能测温仪”于2020年5月21日向国家知识产权局申请外观设计专利，于2020年9月15日公告授权，专利号为</w:t>
      </w:r>
      <w:r>
        <w:rPr>
          <w:rFonts w:hint="eastAsia" w:ascii="仿宋_GB2312" w:hAnsi="宋体" w:eastAsia="仿宋_GB2312"/>
          <w:sz w:val="32"/>
          <w:lang w:eastAsia="zh-CN"/>
        </w:rPr>
        <w:t>ZL2020xxxx6615.0</w:t>
      </w:r>
      <w:r>
        <w:rPr>
          <w:rFonts w:hint="eastAsia" w:ascii="仿宋_GB2312" w:hAnsi="宋体" w:eastAsia="仿宋_GB2312"/>
          <w:sz w:val="32"/>
        </w:rPr>
        <w:t>，专利权人为</w:t>
      </w:r>
      <w:r>
        <w:rPr>
          <w:rFonts w:hint="eastAsia" w:ascii="仿宋_GB2312" w:hAnsi="宋体" w:eastAsia="仿宋_GB2312"/>
          <w:sz w:val="32"/>
          <w:lang w:eastAsia="zh-CN"/>
        </w:rPr>
        <w:t>深圳市某智能有限公司</w:t>
      </w:r>
      <w:r>
        <w:rPr>
          <w:rFonts w:hint="eastAsia" w:ascii="仿宋_GB2312" w:hAnsi="宋体" w:eastAsia="仿宋_GB2312"/>
          <w:sz w:val="32"/>
        </w:rPr>
        <w:t>。该外观设计共有主视图、后视图、左视图、右视图、俯视图、仰视图、立体图共7幅图片。简要说明记载该外观设计产品的用途为用于测量温度，设计要点在于形状，最能表明设计要点的图片或照片是立体图。</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提供的</w:t>
      </w:r>
      <w:r>
        <w:rPr>
          <w:rFonts w:hint="eastAsia" w:ascii="仿宋_GB2312" w:hAnsi="宋体" w:eastAsia="仿宋_GB2312"/>
          <w:sz w:val="32"/>
          <w:lang w:eastAsia="zh-CN"/>
        </w:rPr>
        <w:t>ZL2020xxxx2114.X</w:t>
      </w:r>
      <w:r>
        <w:rPr>
          <w:rFonts w:hint="eastAsia" w:ascii="仿宋_GB2312" w:hAnsi="宋体" w:eastAsia="仿宋_GB2312"/>
          <w:sz w:val="32"/>
        </w:rPr>
        <w:t>外观设计专利证书载明：</w:t>
      </w:r>
      <w:r>
        <w:rPr>
          <w:rFonts w:hint="eastAsia" w:ascii="仿宋_GB2312" w:hAnsi="宋体" w:eastAsia="仿宋_GB2312"/>
          <w:sz w:val="32"/>
          <w:lang w:eastAsia="zh-CN"/>
        </w:rPr>
        <w:t>林某松</w:t>
      </w:r>
      <w:r>
        <w:rPr>
          <w:rFonts w:hint="eastAsia" w:ascii="仿宋_GB2312" w:hAnsi="宋体" w:eastAsia="仿宋_GB2312"/>
          <w:sz w:val="32"/>
        </w:rPr>
        <w:t>设计的“红外测温仪（K3）”于2020年4月1日向国家知识产权局申请外观设计专利，于2020年8月21日公告授权，专利号为</w:t>
      </w:r>
      <w:r>
        <w:rPr>
          <w:rFonts w:hint="eastAsia" w:ascii="仿宋_GB2312" w:hAnsi="宋体" w:eastAsia="仿宋_GB2312"/>
          <w:sz w:val="32"/>
          <w:lang w:eastAsia="zh-CN"/>
        </w:rPr>
        <w:t>ZL2020xxxx2114.X</w:t>
      </w:r>
      <w:r>
        <w:rPr>
          <w:rFonts w:hint="eastAsia" w:ascii="仿宋_GB2312" w:hAnsi="宋体" w:eastAsia="仿宋_GB2312"/>
          <w:sz w:val="32"/>
        </w:rPr>
        <w:t>，专利权人为</w:t>
      </w:r>
      <w:r>
        <w:rPr>
          <w:rFonts w:hint="eastAsia" w:ascii="仿宋_GB2312" w:hAnsi="宋体" w:eastAsia="仿宋_GB2312"/>
          <w:sz w:val="32"/>
          <w:lang w:eastAsia="zh-CN"/>
        </w:rPr>
        <w:t>深圳市某科技股份有限公司</w:t>
      </w:r>
      <w:r>
        <w:rPr>
          <w:rFonts w:hint="eastAsia" w:ascii="仿宋_GB2312" w:hAnsi="宋体" w:eastAsia="仿宋_GB2312"/>
          <w:sz w:val="32"/>
        </w:rPr>
        <w:t>。该外观设计共有主视图、后视图、左视图、右视图、俯视图、仰视图、立体图共7幅图片。简要说明记载该外观设计产品的用途为用于测量体温，设计要点在于形状，最能表明设计要点的图片或照片是立体图。</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提供的</w:t>
      </w:r>
      <w:r>
        <w:rPr>
          <w:rFonts w:hint="eastAsia" w:ascii="仿宋_GB2312" w:hAnsi="宋体" w:eastAsia="仿宋_GB2312"/>
          <w:sz w:val="32"/>
          <w:lang w:eastAsia="zh-CN"/>
        </w:rPr>
        <w:t>ZL2020xxxx0371.3</w:t>
      </w:r>
      <w:r>
        <w:rPr>
          <w:rFonts w:hint="eastAsia" w:ascii="仿宋_GB2312" w:hAnsi="宋体" w:eastAsia="仿宋_GB2312"/>
          <w:sz w:val="32"/>
        </w:rPr>
        <w:t>外观设计专利证书载明：吴</w:t>
      </w:r>
      <w:r>
        <w:rPr>
          <w:rFonts w:hint="eastAsia" w:ascii="仿宋_GB2312" w:hAnsi="宋体" w:eastAsia="仿宋_GB2312"/>
          <w:sz w:val="32"/>
          <w:lang w:eastAsia="zh-CN"/>
        </w:rPr>
        <w:t>某</w:t>
      </w:r>
      <w:r>
        <w:rPr>
          <w:rFonts w:hint="eastAsia" w:ascii="仿宋_GB2312" w:hAnsi="宋体" w:eastAsia="仿宋_GB2312"/>
          <w:sz w:val="32"/>
        </w:rPr>
        <w:t>中设计的“壁挂式温度计”于2020年5月22日向国家知识产权局申请外观设计专利，于2020年9月15日公告授权，专利号为</w:t>
      </w:r>
      <w:r>
        <w:rPr>
          <w:rFonts w:hint="eastAsia" w:ascii="仿宋_GB2312" w:hAnsi="宋体" w:eastAsia="仿宋_GB2312"/>
          <w:sz w:val="32"/>
          <w:lang w:eastAsia="zh-CN"/>
        </w:rPr>
        <w:t>ZL2020xxxx0371.3</w:t>
      </w:r>
      <w:r>
        <w:rPr>
          <w:rFonts w:hint="eastAsia" w:ascii="仿宋_GB2312" w:hAnsi="宋体" w:eastAsia="仿宋_GB2312"/>
          <w:sz w:val="32"/>
        </w:rPr>
        <w:t>，专利权人为深圳金</w:t>
      </w:r>
      <w:r>
        <w:rPr>
          <w:rFonts w:hint="eastAsia" w:ascii="仿宋_GB2312" w:hAnsi="宋体" w:eastAsia="仿宋_GB2312"/>
          <w:sz w:val="32"/>
          <w:lang w:eastAsia="zh-CN"/>
        </w:rPr>
        <w:t>某</w:t>
      </w:r>
      <w:bookmarkStart w:id="0" w:name="_GoBack"/>
      <w:bookmarkEnd w:id="0"/>
      <w:r>
        <w:rPr>
          <w:rFonts w:hint="eastAsia" w:ascii="仿宋_GB2312" w:hAnsi="宋体" w:eastAsia="仿宋_GB2312"/>
          <w:sz w:val="32"/>
        </w:rPr>
        <w:t>智控科技有限公司。该外观设计共有主视图、后视图、左视图、右视图、俯视图、仰视图、立体图共7幅图片。简要说明记载该外观设计产品的用途为用于测量人体或物体的温度，设计要点在于形状，最能表明设计要点的图片或照片是立体图。（详见附图）</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原告</w:t>
      </w:r>
      <w:r>
        <w:rPr>
          <w:rFonts w:hint="eastAsia" w:ascii="仿宋_GB2312" w:hAnsi="宋体" w:eastAsia="仿宋_GB2312"/>
          <w:sz w:val="32"/>
          <w:lang w:eastAsia="zh-CN"/>
        </w:rPr>
        <w:t>融某公司</w:t>
      </w:r>
      <w:r>
        <w:rPr>
          <w:rFonts w:hint="eastAsia" w:ascii="仿宋_GB2312" w:hAnsi="宋体" w:eastAsia="仿宋_GB2312"/>
          <w:sz w:val="32"/>
        </w:rPr>
        <w:t>认为原告的外观设计专利与</w:t>
      </w:r>
      <w:r>
        <w:rPr>
          <w:rFonts w:hint="eastAsia" w:ascii="仿宋_GB2312" w:hAnsi="宋体" w:eastAsia="仿宋_GB2312"/>
          <w:sz w:val="32"/>
          <w:lang w:eastAsia="zh-CN"/>
        </w:rPr>
        <w:t>ZL2020xxxx6615.0</w:t>
      </w:r>
      <w:r>
        <w:rPr>
          <w:rFonts w:hint="eastAsia" w:ascii="仿宋_GB2312" w:hAnsi="宋体" w:eastAsia="仿宋_GB2312"/>
          <w:sz w:val="32"/>
        </w:rPr>
        <w:t>、</w:t>
      </w:r>
      <w:r>
        <w:rPr>
          <w:rFonts w:hint="eastAsia" w:ascii="仿宋_GB2312" w:hAnsi="宋体" w:eastAsia="仿宋_GB2312"/>
          <w:sz w:val="32"/>
          <w:lang w:eastAsia="zh-CN"/>
        </w:rPr>
        <w:t>ZL2020xxxx2114.X</w:t>
      </w:r>
      <w:r>
        <w:rPr>
          <w:rFonts w:hint="eastAsia" w:ascii="仿宋_GB2312" w:hAnsi="宋体" w:eastAsia="仿宋_GB2312"/>
          <w:sz w:val="32"/>
        </w:rPr>
        <w:t>、</w:t>
      </w:r>
      <w:r>
        <w:rPr>
          <w:rFonts w:hint="eastAsia" w:ascii="仿宋_GB2312" w:hAnsi="宋体" w:eastAsia="仿宋_GB2312"/>
          <w:sz w:val="32"/>
          <w:lang w:eastAsia="zh-CN"/>
        </w:rPr>
        <w:t>ZL2020xxxx0371.3</w:t>
      </w:r>
      <w:r>
        <w:rPr>
          <w:rFonts w:hint="eastAsia" w:ascii="仿宋_GB2312" w:hAnsi="宋体" w:eastAsia="仿宋_GB2312"/>
          <w:sz w:val="32"/>
        </w:rPr>
        <w:t>外观设计专利均存在明显区别，构成实质性差异，该差别对外观设计的整体视觉效果产生显著影响，因此，两者既不相同，也不近似。</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认为，案涉被诉产品整体形状设计及各个位置细节设计已被现有设计公开，案涉被诉产品与现有设计无实质性差异，被告不构成侵犯原告外观设计专利权。</w:t>
      </w:r>
      <w:r>
        <w:rPr>
          <w:rFonts w:hint="eastAsia" w:ascii="仿宋_GB2312" w:hAnsi="宋体" w:eastAsia="仿宋_GB2312"/>
          <w:sz w:val="32"/>
          <w:lang w:eastAsia="zh-CN"/>
        </w:rPr>
        <w:t>ZL2020xxxx6615.0</w:t>
      </w:r>
      <w:r>
        <w:rPr>
          <w:rFonts w:hint="eastAsia" w:ascii="仿宋_GB2312" w:hAnsi="宋体" w:eastAsia="仿宋_GB2312"/>
          <w:sz w:val="32"/>
        </w:rPr>
        <w:t>专利的外观设计与被诉侵权设计构成抵触申请，两者整体形状及各个设计均无实质性差异，故被告不构成侵权。</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成立于2010年7月23日，营业期限至2030年7月22日，企业类型是有限责任公司（自然人投资或控股），经营范围：灯具、家用电器、日用金属制品、日用塑料制品、日用五金制品、电动工具、五金工具，体育用具（不含弩），电子产品（不含地面卫星接收设施）销售；货物和技术进出口业务（依法须经批准的项目，经相关部门批准后方可开展经营活动）。</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本院认为，原告</w:t>
      </w:r>
      <w:r>
        <w:rPr>
          <w:rFonts w:hint="eastAsia" w:ascii="仿宋_GB2312" w:hAnsi="宋体" w:eastAsia="仿宋_GB2312"/>
          <w:sz w:val="32"/>
          <w:lang w:eastAsia="zh-CN"/>
        </w:rPr>
        <w:t>融某公司</w:t>
      </w:r>
      <w:r>
        <w:rPr>
          <w:rFonts w:hint="eastAsia" w:ascii="仿宋_GB2312" w:hAnsi="宋体" w:eastAsia="仿宋_GB2312"/>
          <w:sz w:val="32"/>
        </w:rPr>
        <w:t>为</w:t>
      </w:r>
      <w:r>
        <w:rPr>
          <w:rFonts w:hint="eastAsia" w:ascii="仿宋_GB2312" w:hAnsi="宋体" w:eastAsia="仿宋_GB2312"/>
          <w:sz w:val="32"/>
          <w:lang w:eastAsia="zh-CN"/>
        </w:rPr>
        <w:t>ZL2020xxxx9847.6</w:t>
      </w:r>
      <w:r>
        <w:rPr>
          <w:rFonts w:hint="eastAsia" w:ascii="仿宋_GB2312" w:hAnsi="宋体" w:eastAsia="仿宋_GB2312"/>
          <w:sz w:val="32"/>
        </w:rPr>
        <w:t>，名称为“红外测温仪”的外观设计专利权人，该外观设计专利在有效期内，法律状态稳定，且权利人已履行缴纳专利年费的义务，该专利合法有效，应受法律保护。</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根据《中华人民共和国专利法》第十一条规定，外观设计专利权被授予后，任何单位或者个人未经专利权人许可，都不得实施其专利，即不得为生产经营目的制造、许诺销售、销售、进口其外观设计专利产品。第六十四条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八条、第十条、第十一条规定，在与外观设计专利产品相同或者近似种类产品上，采用与授权外观设计相同或近似的外观设计的，应当认定被诉侵权设计落入外观设计专利权的保护范围；判断外观设计是否相同或者近似，应当以外观设计专利产品的一般消费者的知识水平和认知能力进行观察；根据授权外观设计、被诉侵权设计的设计特征，以外观设计的整体视觉效果进行综合判断，对被诉侵权设计与授权外观设计是否在整体视觉效果上无差异或无实质性差异进行比对。本案中，被诉侵权产品与涉案专利产品均为红外测温仪，将被诉侵权产品设计与授权外观专利设计进行对比，两者整体形状基本相同，仅装饰槽、按键区、音孔外围设计、机身有无滑动开关等存在细微区别，从外观设计专利产品的一般消费者的知识水平和认知能力来看，应当认定两者视觉效果无实质性差异，构成近似，被诉侵权产品的外观设计落入原告案涉专利的保护范围。关于被告辩称被诉侵权设计与</w:t>
      </w:r>
      <w:r>
        <w:rPr>
          <w:rFonts w:hint="eastAsia" w:ascii="仿宋_GB2312" w:hAnsi="宋体" w:eastAsia="仿宋_GB2312"/>
          <w:sz w:val="32"/>
          <w:lang w:eastAsia="zh-CN"/>
        </w:rPr>
        <w:t>ZL2020xxxx6615.0</w:t>
      </w:r>
      <w:r>
        <w:rPr>
          <w:rFonts w:hint="eastAsia" w:ascii="仿宋_GB2312" w:hAnsi="宋体" w:eastAsia="仿宋_GB2312"/>
          <w:sz w:val="32"/>
        </w:rPr>
        <w:t>外观设计构成抵触申请的意见，本院认为，对被诉侵权设计与抵触申请设计进行对比，两者在整体形状、探测部形状、探测孔布局、显示屏与按键位置以及有无装饰槽等方面均存在实质性差异，故被告关于抵触申请的抗辩不能成立。</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晶某公司</w:t>
      </w:r>
      <w:r>
        <w:rPr>
          <w:rFonts w:hint="eastAsia" w:ascii="仿宋_GB2312" w:hAnsi="宋体" w:eastAsia="仿宋_GB2312"/>
          <w:sz w:val="32"/>
        </w:rPr>
        <w:t>未经原告</w:t>
      </w:r>
      <w:r>
        <w:rPr>
          <w:rFonts w:hint="eastAsia" w:ascii="仿宋_GB2312" w:hAnsi="宋体" w:eastAsia="仿宋_GB2312"/>
          <w:sz w:val="32"/>
          <w:lang w:eastAsia="zh-CN"/>
        </w:rPr>
        <w:t>融某公司</w:t>
      </w:r>
      <w:r>
        <w:rPr>
          <w:rFonts w:hint="eastAsia" w:ascii="仿宋_GB2312" w:hAnsi="宋体" w:eastAsia="仿宋_GB2312"/>
          <w:sz w:val="32"/>
        </w:rPr>
        <w:t>许可，销售侵权红外测温仪，侵害了原告</w:t>
      </w:r>
      <w:r>
        <w:rPr>
          <w:rFonts w:hint="eastAsia" w:ascii="仿宋_GB2312" w:hAnsi="宋体" w:eastAsia="仿宋_GB2312"/>
          <w:sz w:val="32"/>
          <w:lang w:eastAsia="zh-CN"/>
        </w:rPr>
        <w:t>融某公司</w:t>
      </w:r>
      <w:r>
        <w:rPr>
          <w:rFonts w:hint="eastAsia" w:ascii="仿宋_GB2312" w:hAnsi="宋体" w:eastAsia="仿宋_GB2312"/>
          <w:sz w:val="32"/>
        </w:rPr>
        <w:t>的外观设计专利权，应当承担停止销售、许诺销售的侵权责任。关于原告</w:t>
      </w:r>
      <w:r>
        <w:rPr>
          <w:rFonts w:hint="eastAsia" w:ascii="仿宋_GB2312" w:hAnsi="宋体" w:eastAsia="仿宋_GB2312"/>
          <w:sz w:val="32"/>
          <w:lang w:eastAsia="zh-CN"/>
        </w:rPr>
        <w:t>融某公司</w:t>
      </w:r>
      <w:r>
        <w:rPr>
          <w:rFonts w:hint="eastAsia" w:ascii="仿宋_GB2312" w:hAnsi="宋体" w:eastAsia="仿宋_GB2312"/>
          <w:sz w:val="32"/>
        </w:rPr>
        <w:t>要求被告</w:t>
      </w:r>
      <w:r>
        <w:rPr>
          <w:rFonts w:hint="eastAsia" w:ascii="仿宋_GB2312" w:hAnsi="宋体" w:eastAsia="仿宋_GB2312"/>
          <w:sz w:val="32"/>
          <w:lang w:eastAsia="zh-CN"/>
        </w:rPr>
        <w:t>晶某公司</w:t>
      </w:r>
      <w:r>
        <w:rPr>
          <w:rFonts w:hint="eastAsia" w:ascii="仿宋_GB2312" w:hAnsi="宋体" w:eastAsia="仿宋_GB2312"/>
          <w:sz w:val="32"/>
        </w:rPr>
        <w:t>停止制造侵权产品的诉讼请求，原告</w:t>
      </w:r>
      <w:r>
        <w:rPr>
          <w:rFonts w:hint="eastAsia" w:ascii="仿宋_GB2312" w:hAnsi="宋体" w:eastAsia="仿宋_GB2312"/>
          <w:sz w:val="32"/>
          <w:lang w:eastAsia="zh-CN"/>
        </w:rPr>
        <w:t>融某公司</w:t>
      </w:r>
      <w:r>
        <w:rPr>
          <w:rFonts w:hint="eastAsia" w:ascii="仿宋_GB2312" w:hAnsi="宋体" w:eastAsia="仿宋_GB2312"/>
          <w:sz w:val="32"/>
        </w:rPr>
        <w:t>未能提供充分证据证明侵权产品系由被告</w:t>
      </w:r>
      <w:r>
        <w:rPr>
          <w:rFonts w:hint="eastAsia" w:ascii="仿宋_GB2312" w:hAnsi="宋体" w:eastAsia="仿宋_GB2312"/>
          <w:sz w:val="32"/>
          <w:lang w:eastAsia="zh-CN"/>
        </w:rPr>
        <w:t>晶某公司</w:t>
      </w:r>
      <w:r>
        <w:rPr>
          <w:rFonts w:hint="eastAsia" w:ascii="仿宋_GB2312" w:hAnsi="宋体" w:eastAsia="仿宋_GB2312"/>
          <w:sz w:val="32"/>
        </w:rPr>
        <w:t>制造，故对</w:t>
      </w:r>
      <w:r>
        <w:rPr>
          <w:rFonts w:hint="eastAsia" w:ascii="仿宋_GB2312" w:hAnsi="宋体" w:eastAsia="仿宋_GB2312"/>
          <w:sz w:val="32"/>
          <w:lang w:eastAsia="zh-CN"/>
        </w:rPr>
        <w:t>融某公司</w:t>
      </w:r>
      <w:r>
        <w:rPr>
          <w:rFonts w:hint="eastAsia" w:ascii="仿宋_GB2312" w:hAnsi="宋体" w:eastAsia="仿宋_GB2312"/>
          <w:sz w:val="32"/>
        </w:rPr>
        <w:t>的该项诉讼请求，本院不予支持。关于原告</w:t>
      </w:r>
      <w:r>
        <w:rPr>
          <w:rFonts w:hint="eastAsia" w:ascii="仿宋_GB2312" w:hAnsi="宋体" w:eastAsia="仿宋_GB2312"/>
          <w:sz w:val="32"/>
          <w:lang w:eastAsia="zh-CN"/>
        </w:rPr>
        <w:t>融某公司</w:t>
      </w:r>
      <w:r>
        <w:rPr>
          <w:rFonts w:hint="eastAsia" w:ascii="仿宋_GB2312" w:hAnsi="宋体" w:eastAsia="仿宋_GB2312"/>
          <w:sz w:val="32"/>
        </w:rPr>
        <w:t>要求被告销毁库存的诉讼请求，因案涉被诉侵权产品销售页面显示有货，故被告</w:t>
      </w:r>
      <w:r>
        <w:rPr>
          <w:rFonts w:hint="eastAsia" w:ascii="仿宋_GB2312" w:hAnsi="宋体" w:eastAsia="仿宋_GB2312"/>
          <w:sz w:val="32"/>
          <w:lang w:eastAsia="zh-CN"/>
        </w:rPr>
        <w:t>晶某公司</w:t>
      </w:r>
      <w:r>
        <w:rPr>
          <w:rFonts w:hint="eastAsia" w:ascii="仿宋_GB2312" w:hAnsi="宋体" w:eastAsia="仿宋_GB2312"/>
          <w:sz w:val="32"/>
        </w:rPr>
        <w:t>应承担销毁其库存侵权产品的责任。</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关于赔偿金额，《中华人民共和国专利法》第七十一条规定，侵犯专利权的赔偿数额按照权利人因被侵权所受到的实际损失或者侵权人因侵权所获得的利益确定；权利人的损失或者侵权人获得的利益难以确定的，参照该专利许可使用费的倍数合理确定。权利人的损失、侵权人获得的利益和专利许可使用费均难以确定的，人民法院可以根据专利权的类型、侵权行为的性质和情节等因素，确定给予三万元以上五百万元以下的赔偿。本案原告主张适用法定赔偿，其未向本院提交被告的获利情况或其因侵权行为所受损失之证据，本院根据本案实际情况，并考虑涉案专利类型、被诉侵权行为的性质、情节（月销量3000+、该产品已累计捐赠654笔、案涉被诉侵权产品的链接有三款产品，被诉侵权产品为其中一款测温仪）以及原告为维权支出的合理费用等，酌定被告</w:t>
      </w:r>
      <w:r>
        <w:rPr>
          <w:rFonts w:hint="eastAsia" w:ascii="仿宋_GB2312" w:hAnsi="宋体" w:eastAsia="仿宋_GB2312"/>
          <w:sz w:val="32"/>
          <w:lang w:eastAsia="zh-CN"/>
        </w:rPr>
        <w:t>晶某公司</w:t>
      </w:r>
      <w:r>
        <w:rPr>
          <w:rFonts w:hint="eastAsia" w:ascii="仿宋_GB2312" w:hAnsi="宋体" w:eastAsia="仿宋_GB2312"/>
          <w:sz w:val="32"/>
        </w:rPr>
        <w:t>赔偿原告</w:t>
      </w:r>
      <w:r>
        <w:rPr>
          <w:rFonts w:hint="eastAsia" w:ascii="仿宋_GB2312" w:hAnsi="宋体" w:eastAsia="仿宋_GB2312"/>
          <w:sz w:val="32"/>
          <w:lang w:eastAsia="zh-CN"/>
        </w:rPr>
        <w:t>融某公司</w:t>
      </w:r>
      <w:r>
        <w:rPr>
          <w:rFonts w:hint="eastAsia" w:ascii="仿宋_GB2312" w:hAnsi="宋体" w:eastAsia="仿宋_GB2312"/>
          <w:sz w:val="32"/>
        </w:rPr>
        <w:t>经济损失40000元（包含原告为维权支出的合理费用）。</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综上，原告诉讼请求的合理部分，本院予以支持。依照《中华人民共和国民法典》第一百二十三条、第一百七十九条，《中华人民共和国专利法》第十一条第二款、第六十四条、第七十一条，《最高人民法院关于审理侵犯专利权纠纷案件应用法律若干问题的解释》第八条、第十条、第十一条，《中华人民共和国民事诉讼法》第六十七条第一款之规定，判决如下：</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一、被告</w:t>
      </w:r>
      <w:r>
        <w:rPr>
          <w:rFonts w:hint="eastAsia" w:ascii="仿宋_GB2312" w:hAnsi="宋体" w:eastAsia="仿宋_GB2312"/>
          <w:sz w:val="32"/>
          <w:lang w:eastAsia="zh-CN"/>
        </w:rPr>
        <w:t>永康市晶某贸易有限公司</w:t>
      </w:r>
      <w:r>
        <w:rPr>
          <w:rFonts w:hint="eastAsia" w:ascii="仿宋_GB2312" w:hAnsi="宋体" w:eastAsia="仿宋_GB2312"/>
          <w:sz w:val="32"/>
        </w:rPr>
        <w:t>立即停止销售、许诺销售落入原告</w:t>
      </w:r>
      <w:r>
        <w:rPr>
          <w:rFonts w:hint="eastAsia" w:ascii="仿宋_GB2312" w:hAnsi="宋体" w:eastAsia="仿宋_GB2312"/>
          <w:sz w:val="32"/>
          <w:lang w:eastAsia="zh-CN"/>
        </w:rPr>
        <w:t>融某科技（深圳）有限公司</w:t>
      </w:r>
      <w:r>
        <w:rPr>
          <w:rFonts w:hint="eastAsia" w:ascii="仿宋_GB2312" w:hAnsi="宋体" w:eastAsia="仿宋_GB2312"/>
          <w:sz w:val="32"/>
        </w:rPr>
        <w:t>享有的专利号为“</w:t>
      </w:r>
      <w:r>
        <w:rPr>
          <w:rFonts w:hint="eastAsia" w:ascii="仿宋_GB2312" w:hAnsi="宋体" w:eastAsia="仿宋_GB2312"/>
          <w:sz w:val="32"/>
          <w:lang w:eastAsia="zh-CN"/>
        </w:rPr>
        <w:t>ZL2020xxxx9847.6</w:t>
      </w:r>
      <w:r>
        <w:rPr>
          <w:rFonts w:hint="eastAsia" w:ascii="仿宋_GB2312" w:hAnsi="宋体" w:eastAsia="仿宋_GB2312"/>
          <w:sz w:val="32"/>
        </w:rPr>
        <w:t>”、名称为“红外测温仪”的外观设计专利权保护范围的产品，并销毁库存侵权产品；</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二、由被告</w:t>
      </w:r>
      <w:r>
        <w:rPr>
          <w:rFonts w:hint="eastAsia" w:ascii="仿宋_GB2312" w:hAnsi="宋体" w:eastAsia="仿宋_GB2312"/>
          <w:sz w:val="32"/>
          <w:lang w:eastAsia="zh-CN"/>
        </w:rPr>
        <w:t>永康市晶某贸易有限公司</w:t>
      </w:r>
      <w:r>
        <w:rPr>
          <w:rFonts w:hint="eastAsia" w:ascii="仿宋_GB2312" w:hAnsi="宋体" w:eastAsia="仿宋_GB2312"/>
          <w:sz w:val="32"/>
        </w:rPr>
        <w:t>于本判决生效之日起十日内赔偿原告</w:t>
      </w:r>
      <w:r>
        <w:rPr>
          <w:rFonts w:hint="eastAsia" w:ascii="仿宋_GB2312" w:hAnsi="宋体" w:eastAsia="仿宋_GB2312"/>
          <w:sz w:val="32"/>
          <w:lang w:eastAsia="zh-CN"/>
        </w:rPr>
        <w:t>融某科技（深圳）有限公司</w:t>
      </w:r>
      <w:r>
        <w:rPr>
          <w:rFonts w:hint="eastAsia" w:ascii="仿宋_GB2312" w:hAnsi="宋体" w:eastAsia="仿宋_GB2312"/>
          <w:sz w:val="32"/>
        </w:rPr>
        <w:t>经济损失40000元（包含原告为维权支出的合理费用）；</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三、驳回原告</w:t>
      </w:r>
      <w:r>
        <w:rPr>
          <w:rFonts w:hint="eastAsia" w:ascii="仿宋_GB2312" w:hAnsi="宋体" w:eastAsia="仿宋_GB2312"/>
          <w:sz w:val="32"/>
          <w:lang w:eastAsia="zh-CN"/>
        </w:rPr>
        <w:t>融某科技（深圳）有限公司</w:t>
      </w:r>
      <w:r>
        <w:rPr>
          <w:rFonts w:hint="eastAsia" w:ascii="仿宋_GB2312" w:hAnsi="宋体" w:eastAsia="仿宋_GB2312"/>
          <w:sz w:val="32"/>
        </w:rPr>
        <w:t>的其他诉讼请求。</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如果未按本判决指定的期间履行给付金钱义务，应当依据《中华人民共和国民事诉讼法》第二百六十条规定，加倍支付迟延履行期间的债务利息。</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案件受理费1800元，由原告</w:t>
      </w:r>
      <w:r>
        <w:rPr>
          <w:rFonts w:hint="eastAsia" w:ascii="仿宋_GB2312" w:hAnsi="宋体" w:eastAsia="仿宋_GB2312"/>
          <w:sz w:val="32"/>
          <w:lang w:eastAsia="zh-CN"/>
        </w:rPr>
        <w:t>融某科技（深圳）有限公司</w:t>
      </w:r>
      <w:r>
        <w:rPr>
          <w:rFonts w:hint="eastAsia" w:ascii="仿宋_GB2312" w:hAnsi="宋体" w:eastAsia="仿宋_GB2312"/>
          <w:sz w:val="32"/>
        </w:rPr>
        <w:t>负担450元，由被告</w:t>
      </w:r>
      <w:r>
        <w:rPr>
          <w:rFonts w:hint="eastAsia" w:ascii="仿宋_GB2312" w:hAnsi="宋体" w:eastAsia="仿宋_GB2312"/>
          <w:sz w:val="32"/>
          <w:lang w:eastAsia="zh-CN"/>
        </w:rPr>
        <w:t>永康市晶某贸易有限公司</w:t>
      </w:r>
      <w:r>
        <w:rPr>
          <w:rFonts w:hint="eastAsia" w:ascii="仿宋_GB2312" w:hAnsi="宋体" w:eastAsia="仿宋_GB2312"/>
          <w:sz w:val="32"/>
        </w:rPr>
        <w:t>负担1350元。</w:t>
      </w:r>
    </w:p>
    <w:p>
      <w:pPr>
        <w:widowControl w:val="0"/>
        <w:adjustRightInd/>
        <w:snapToGrid/>
        <w:spacing w:after="0" w:line="560" w:lineRule="exact"/>
        <w:ind w:firstLine="640" w:firstLineChars="200"/>
        <w:jc w:val="both"/>
        <w:rPr>
          <w:rFonts w:ascii="仿宋_GB2312" w:hAnsi="宋体" w:eastAsia="仿宋_GB2312"/>
          <w:sz w:val="32"/>
        </w:rPr>
      </w:pPr>
      <w:r>
        <w:rPr>
          <w:rFonts w:hint="eastAsia" w:ascii="仿宋_GB2312" w:hAnsi="宋体" w:eastAsia="仿宋_GB2312"/>
          <w:sz w:val="32"/>
        </w:rPr>
        <w:t>如不服本判决，可在判决书送达之日起十五日内向本院递交上诉状，并按对方当事人的人数提出副本，上诉于浙江省高级人民法院。</w:t>
      </w:r>
    </w:p>
    <w:p>
      <w:pPr>
        <w:widowControl w:val="0"/>
        <w:adjustRightInd/>
        <w:snapToGrid/>
        <w:spacing w:beforeLines="400" w:after="0" w:line="360" w:lineRule="auto"/>
        <w:ind w:right="660" w:rightChars="300"/>
        <w:jc w:val="right"/>
      </w:pPr>
      <w:r>
        <w:rPr>
          <w:rFonts w:hint="eastAsia" w:ascii="仿宋_GB2312" w:hAnsi="宋体" w:eastAsia="仿宋_GB2312"/>
          <w:sz w:val="32"/>
        </w:rPr>
        <w:t>审　　判　　长　　　张斯欣</w:t>
      </w:r>
      <w:r>
        <w:rPr>
          <w:rFonts w:ascii="仿宋_GB2312" w:hAnsi="宋体" w:eastAsia="仿宋_GB2312"/>
          <w:sz w:val="32"/>
        </w:rPr>
        <w:br w:type="textWrapping"/>
      </w:r>
      <w:r>
        <w:rPr>
          <w:rFonts w:ascii="仿宋_GB2312" w:hAnsi="宋体" w:eastAsia="仿宋_GB2312"/>
          <w:sz w:val="32"/>
        </w:rPr>
        <w:t>人 民 陪 审 员　　　俞良俊</w:t>
      </w:r>
      <w:r>
        <w:rPr>
          <w:rFonts w:ascii="仿宋_GB2312" w:hAnsi="宋体" w:eastAsia="仿宋_GB2312"/>
          <w:sz w:val="32"/>
        </w:rPr>
        <w:br w:type="textWrapping"/>
      </w:r>
      <w:r>
        <w:rPr>
          <w:rFonts w:ascii="仿宋_GB2312" w:hAnsi="宋体" w:eastAsia="仿宋_GB2312"/>
          <w:sz w:val="32"/>
        </w:rPr>
        <w:t>人 民 陪 审 员　　　朱晓春</w:t>
      </w:r>
    </w:p>
    <w:p>
      <w:pPr>
        <w:widowControl w:val="0"/>
        <w:adjustRightInd/>
        <w:snapToGrid/>
        <w:spacing w:beforeLines="800" w:afterLines="200"/>
        <w:ind w:right="660" w:rightChars="300" w:firstLine="919"/>
        <w:jc w:val="right"/>
        <w:rPr>
          <w:rFonts w:ascii="仿宋_GB2312" w:hAnsi="宋体" w:eastAsia="仿宋_GB2312"/>
          <w:sz w:val="32"/>
        </w:rPr>
      </w:pPr>
      <w:r>
        <w:rPr>
          <w:rFonts w:hint="eastAsia" w:ascii="仿宋_GB2312" w:hAnsi="宋体" w:eastAsia="仿宋_GB2312"/>
          <w:sz w:val="32"/>
        </w:rPr>
        <w:t>二</w:t>
      </w:r>
      <w:r>
        <w:rPr>
          <w:rFonts w:hint="eastAsia" w:ascii="宋体" w:hAnsi="宋体" w:eastAsia="宋体" w:cs="宋体"/>
          <w:sz w:val="32"/>
        </w:rPr>
        <w:t>〇</w:t>
      </w:r>
      <w:r>
        <w:rPr>
          <w:rFonts w:hint="eastAsia" w:ascii="仿宋_GB2312" w:hAnsi="仿宋_GB2312" w:eastAsia="仿宋_GB2312" w:cs="仿宋_GB2312"/>
          <w:sz w:val="32"/>
        </w:rPr>
        <w:t>二三年一月十日</w:t>
      </w:r>
    </w:p>
    <w:p>
      <w:pPr>
        <w:widowControl w:val="0"/>
        <w:adjustRightInd/>
        <w:snapToGrid/>
        <w:spacing w:after="0" w:line="600" w:lineRule="exact"/>
        <w:ind w:right="660" w:rightChars="300" w:firstLine="919"/>
        <w:jc w:val="right"/>
        <w:rPr>
          <w:rFonts w:ascii="仿宋_GB2312" w:hAnsi="宋体" w:eastAsia="仿宋_GB2312"/>
          <w:sz w:val="32"/>
        </w:rPr>
      </w:pPr>
      <w:r>
        <w:rPr>
          <w:rFonts w:hint="eastAsia" w:ascii="仿宋_GB2312" w:hAnsi="宋体" w:eastAsia="仿宋_GB2312"/>
          <w:sz w:val="32"/>
        </w:rPr>
        <w:t>代　书　记　员　　　徐圆圆</w:t>
      </w:r>
      <w:r>
        <w:rPr>
          <w:rFonts w:ascii="仿宋_GB2312" w:hAnsi="宋体" w:eastAsia="仿宋_GB2312"/>
          <w:sz w:val="32"/>
        </w:rPr>
        <w:br w:type="textWrapping"/>
      </w:r>
      <w:r>
        <w:rPr>
          <w:rFonts w:ascii="仿宋_GB2312" w:hAnsi="宋体" w:eastAsia="仿宋_GB2312"/>
          <w:sz w:val="32"/>
        </w:rPr>
        <w:t>代　书　记　员　　　邵佳玉</w:t>
      </w:r>
    </w:p>
    <w:p>
      <w:pPr>
        <w:adjustRightInd/>
        <w:snapToGrid/>
        <w:spacing w:after="0"/>
        <w:jc w:val="both"/>
        <w:rPr>
          <w:rFonts w:ascii="仿宋_GB2312" w:hAnsi="宋体" w:eastAsia="仿宋_GB2312"/>
          <w:sz w:val="32"/>
        </w:rPr>
      </w:pPr>
    </w:p>
    <w:p>
      <w:pPr>
        <w:adjustRightInd/>
        <w:snapToGrid/>
        <w:spacing w:after="0"/>
        <w:jc w:val="both"/>
        <w:rPr>
          <w:rFonts w:ascii="仿宋_GB2312" w:hAnsi="宋体" w:eastAsia="仿宋_GB2312"/>
          <w:sz w:val="32"/>
        </w:rPr>
      </w:pPr>
    </w:p>
    <w:p>
      <w:pPr>
        <w:adjustRightInd/>
        <w:snapToGrid/>
        <w:spacing w:after="0"/>
        <w:jc w:val="both"/>
        <w:rPr>
          <w:rFonts w:hint="eastAsia" w:ascii="仿宋_GB2312" w:hAnsi="宋体" w:eastAsia="仿宋_GB2312"/>
          <w:sz w:val="32"/>
        </w:rPr>
      </w:pPr>
    </w:p>
    <w:p>
      <w:pPr>
        <w:adjustRightInd/>
        <w:snapToGrid/>
        <w:spacing w:after="0"/>
        <w:jc w:val="both"/>
        <w:rPr>
          <w:rFonts w:ascii="仿宋_GB2312" w:hAnsi="宋体" w:eastAsia="仿宋_GB2312"/>
          <w:sz w:val="32"/>
        </w:rPr>
      </w:pPr>
    </w:p>
    <w:p>
      <w:pPr>
        <w:adjustRightInd/>
        <w:snapToGrid/>
        <w:spacing w:after="0"/>
        <w:jc w:val="both"/>
        <w:rPr>
          <w:rFonts w:ascii="仿宋_GB2312" w:hAnsi="宋体" w:eastAsia="仿宋_GB2312"/>
          <w:b/>
          <w:sz w:val="32"/>
        </w:rPr>
      </w:pPr>
      <w:r>
        <w:rPr>
          <w:rFonts w:hint="eastAsia" w:ascii="仿宋_GB2312" w:hAnsi="宋体" w:eastAsia="仿宋_GB2312"/>
          <w:b/>
          <w:sz w:val="32"/>
        </w:rPr>
        <w:t>附图1：</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44"/>
        <w:gridCol w:w="46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44" w:type="dxa"/>
            <w:vAlign w:val="center"/>
          </w:tcPr>
          <w:p>
            <w:pPr>
              <w:adjustRightInd/>
              <w:snapToGrid/>
              <w:spacing w:after="0"/>
              <w:jc w:val="center"/>
              <w:rPr>
                <w:rFonts w:ascii="仿宋_GB2312" w:hAnsi="宋体" w:eastAsia="仿宋_GB2312"/>
                <w:sz w:val="32"/>
              </w:rPr>
            </w:pPr>
            <w:r>
              <w:rPr>
                <w:rFonts w:hint="eastAsia" w:ascii="仿宋_GB2312" w:hAnsi="宋体" w:eastAsia="仿宋_GB2312"/>
                <w:sz w:val="32"/>
              </w:rPr>
              <w:t>涉案专利</w:t>
            </w:r>
          </w:p>
        </w:tc>
        <w:tc>
          <w:tcPr>
            <w:tcW w:w="4644" w:type="dxa"/>
            <w:vAlign w:val="center"/>
          </w:tcPr>
          <w:p>
            <w:pPr>
              <w:adjustRightInd/>
              <w:snapToGrid/>
              <w:spacing w:after="0"/>
              <w:jc w:val="center"/>
              <w:rPr>
                <w:rFonts w:ascii="仿宋_GB2312" w:hAnsi="宋体" w:eastAsia="仿宋_GB2312"/>
                <w:sz w:val="32"/>
              </w:rPr>
            </w:pPr>
            <w:r>
              <w:rPr>
                <w:rFonts w:hint="eastAsia" w:ascii="仿宋_GB2312" w:hAnsi="宋体" w:eastAsia="仿宋_GB2312"/>
                <w:sz w:val="32"/>
              </w:rPr>
              <w:t>被诉侵权产品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1" w:hRule="atLeast"/>
        </w:trPr>
        <w:tc>
          <w:tcPr>
            <w:tcW w:w="4644" w:type="dxa"/>
            <w:vAlign w:val="center"/>
          </w:tcPr>
          <w:p>
            <w:pPr>
              <w:adjustRightInd/>
              <w:snapToGrid/>
              <w:spacing w:after="0"/>
              <w:jc w:val="center"/>
              <w:rPr>
                <w:rFonts w:ascii="仿宋_GB2312" w:hAnsi="宋体" w:eastAsia="仿宋_GB2312"/>
                <w:sz w:val="32"/>
              </w:rPr>
            </w:pPr>
            <w:r>
              <w:rPr>
                <w:rFonts w:ascii="仿宋_GB2312" w:hAnsi="宋体" w:eastAsia="仿宋_GB2312"/>
                <w:sz w:val="32"/>
              </w:rPr>
              <w:drawing>
                <wp:anchor distT="0" distB="0" distL="114300" distR="114300" simplePos="0" relativeHeight="251659264" behindDoc="0" locked="0" layoutInCell="1" allowOverlap="1">
                  <wp:simplePos x="0" y="0"/>
                  <wp:positionH relativeFrom="column">
                    <wp:posOffset>795020</wp:posOffset>
                  </wp:positionH>
                  <wp:positionV relativeFrom="paragraph">
                    <wp:posOffset>34925</wp:posOffset>
                  </wp:positionV>
                  <wp:extent cx="1338580" cy="1884045"/>
                  <wp:effectExtent l="0" t="0" r="13970" b="1905"/>
                  <wp:wrapNone/>
                  <wp:docPr id="1" name="图片 10" descr="截图2023010511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截图20230105112248"/>
                          <pic:cNvPicPr>
                            <a:picLocks noChangeAspect="1"/>
                          </pic:cNvPicPr>
                        </pic:nvPicPr>
                        <pic:blipFill>
                          <a:blip r:embed="rId8"/>
                          <a:stretch>
                            <a:fillRect/>
                          </a:stretch>
                        </pic:blipFill>
                        <pic:spPr>
                          <a:xfrm>
                            <a:off x="0" y="0"/>
                            <a:ext cx="1338580" cy="1884045"/>
                          </a:xfrm>
                          <a:prstGeom prst="rect">
                            <a:avLst/>
                          </a:prstGeom>
                          <a:noFill/>
                          <a:ln>
                            <a:noFill/>
                          </a:ln>
                        </pic:spPr>
                      </pic:pic>
                    </a:graphicData>
                  </a:graphic>
                </wp:anchor>
              </w:drawing>
            </w:r>
          </w:p>
        </w:tc>
        <w:tc>
          <w:tcPr>
            <w:tcW w:w="4644" w:type="dxa"/>
            <w:vAlign w:val="center"/>
          </w:tcPr>
          <w:p>
            <w:pPr>
              <w:adjustRightInd/>
              <w:snapToGrid/>
              <w:spacing w:after="0"/>
              <w:jc w:val="center"/>
              <w:rPr>
                <w:rFonts w:ascii="仿宋_GB2312" w:hAnsi="宋体" w:eastAsia="仿宋_GB2312"/>
                <w:sz w:val="32"/>
              </w:rPr>
            </w:pPr>
            <w:r>
              <w:drawing>
                <wp:anchor distT="0" distB="0" distL="114300" distR="114300" simplePos="0" relativeHeight="251663360" behindDoc="0" locked="0" layoutInCell="1" allowOverlap="1">
                  <wp:simplePos x="0" y="0"/>
                  <wp:positionH relativeFrom="column">
                    <wp:posOffset>690880</wp:posOffset>
                  </wp:positionH>
                  <wp:positionV relativeFrom="paragraph">
                    <wp:posOffset>53975</wp:posOffset>
                  </wp:positionV>
                  <wp:extent cx="1438275" cy="1866900"/>
                  <wp:effectExtent l="0" t="0" r="9525" b="0"/>
                  <wp:wrapNone/>
                  <wp:docPr id="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pic:cNvPicPr>
                            <a:picLocks noChangeAspect="1"/>
                          </pic:cNvPicPr>
                        </pic:nvPicPr>
                        <pic:blipFill>
                          <a:blip r:embed="rId9"/>
                          <a:stretch>
                            <a:fillRect/>
                          </a:stretch>
                        </pic:blipFill>
                        <pic:spPr>
                          <a:xfrm>
                            <a:off x="0" y="0"/>
                            <a:ext cx="1438275" cy="1866900"/>
                          </a:xfrm>
                          <a:prstGeom prst="rect">
                            <a:avLst/>
                          </a:prstGeom>
                          <a:noFill/>
                          <a:ln>
                            <a:noFill/>
                          </a:ln>
                        </pic:spPr>
                      </pic:pic>
                    </a:graphicData>
                  </a:graphic>
                </wp:anchor>
              </w:drawing>
            </w:r>
          </w:p>
        </w:tc>
      </w:tr>
    </w:tbl>
    <w:p>
      <w:pPr>
        <w:adjustRightInd/>
        <w:snapToGrid/>
        <w:spacing w:after="0"/>
        <w:jc w:val="both"/>
        <w:rPr>
          <w:rFonts w:ascii="仿宋_GB2312" w:hAnsi="宋体" w:eastAsia="仿宋_GB2312"/>
          <w:b/>
          <w:sz w:val="32"/>
        </w:rPr>
      </w:pPr>
      <w:r>
        <w:rPr>
          <w:rFonts w:hint="eastAsia" w:ascii="仿宋_GB2312" w:hAnsi="宋体" w:eastAsia="仿宋_GB2312"/>
          <w:b/>
          <w:sz w:val="32"/>
        </w:rPr>
        <w:t>附图2：</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786"/>
        <w:gridCol w:w="45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5" w:hRule="atLeast"/>
        </w:trPr>
        <w:tc>
          <w:tcPr>
            <w:tcW w:w="4786" w:type="dxa"/>
            <w:vAlign w:val="center"/>
          </w:tcPr>
          <w:p>
            <w:pPr>
              <w:adjustRightInd/>
              <w:snapToGrid/>
              <w:spacing w:after="0"/>
              <w:jc w:val="center"/>
              <w:rPr>
                <w:rFonts w:ascii="仿宋_GB2312" w:hAnsi="宋体" w:eastAsia="仿宋_GB2312"/>
                <w:sz w:val="32"/>
              </w:rPr>
            </w:pPr>
            <w:r>
              <w:rPr>
                <w:rFonts w:hint="eastAsia" w:ascii="仿宋_GB2312" w:hAnsi="宋体" w:eastAsia="仿宋_GB2312"/>
                <w:sz w:val="32"/>
                <w:lang w:eastAsia="zh-CN"/>
              </w:rPr>
              <w:t>ZL2020xxxx6615.0</w:t>
            </w:r>
            <w:r>
              <w:rPr>
                <w:rFonts w:hint="eastAsia" w:ascii="仿宋_GB2312" w:hAnsi="宋体" w:eastAsia="仿宋_GB2312"/>
                <w:sz w:val="32"/>
              </w:rPr>
              <w:t>外观设计专利</w:t>
            </w:r>
          </w:p>
        </w:tc>
        <w:tc>
          <w:tcPr>
            <w:tcW w:w="4502" w:type="dxa"/>
          </w:tcPr>
          <w:p>
            <w:pPr>
              <w:adjustRightInd/>
              <w:snapToGrid/>
              <w:spacing w:after="0"/>
              <w:jc w:val="both"/>
              <w:rPr>
                <w:rFonts w:ascii="仿宋_GB2312" w:hAnsi="宋体" w:eastAsia="仿宋_GB2312"/>
                <w:sz w:val="32"/>
              </w:rPr>
            </w:pPr>
            <w:r>
              <w:rPr>
                <w:rFonts w:ascii="仿宋_GB2312" w:hAnsi="宋体" w:eastAsia="仿宋_GB2312"/>
                <w:sz w:val="32"/>
              </w:rPr>
              <w:drawing>
                <wp:anchor distT="0" distB="0" distL="114300" distR="114300" simplePos="0" relativeHeight="251660288" behindDoc="0" locked="0" layoutInCell="1" allowOverlap="1">
                  <wp:simplePos x="0" y="0"/>
                  <wp:positionH relativeFrom="margin">
                    <wp:posOffset>779780</wp:posOffset>
                  </wp:positionH>
                  <wp:positionV relativeFrom="margin">
                    <wp:posOffset>78105</wp:posOffset>
                  </wp:positionV>
                  <wp:extent cx="1092200" cy="1476375"/>
                  <wp:effectExtent l="0" t="0" r="12700" b="9525"/>
                  <wp:wrapNone/>
                  <wp:docPr id="2" name="图片 11" descr="截图20230105112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descr="截图20230105112420"/>
                          <pic:cNvPicPr>
                            <a:picLocks noChangeAspect="1"/>
                          </pic:cNvPicPr>
                        </pic:nvPicPr>
                        <pic:blipFill>
                          <a:blip r:embed="rId10"/>
                          <a:stretch>
                            <a:fillRect/>
                          </a:stretch>
                        </pic:blipFill>
                        <pic:spPr>
                          <a:xfrm>
                            <a:off x="0" y="0"/>
                            <a:ext cx="1092200" cy="1476375"/>
                          </a:xfrm>
                          <a:prstGeom prst="rect">
                            <a:avLst/>
                          </a:prstGeom>
                          <a:noFill/>
                          <a:ln>
                            <a:noFill/>
                          </a:ln>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6" w:hRule="atLeast"/>
        </w:trPr>
        <w:tc>
          <w:tcPr>
            <w:tcW w:w="4786" w:type="dxa"/>
            <w:vAlign w:val="center"/>
          </w:tcPr>
          <w:p>
            <w:pPr>
              <w:adjustRightInd/>
              <w:snapToGrid/>
              <w:spacing w:after="0"/>
              <w:jc w:val="center"/>
              <w:rPr>
                <w:rFonts w:ascii="仿宋_GB2312" w:hAnsi="宋体" w:eastAsia="仿宋_GB2312"/>
                <w:sz w:val="32"/>
              </w:rPr>
            </w:pPr>
            <w:r>
              <w:rPr>
                <w:rFonts w:hint="eastAsia" w:ascii="仿宋_GB2312" w:hAnsi="宋体" w:eastAsia="仿宋_GB2312"/>
                <w:sz w:val="32"/>
                <w:lang w:eastAsia="zh-CN"/>
              </w:rPr>
              <w:t>ZL2020xxxx2114.X</w:t>
            </w:r>
            <w:r>
              <w:rPr>
                <w:rFonts w:hint="eastAsia" w:ascii="仿宋_GB2312" w:hAnsi="宋体" w:eastAsia="仿宋_GB2312"/>
                <w:sz w:val="32"/>
              </w:rPr>
              <w:t>外观设计专利</w:t>
            </w:r>
          </w:p>
        </w:tc>
        <w:tc>
          <w:tcPr>
            <w:tcW w:w="4502" w:type="dxa"/>
          </w:tcPr>
          <w:p>
            <w:pPr>
              <w:adjustRightInd/>
              <w:snapToGrid/>
              <w:spacing w:after="0"/>
              <w:jc w:val="both"/>
              <w:rPr>
                <w:rFonts w:ascii="仿宋_GB2312" w:hAnsi="宋体" w:eastAsia="仿宋_GB2312"/>
                <w:sz w:val="32"/>
              </w:rPr>
            </w:pPr>
            <w:r>
              <w:rPr>
                <w:rFonts w:ascii="仿宋_GB2312" w:hAnsi="宋体" w:eastAsia="仿宋_GB2312"/>
                <w:sz w:val="32"/>
              </w:rPr>
              <w:drawing>
                <wp:anchor distT="0" distB="0" distL="114300" distR="114300" simplePos="0" relativeHeight="251661312" behindDoc="0" locked="0" layoutInCell="1" allowOverlap="1">
                  <wp:simplePos x="0" y="0"/>
                  <wp:positionH relativeFrom="margin">
                    <wp:posOffset>889000</wp:posOffset>
                  </wp:positionH>
                  <wp:positionV relativeFrom="margin">
                    <wp:posOffset>59055</wp:posOffset>
                  </wp:positionV>
                  <wp:extent cx="1097280" cy="1499870"/>
                  <wp:effectExtent l="0" t="0" r="7620" b="5080"/>
                  <wp:wrapNone/>
                  <wp:docPr id="3" name="图片 12" descr="截图2023010511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descr="截图20230105113148"/>
                          <pic:cNvPicPr>
                            <a:picLocks noChangeAspect="1"/>
                          </pic:cNvPicPr>
                        </pic:nvPicPr>
                        <pic:blipFill>
                          <a:blip r:embed="rId11"/>
                          <a:stretch>
                            <a:fillRect/>
                          </a:stretch>
                        </pic:blipFill>
                        <pic:spPr>
                          <a:xfrm>
                            <a:off x="0" y="0"/>
                            <a:ext cx="1097280" cy="1499870"/>
                          </a:xfrm>
                          <a:prstGeom prst="rect">
                            <a:avLst/>
                          </a:prstGeom>
                          <a:noFill/>
                          <a:ln>
                            <a:noFill/>
                          </a:ln>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9" w:hRule="atLeast"/>
        </w:trPr>
        <w:tc>
          <w:tcPr>
            <w:tcW w:w="4786" w:type="dxa"/>
            <w:vAlign w:val="center"/>
          </w:tcPr>
          <w:p>
            <w:pPr>
              <w:adjustRightInd/>
              <w:snapToGrid/>
              <w:spacing w:after="0"/>
              <w:jc w:val="center"/>
              <w:rPr>
                <w:rFonts w:ascii="仿宋_GB2312" w:hAnsi="宋体" w:eastAsia="仿宋_GB2312"/>
                <w:sz w:val="32"/>
              </w:rPr>
            </w:pPr>
            <w:r>
              <w:rPr>
                <w:rFonts w:hint="eastAsia" w:ascii="仿宋_GB2312" w:hAnsi="宋体" w:eastAsia="仿宋_GB2312"/>
                <w:sz w:val="32"/>
                <w:lang w:eastAsia="zh-CN"/>
              </w:rPr>
              <w:t>ZL2020xxxx0371.3</w:t>
            </w:r>
            <w:r>
              <w:rPr>
                <w:rFonts w:hint="eastAsia" w:ascii="仿宋_GB2312" w:hAnsi="宋体" w:eastAsia="仿宋_GB2312"/>
                <w:sz w:val="32"/>
              </w:rPr>
              <w:t>外观设计专利</w:t>
            </w:r>
          </w:p>
        </w:tc>
        <w:tc>
          <w:tcPr>
            <w:tcW w:w="4502" w:type="dxa"/>
          </w:tcPr>
          <w:p>
            <w:pPr>
              <w:adjustRightInd/>
              <w:snapToGrid/>
              <w:spacing w:after="0"/>
              <w:jc w:val="both"/>
              <w:rPr>
                <w:rFonts w:ascii="仿宋_GB2312" w:hAnsi="宋体" w:eastAsia="仿宋_GB2312"/>
                <w:sz w:val="32"/>
              </w:rPr>
            </w:pPr>
            <w:r>
              <w:rPr>
                <w:rFonts w:ascii="仿宋_GB2312" w:hAnsi="宋体" w:eastAsia="仿宋_GB2312"/>
                <w:sz w:val="32"/>
              </w:rPr>
              <w:drawing>
                <wp:anchor distT="0" distB="0" distL="114300" distR="114300" simplePos="0" relativeHeight="251662336" behindDoc="0" locked="0" layoutInCell="1" allowOverlap="1">
                  <wp:simplePos x="0" y="0"/>
                  <wp:positionH relativeFrom="margin">
                    <wp:posOffset>823595</wp:posOffset>
                  </wp:positionH>
                  <wp:positionV relativeFrom="margin">
                    <wp:posOffset>74930</wp:posOffset>
                  </wp:positionV>
                  <wp:extent cx="1162685" cy="1569085"/>
                  <wp:effectExtent l="0" t="0" r="18415" b="12065"/>
                  <wp:wrapNone/>
                  <wp:docPr id="4" name="图片 13" descr="截图2023010511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截图20230105112535"/>
                          <pic:cNvPicPr>
                            <a:picLocks noChangeAspect="1"/>
                          </pic:cNvPicPr>
                        </pic:nvPicPr>
                        <pic:blipFill>
                          <a:blip r:embed="rId12"/>
                          <a:stretch>
                            <a:fillRect/>
                          </a:stretch>
                        </pic:blipFill>
                        <pic:spPr>
                          <a:xfrm>
                            <a:off x="0" y="0"/>
                            <a:ext cx="1162685" cy="1569085"/>
                          </a:xfrm>
                          <a:prstGeom prst="rect">
                            <a:avLst/>
                          </a:prstGeom>
                          <a:noFill/>
                          <a:ln>
                            <a:noFill/>
                          </a:ln>
                        </pic:spPr>
                      </pic:pic>
                    </a:graphicData>
                  </a:graphic>
                </wp:anchor>
              </w:drawing>
            </w:r>
          </w:p>
        </w:tc>
      </w:tr>
    </w:tbl>
    <w:p>
      <w:pPr>
        <w:adjustRightInd/>
        <w:snapToGrid/>
        <w:spacing w:after="0"/>
        <w:jc w:val="both"/>
        <w:rPr>
          <w:rFonts w:ascii="仿宋_GB2312" w:hAnsi="宋体" w:eastAsia="仿宋_GB2312"/>
          <w:sz w:val="32"/>
        </w:rPr>
      </w:pPr>
    </w:p>
    <w:sectPr>
      <w:footerReference r:id="rId5" w:type="default"/>
      <w:headerReference r:id="rId4" w:type="even"/>
      <w:footerReference r:id="rId6" w:type="even"/>
      <w:pgSz w:w="11907" w:h="16839"/>
      <w:pgMar w:top="2041" w:right="1134" w:bottom="2041" w:left="1701" w:header="1361" w:footer="1361" w:gutter="0"/>
      <w:cols w:space="720" w:num="1"/>
      <w:docGrid w:linePitch="531" w:charSpace="2640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val="0"/>
      <w:adjustRightInd/>
      <w:spacing w:after="0"/>
      <w:ind w:right="440" w:rightChars="200"/>
      <w:jc w:val="right"/>
      <w:rPr>
        <w:rFonts w:ascii="宋体" w:hAnsi="宋体" w:eastAsia="宋体"/>
        <w:kern w:val="2"/>
        <w:sz w:val="28"/>
        <w:szCs w:val="28"/>
      </w:rPr>
    </w:pPr>
    <w:r>
      <w:rPr>
        <w:rStyle w:val="10"/>
        <w:rFonts w:ascii="宋体" w:hAnsi="宋体" w:eastAsia="宋体"/>
        <w:kern w:val="2"/>
        <w:sz w:val="28"/>
        <w:szCs w:val="28"/>
      </w:rPr>
      <w:fldChar w:fldCharType="begin"/>
    </w:r>
    <w:r>
      <w:rPr>
        <w:rStyle w:val="10"/>
        <w:rFonts w:ascii="宋体" w:hAnsi="宋体" w:eastAsia="宋体"/>
        <w:kern w:val="2"/>
        <w:sz w:val="28"/>
        <w:szCs w:val="28"/>
      </w:rPr>
      <w:instrText xml:space="preserve"> PAGE  \* ArabicDash </w:instrText>
    </w:r>
    <w:r>
      <w:rPr>
        <w:rStyle w:val="10"/>
        <w:rFonts w:ascii="宋体" w:hAnsi="宋体" w:eastAsia="宋体"/>
        <w:kern w:val="2"/>
        <w:sz w:val="28"/>
        <w:szCs w:val="28"/>
      </w:rPr>
      <w:fldChar w:fldCharType="separate"/>
    </w:r>
    <w:r>
      <w:rPr>
        <w:rStyle w:val="10"/>
        <w:rFonts w:ascii="宋体" w:hAnsi="宋体" w:eastAsia="宋体"/>
        <w:kern w:val="2"/>
        <w:sz w:val="28"/>
        <w:szCs w:val="28"/>
      </w:rPr>
      <w:t>- 19 -</w:t>
    </w:r>
    <w:r>
      <w:rPr>
        <w:rStyle w:val="10"/>
        <w:rFonts w:ascii="宋体" w:hAnsi="宋体" w:eastAsia="宋体"/>
        <w:kern w:val="2"/>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val="0"/>
      <w:adjustRightInd/>
      <w:spacing w:after="0"/>
      <w:ind w:left="440" w:leftChars="200"/>
      <w:rPr>
        <w:rFonts w:ascii="宋体" w:hAnsi="宋体" w:eastAsia="宋体"/>
        <w:kern w:val="2"/>
        <w:sz w:val="28"/>
        <w:szCs w:val="28"/>
      </w:rPr>
    </w:pPr>
    <w:r>
      <w:rPr>
        <w:rStyle w:val="10"/>
        <w:rFonts w:ascii="宋体" w:hAnsi="宋体" w:eastAsia="宋体"/>
        <w:kern w:val="2"/>
        <w:sz w:val="28"/>
        <w:szCs w:val="28"/>
      </w:rPr>
      <w:fldChar w:fldCharType="begin"/>
    </w:r>
    <w:r>
      <w:rPr>
        <w:rStyle w:val="10"/>
        <w:rFonts w:ascii="宋体" w:hAnsi="宋体" w:eastAsia="宋体"/>
        <w:kern w:val="2"/>
        <w:sz w:val="28"/>
        <w:szCs w:val="28"/>
      </w:rPr>
      <w:instrText xml:space="preserve"> PAGE  \* ArabicDash </w:instrText>
    </w:r>
    <w:r>
      <w:rPr>
        <w:rStyle w:val="10"/>
        <w:rFonts w:ascii="宋体" w:hAnsi="宋体" w:eastAsia="宋体"/>
        <w:kern w:val="2"/>
        <w:sz w:val="28"/>
        <w:szCs w:val="28"/>
      </w:rPr>
      <w:fldChar w:fldCharType="separate"/>
    </w:r>
    <w:r>
      <w:rPr>
        <w:rStyle w:val="10"/>
        <w:rFonts w:ascii="宋体" w:hAnsi="宋体" w:eastAsia="宋体"/>
        <w:kern w:val="2"/>
        <w:sz w:val="28"/>
        <w:szCs w:val="28"/>
      </w:rPr>
      <w:t>- 18 -</w:t>
    </w:r>
    <w:r>
      <w:rPr>
        <w:rStyle w:val="10"/>
        <w:rFonts w:ascii="宋体" w:hAnsi="宋体" w:eastAsia="宋体"/>
        <w:kern w:val="2"/>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idowControl w:val="0"/>
      <w:pBdr>
        <w:bottom w:val="none" w:color="auto" w:sz="0" w:space="0"/>
      </w:pBdr>
      <w:adjustRightInd/>
      <w:spacing w:after="0"/>
      <w:rPr>
        <w:rFonts w:ascii="Calibri" w:hAnsi="Calibri" w:eastAsia="宋体" w:cs="Calibri"/>
        <w:kern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evenAndOddHeaders w:val="1"/>
  <w:drawingGridHorizontalSpacing w:val="349"/>
  <w:drawingGridVerticalSpacing w:val="531"/>
  <w:characterSpacingControl w:val="doNotCompress"/>
  <w:noLineBreaksAfter w:lang="zh-CN" w:val="([{·‘“〈《「『【〔〖（．［｛￡￥"/>
  <w:noLineBreaksBefore w:lang="zh-CN" w:val="!),.:;?]}¨·ˇˉ―‖’”…∶、。〃々〉》」』】〕〗！＂＇），．：；？］｀｜｝～￠"/>
  <w:footnotePr>
    <w:footnote w:id="0"/>
    <w:footnote w:id="1"/>
  </w:foot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FC6E4C"/>
    <w:rsid w:val="74EC1249"/>
    <w:rsid w:val="7FFFEEC0"/>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qFormat/>
    <w:uiPriority w:val="0"/>
    <w:pPr>
      <w:widowControl w:val="0"/>
      <w:adjustRightInd/>
      <w:snapToGrid/>
      <w:spacing w:after="120"/>
      <w:jc w:val="both"/>
    </w:pPr>
    <w:rPr>
      <w:rFonts w:ascii="宋体" w:hAnsi="宋体" w:eastAsia="宋体"/>
      <w:kern w:val="2"/>
      <w:sz w:val="24"/>
      <w:szCs w:val="24"/>
    </w:rPr>
  </w:style>
  <w:style w:type="paragraph" w:styleId="3">
    <w:name w:val="Date"/>
    <w:basedOn w:val="1"/>
    <w:next w:val="1"/>
    <w:link w:val="15"/>
    <w:unhideWhenUsed/>
    <w:qFormat/>
    <w:uiPriority w:val="99"/>
    <w:pPr>
      <w:ind w:left="100" w:leftChars="2500"/>
    </w:pPr>
  </w:style>
  <w:style w:type="paragraph" w:styleId="4">
    <w:name w:val="Balloon Text"/>
    <w:basedOn w:val="1"/>
    <w:link w:val="14"/>
    <w:unhideWhenUsed/>
    <w:qFormat/>
    <w:uiPriority w:val="99"/>
    <w:pPr>
      <w:spacing w:after="0"/>
    </w:pPr>
    <w:rPr>
      <w:sz w:val="18"/>
      <w:szCs w:val="18"/>
    </w:rPr>
  </w:style>
  <w:style w:type="paragraph" w:styleId="5">
    <w:name w:val="footer"/>
    <w:basedOn w:val="1"/>
    <w:link w:val="13"/>
    <w:unhideWhenUsed/>
    <w:qFormat/>
    <w:uiPriority w:val="99"/>
    <w:pPr>
      <w:tabs>
        <w:tab w:val="center" w:pos="4153"/>
        <w:tab w:val="right" w:pos="8306"/>
      </w:tabs>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jc w:val="center"/>
    </w:pPr>
    <w:rPr>
      <w:sz w:val="18"/>
      <w:szCs w:val="18"/>
    </w:rPr>
  </w:style>
  <w:style w:type="table" w:styleId="8">
    <w:name w:val="Table Grid"/>
    <w:basedOn w:val="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0">
    <w:name w:val="page number"/>
    <w:basedOn w:val="9"/>
    <w:unhideWhenUsed/>
    <w:qFormat/>
    <w:uiPriority w:val="99"/>
  </w:style>
  <w:style w:type="character" w:styleId="11">
    <w:name w:val="Hyperlink"/>
    <w:unhideWhenUsed/>
    <w:qFormat/>
    <w:uiPriority w:val="99"/>
    <w:rPr>
      <w:color w:val="0000FF"/>
      <w:u w:val="single"/>
    </w:rPr>
  </w:style>
  <w:style w:type="character" w:customStyle="1" w:styleId="12">
    <w:name w:val="页眉 Char"/>
    <w:link w:val="6"/>
    <w:semiHidden/>
    <w:qFormat/>
    <w:uiPriority w:val="99"/>
    <w:rPr>
      <w:rFonts w:ascii="Tahoma" w:hAnsi="Tahoma"/>
      <w:sz w:val="18"/>
      <w:szCs w:val="18"/>
    </w:rPr>
  </w:style>
  <w:style w:type="character" w:customStyle="1" w:styleId="13">
    <w:name w:val="页脚 Char"/>
    <w:link w:val="5"/>
    <w:qFormat/>
    <w:uiPriority w:val="99"/>
    <w:rPr>
      <w:rFonts w:ascii="Tahoma" w:hAnsi="Tahoma"/>
      <w:sz w:val="18"/>
      <w:szCs w:val="18"/>
    </w:rPr>
  </w:style>
  <w:style w:type="character" w:customStyle="1" w:styleId="14">
    <w:name w:val="批注框文本 Char"/>
    <w:link w:val="4"/>
    <w:semiHidden/>
    <w:qFormat/>
    <w:uiPriority w:val="99"/>
    <w:rPr>
      <w:rFonts w:ascii="Tahoma" w:hAnsi="Tahoma"/>
      <w:sz w:val="18"/>
      <w:szCs w:val="18"/>
    </w:rPr>
  </w:style>
  <w:style w:type="character" w:customStyle="1" w:styleId="15">
    <w:name w:val="日期 Char"/>
    <w:link w:val="3"/>
    <w:semiHidden/>
    <w:qFormat/>
    <w:uiPriority w:val="99"/>
    <w:rPr>
      <w:rFonts w:ascii="Tahoma" w:hAnsi="Tahoma"/>
      <w:sz w:val="22"/>
      <w:szCs w:val="22"/>
    </w:rPr>
  </w:style>
  <w:style w:type="character" w:customStyle="1" w:styleId="16">
    <w:name w:val="正文文本 Char"/>
    <w:link w:val="2"/>
    <w:qFormat/>
    <w:locked/>
    <w:uiPriority w:val="0"/>
    <w:rPr>
      <w:rFonts w:ascii="宋体" w:hAnsi="宋体" w:eastAsia="宋体"/>
      <w:kern w:val="2"/>
      <w:sz w:val="24"/>
      <w:szCs w:val="24"/>
    </w:rPr>
  </w:style>
  <w:style w:type="character" w:customStyle="1" w:styleId="17">
    <w:name w:val="正文文本 Char1"/>
    <w:semiHidden/>
    <w:qFormat/>
    <w:uiPriority w:val="99"/>
    <w:rPr>
      <w:rFonts w:ascii="Tahoma" w:hAnsi="Tahoma"/>
      <w:sz w:val="22"/>
      <w:szCs w:val="22"/>
    </w:rPr>
  </w:style>
  <w:style w:type="character" w:customStyle="1" w:styleId="18">
    <w:name w:val="style_kwd1"/>
    <w:qFormat/>
    <w:uiPriority w:val="0"/>
    <w:rPr>
      <w:shd w:val="clear" w:color="auto" w:fill="FFFFA6"/>
    </w:rPr>
  </w:style>
  <w:style w:type="character" w:customStyle="1" w:styleId="19">
    <w:name w:val="law1"/>
    <w:qFormat/>
    <w:uiPriority w:val="0"/>
    <w:rPr>
      <w:color w:val="6094CC"/>
      <w:u w:val="none"/>
    </w:rPr>
  </w:style>
  <w:style w:type="character" w:customStyle="1" w:styleId="20">
    <w:name w:val="fg1"/>
    <w:qFormat/>
    <w:uiPriority w:val="0"/>
    <w:rPr>
      <w:color w:val="6094CC"/>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19</Pages>
  <Words>1576</Words>
  <Characters>8984</Characters>
  <Lines>74</Lines>
  <Paragraphs>21</Paragraphs>
  <TotalTime>21</TotalTime>
  <ScaleCrop>false</ScaleCrop>
  <LinksUpToDate>false</LinksUpToDate>
  <CharactersWithSpaces>10539</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2021-12-18T09:23:00Z</dcterms:created>
  <dc:creator>Administrator</dc:creator>
  <cp:lastModifiedBy>jhzy</cp:lastModifiedBy>
  <cp:lastPrinted>2022-02-08T08:16:00Z</cp:lastPrinted>
  <dcterms:modified xsi:type="dcterms:W3CDTF">2026-06-12T16:37:57Z</dcterms:modified>
  <dc:title>浙江省金华市中级人民法院</dc:title>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1F25C03427A43B22DB56156A65EC1CB2</vt:lpwstr>
  </property>
</Properties>
</file>