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ind w:left="1322"/>
        <w:spacing w:before="158" w:line="195" w:lineRule="auto"/>
        <w:outlineLvl w:val="0"/>
        <w:rPr>
          <w:rFonts w:ascii="STZhongsong" w:hAnsi="STZhongsong" w:eastAsia="STZhongsong" w:cs="STZhongsong"/>
          <w:sz w:val="43"/>
          <w:szCs w:val="43"/>
        </w:rPr>
      </w:pPr>
      <w:r>
        <w:rPr>
          <w:rFonts w:ascii="STZhongsong" w:hAnsi="STZhongsong" w:eastAsia="STZhongsong" w:cs="STZhongsong"/>
          <w:sz w:val="43"/>
          <w:szCs w:val="43"/>
          <w:spacing w:val="-5"/>
        </w:rPr>
        <w:t>浙  江</w:t>
      </w:r>
      <w:r>
        <w:rPr>
          <w:rFonts w:ascii="STZhongsong" w:hAnsi="STZhongsong" w:eastAsia="STZhongsong" w:cs="STZhongsong"/>
          <w:sz w:val="43"/>
          <w:szCs w:val="43"/>
          <w:spacing w:val="11"/>
        </w:rPr>
        <w:t xml:space="preserve">  </w:t>
      </w:r>
      <w:r>
        <w:rPr>
          <w:rFonts w:ascii="STZhongsong" w:hAnsi="STZhongsong" w:eastAsia="STZhongsong" w:cs="STZhongsong"/>
          <w:sz w:val="43"/>
          <w:szCs w:val="43"/>
          <w:spacing w:val="-5"/>
        </w:rPr>
        <w:t>省</w:t>
      </w:r>
      <w:r>
        <w:rPr>
          <w:rFonts w:ascii="STZhongsong" w:hAnsi="STZhongsong" w:eastAsia="STZhongsong" w:cs="STZhongsong"/>
          <w:sz w:val="43"/>
          <w:szCs w:val="43"/>
          <w:spacing w:val="14"/>
        </w:rPr>
        <w:t xml:space="preserve">  </w:t>
      </w:r>
      <w:r>
        <w:rPr>
          <w:rFonts w:ascii="STZhongsong" w:hAnsi="STZhongsong" w:eastAsia="STZhongsong" w:cs="STZhongsong"/>
          <w:sz w:val="43"/>
          <w:szCs w:val="43"/>
          <w:spacing w:val="-5"/>
        </w:rPr>
        <w:t>高</w:t>
      </w:r>
      <w:r>
        <w:rPr>
          <w:rFonts w:ascii="STZhongsong" w:hAnsi="STZhongsong" w:eastAsia="STZhongsong" w:cs="STZhongsong"/>
          <w:sz w:val="43"/>
          <w:szCs w:val="43"/>
          <w:spacing w:val="14"/>
        </w:rPr>
        <w:t xml:space="preserve">  </w:t>
      </w:r>
      <w:r>
        <w:rPr>
          <w:rFonts w:ascii="STZhongsong" w:hAnsi="STZhongsong" w:eastAsia="STZhongsong" w:cs="STZhongsong"/>
          <w:sz w:val="43"/>
          <w:szCs w:val="43"/>
          <w:spacing w:val="-5"/>
        </w:rPr>
        <w:t>级</w:t>
      </w:r>
      <w:r>
        <w:rPr>
          <w:rFonts w:ascii="STZhongsong" w:hAnsi="STZhongsong" w:eastAsia="STZhongsong" w:cs="STZhongsong"/>
          <w:sz w:val="43"/>
          <w:szCs w:val="43"/>
          <w:spacing w:val="13"/>
        </w:rPr>
        <w:t xml:space="preserve">  </w:t>
      </w:r>
      <w:r>
        <w:rPr>
          <w:rFonts w:ascii="STZhongsong" w:hAnsi="STZhongsong" w:eastAsia="STZhongsong" w:cs="STZhongsong"/>
          <w:sz w:val="43"/>
          <w:szCs w:val="43"/>
          <w:spacing w:val="-5"/>
        </w:rPr>
        <w:t>人</w:t>
      </w:r>
      <w:r>
        <w:rPr>
          <w:rFonts w:ascii="STZhongsong" w:hAnsi="STZhongsong" w:eastAsia="STZhongsong" w:cs="STZhongsong"/>
          <w:sz w:val="43"/>
          <w:szCs w:val="43"/>
          <w:spacing w:val="24"/>
        </w:rPr>
        <w:t xml:space="preserve">  </w:t>
      </w:r>
      <w:r>
        <w:rPr>
          <w:rFonts w:ascii="STZhongsong" w:hAnsi="STZhongsong" w:eastAsia="STZhongsong" w:cs="STZhongsong"/>
          <w:sz w:val="43"/>
          <w:szCs w:val="43"/>
          <w:spacing w:val="-5"/>
        </w:rPr>
        <w:t>民</w:t>
      </w:r>
      <w:r>
        <w:rPr>
          <w:rFonts w:ascii="STZhongsong" w:hAnsi="STZhongsong" w:eastAsia="STZhongsong" w:cs="STZhongsong"/>
          <w:sz w:val="43"/>
          <w:szCs w:val="43"/>
          <w:spacing w:val="13"/>
        </w:rPr>
        <w:t xml:space="preserve">  </w:t>
      </w:r>
      <w:r>
        <w:rPr>
          <w:rFonts w:ascii="STZhongsong" w:hAnsi="STZhongsong" w:eastAsia="STZhongsong" w:cs="STZhongsong"/>
          <w:sz w:val="43"/>
          <w:szCs w:val="43"/>
          <w:spacing w:val="-5"/>
        </w:rPr>
        <w:t>法</w:t>
      </w:r>
      <w:r>
        <w:rPr>
          <w:rFonts w:ascii="STZhongsong" w:hAnsi="STZhongsong" w:eastAsia="STZhongsong" w:cs="STZhongsong"/>
          <w:sz w:val="43"/>
          <w:szCs w:val="43"/>
          <w:spacing w:val="25"/>
        </w:rPr>
        <w:t xml:space="preserve">  </w:t>
      </w:r>
      <w:r>
        <w:rPr>
          <w:rFonts w:ascii="STZhongsong" w:hAnsi="STZhongsong" w:eastAsia="STZhongsong" w:cs="STZhongsong"/>
          <w:sz w:val="43"/>
          <w:szCs w:val="43"/>
          <w:spacing w:val="-5"/>
        </w:rPr>
        <w:t>院</w:t>
      </w:r>
    </w:p>
    <w:p>
      <w:pPr>
        <w:ind w:left="2251"/>
        <w:spacing w:before="252" w:line="194" w:lineRule="auto"/>
        <w:outlineLvl w:val="0"/>
        <w:rPr>
          <w:rFonts w:ascii="STZhongsong" w:hAnsi="STZhongsong" w:eastAsia="STZhongsong" w:cs="STZhongsong"/>
          <w:sz w:val="52"/>
          <w:szCs w:val="52"/>
        </w:rPr>
      </w:pPr>
      <w:r>
        <w:rPr>
          <w:rFonts w:ascii="STZhongsong" w:hAnsi="STZhongsong" w:eastAsia="STZhongsong" w:cs="STZhongsong"/>
          <w:sz w:val="52"/>
          <w:szCs w:val="52"/>
          <w:spacing w:val="-12"/>
        </w:rPr>
        <w:t>民   事</w:t>
      </w:r>
      <w:r>
        <w:rPr>
          <w:rFonts w:ascii="STZhongsong" w:hAnsi="STZhongsong" w:eastAsia="STZhongsong" w:cs="STZhongsong"/>
          <w:sz w:val="52"/>
          <w:szCs w:val="52"/>
          <w:spacing w:val="81"/>
        </w:rPr>
        <w:t xml:space="preserve">  </w:t>
      </w:r>
      <w:r>
        <w:rPr>
          <w:rFonts w:ascii="STZhongsong" w:hAnsi="STZhongsong" w:eastAsia="STZhongsong" w:cs="STZhongsong"/>
          <w:sz w:val="52"/>
          <w:szCs w:val="52"/>
          <w:spacing w:val="-12"/>
        </w:rPr>
        <w:t>判   决</w:t>
      </w:r>
      <w:r>
        <w:rPr>
          <w:rFonts w:ascii="STZhongsong" w:hAnsi="STZhongsong" w:eastAsia="STZhongsong" w:cs="STZhongsong"/>
          <w:sz w:val="52"/>
          <w:szCs w:val="52"/>
          <w:spacing w:val="77"/>
        </w:rPr>
        <w:t xml:space="preserve">  </w:t>
      </w:r>
      <w:r>
        <w:rPr>
          <w:rFonts w:ascii="STZhongsong" w:hAnsi="STZhongsong" w:eastAsia="STZhongsong" w:cs="STZhongsong"/>
          <w:sz w:val="52"/>
          <w:szCs w:val="52"/>
          <w:spacing w:val="-12"/>
        </w:rPr>
        <w:t>书</w:t>
      </w:r>
    </w:p>
    <w:p>
      <w:pPr>
        <w:spacing w:line="426" w:lineRule="auto"/>
        <w:rPr>
          <w:rFonts w:ascii="Arial"/>
          <w:sz w:val="21"/>
        </w:rPr>
      </w:pPr>
      <w:r/>
    </w:p>
    <w:p>
      <w:pPr>
        <w:pStyle w:val="BodyText"/>
        <w:ind w:left="5638"/>
        <w:spacing w:before="101" w:line="418" w:lineRule="exact"/>
        <w:rPr/>
      </w:pPr>
      <w:r>
        <w:rPr>
          <w:spacing w:val="-1"/>
          <w:position w:val="2"/>
        </w:rPr>
        <w:t>（</w:t>
      </w:r>
      <w:r>
        <w:rPr>
          <w:rFonts w:ascii="Times New Roman" w:hAnsi="Times New Roman" w:eastAsia="Times New Roman" w:cs="Times New Roman"/>
          <w:spacing w:val="-1"/>
          <w:position w:val="2"/>
        </w:rPr>
        <w:t>2018</w:t>
      </w:r>
      <w:r>
        <w:rPr>
          <w:spacing w:val="-1"/>
          <w:position w:val="2"/>
        </w:rPr>
        <w:t>）浙民终</w:t>
      </w:r>
      <w:r>
        <w:rPr>
          <w:spacing w:val="-72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2"/>
        </w:rPr>
        <w:t>592</w:t>
      </w:r>
      <w:r>
        <w:rPr>
          <w:rFonts w:ascii="Times New Roman" w:hAnsi="Times New Roman" w:eastAsia="Times New Roman" w:cs="Times New Roman"/>
          <w:spacing w:val="24"/>
          <w:position w:val="2"/>
        </w:rPr>
        <w:t xml:space="preserve"> </w:t>
      </w:r>
      <w:r>
        <w:rPr>
          <w:spacing w:val="-1"/>
          <w:position w:val="2"/>
        </w:rPr>
        <w:t>号</w:t>
      </w:r>
    </w:p>
    <w:p>
      <w:pPr>
        <w:pStyle w:val="BodyText"/>
        <w:ind w:left="22" w:right="2" w:firstLine="603"/>
        <w:spacing w:before="174" w:line="353" w:lineRule="auto"/>
        <w:rPr/>
      </w:pPr>
      <w:r>
        <w:rPr>
          <w:spacing w:val="9"/>
        </w:rPr>
        <w:t>上诉人（原审被告</w:t>
      </w:r>
      <w:r>
        <w:rPr>
          <w:spacing w:val="23"/>
        </w:rPr>
        <w:t>）：</w:t>
      </w:r>
      <w:r>
        <w:rPr>
          <w:spacing w:val="9"/>
        </w:rPr>
        <w:t>金华市合某电器有限公司，住所地浙</w:t>
      </w:r>
      <w:r>
        <w:rPr>
          <w:spacing w:val="6"/>
        </w:rPr>
        <w:t>江省武义县白洋街道。</w:t>
      </w:r>
    </w:p>
    <w:p>
      <w:pPr>
        <w:pStyle w:val="BodyText"/>
        <w:ind w:left="23" w:right="2" w:firstLine="588"/>
        <w:spacing w:before="3" w:line="351" w:lineRule="auto"/>
        <w:rPr/>
      </w:pPr>
      <w:r>
        <w:rPr>
          <w:spacing w:val="9"/>
        </w:rPr>
        <w:t>被上诉人（原审原告</w:t>
      </w:r>
      <w:r>
        <w:rPr>
          <w:spacing w:val="30"/>
        </w:rPr>
        <w:t>）：</w:t>
      </w:r>
      <w:r>
        <w:rPr>
          <w:spacing w:val="9"/>
        </w:rPr>
        <w:t>江苏亿某电器有限公司，住所地江</w:t>
      </w:r>
      <w:r>
        <w:rPr>
          <w:spacing w:val="5"/>
        </w:rPr>
        <w:t>苏盱眙经济开发区。</w:t>
      </w:r>
    </w:p>
    <w:p>
      <w:pPr>
        <w:pStyle w:val="BodyText"/>
        <w:ind w:firstLine="625"/>
        <w:spacing w:before="1" w:line="344" w:lineRule="auto"/>
        <w:jc w:val="both"/>
        <w:rPr/>
      </w:pPr>
      <w:r>
        <w:rPr>
          <w:spacing w:val="4"/>
        </w:rPr>
        <w:t>上诉人金华市合某电器有限公司（</w:t>
      </w:r>
      <w:r>
        <w:rPr>
          <w:spacing w:val="-53"/>
        </w:rPr>
        <w:t xml:space="preserve"> </w:t>
      </w:r>
      <w:r>
        <w:rPr>
          <w:spacing w:val="4"/>
        </w:rPr>
        <w:t>以下简称合</w:t>
      </w:r>
      <w:r>
        <w:rPr>
          <w:spacing w:val="3"/>
        </w:rPr>
        <w:t>某公司）</w:t>
      </w:r>
      <w:r>
        <w:rPr>
          <w:spacing w:val="-90"/>
        </w:rPr>
        <w:t xml:space="preserve"> </w:t>
      </w:r>
      <w:r>
        <w:rPr>
          <w:spacing w:val="3"/>
        </w:rPr>
        <w:t>因与</w:t>
      </w:r>
      <w:r>
        <w:rPr>
          <w:spacing w:val="6"/>
        </w:rPr>
        <w:t>被上诉人江苏亿某电器有限公司（</w:t>
      </w:r>
      <w:r>
        <w:rPr>
          <w:spacing w:val="-52"/>
        </w:rPr>
        <w:t xml:space="preserve"> </w:t>
      </w:r>
      <w:r>
        <w:rPr>
          <w:spacing w:val="6"/>
        </w:rPr>
        <w:t>以下简称亿某公司）侵害外观</w:t>
      </w:r>
      <w:r>
        <w:rPr>
          <w:spacing w:val="7"/>
        </w:rPr>
        <w:t>设计专利权纠纷一案，不服浙江省金华市中级人民法院（</w:t>
      </w:r>
      <w:r>
        <w:rPr>
          <w:rFonts w:ascii="Times New Roman" w:hAnsi="Times New Roman" w:eastAsia="Times New Roman" w:cs="Times New Roman"/>
          <w:spacing w:val="7"/>
        </w:rPr>
        <w:t>2015</w:t>
      </w:r>
      <w:r>
        <w:rPr>
          <w:rFonts w:ascii="Times New Roman" w:hAnsi="Times New Roman" w:eastAsia="Times New Roman" w:cs="Times New Roman"/>
          <w:spacing w:val="-16"/>
        </w:rPr>
        <w:t xml:space="preserve"> </w:t>
      </w:r>
      <w:r>
        <w:rPr>
          <w:spacing w:val="7"/>
        </w:rPr>
        <w:t>）</w:t>
      </w:r>
      <w:r>
        <w:rPr>
          <w:spacing w:val="10"/>
        </w:rPr>
        <w:t>浙金知民初字第</w:t>
      </w:r>
      <w:r>
        <w:rPr>
          <w:rFonts w:ascii="Times New Roman" w:hAnsi="Times New Roman" w:eastAsia="Times New Roman" w:cs="Times New Roman"/>
          <w:spacing w:val="10"/>
        </w:rPr>
        <w:t>349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10"/>
        </w:rPr>
        <w:t>号民事判决，向本院提起上诉。本院于</w:t>
      </w:r>
      <w:r>
        <w:rPr>
          <w:rFonts w:ascii="Times New Roman" w:hAnsi="Times New Roman" w:eastAsia="Times New Roman" w:cs="Times New Roman"/>
          <w:spacing w:val="10"/>
        </w:rPr>
        <w:t>2018</w:t>
      </w:r>
      <w:r>
        <w:rPr>
          <w:spacing w:val="4"/>
        </w:rPr>
        <w:t>年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8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4"/>
        </w:rPr>
        <w:t>月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75"/>
        </w:rPr>
        <w:t xml:space="preserve"> </w:t>
      </w:r>
      <w:r>
        <w:rPr>
          <w:spacing w:val="4"/>
        </w:rPr>
        <w:t>日受理本案后，依法组成合议庭进行了审理。本案现已</w:t>
      </w:r>
      <w:r>
        <w:rPr>
          <w:spacing w:val="6"/>
        </w:rPr>
        <w:t>审理终结。</w:t>
      </w:r>
    </w:p>
    <w:p>
      <w:pPr>
        <w:pStyle w:val="BodyText"/>
        <w:ind w:firstLine="621"/>
        <w:spacing w:before="84" w:line="343" w:lineRule="auto"/>
        <w:jc w:val="both"/>
        <w:rPr/>
      </w:pPr>
      <w:r>
        <w:rPr>
          <w:spacing w:val="10"/>
        </w:rPr>
        <w:t>合某公司上诉请求：撤销一审判决，改判驳回亿某公司的全</w:t>
      </w:r>
      <w:r>
        <w:rPr>
          <w:spacing w:val="9"/>
        </w:rPr>
        <w:t>部诉讼请求。事实和理由：</w:t>
      </w:r>
      <w:r>
        <w:rPr>
          <w:rFonts w:ascii="Times New Roman" w:hAnsi="Times New Roman" w:eastAsia="Times New Roman" w:cs="Times New Roman"/>
          <w:spacing w:val="9"/>
        </w:rPr>
        <w:t>1.</w:t>
      </w:r>
      <w:r>
        <w:rPr>
          <w:spacing w:val="9"/>
        </w:rPr>
        <w:t>合某公司一审提交的（</w:t>
      </w:r>
      <w:r>
        <w:rPr>
          <w:rFonts w:ascii="Times New Roman" w:hAnsi="Times New Roman" w:eastAsia="Times New Roman" w:cs="Times New Roman"/>
          <w:spacing w:val="9"/>
        </w:rPr>
        <w:t>2015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9"/>
        </w:rPr>
        <w:t>）浙杭</w:t>
      </w:r>
      <w:r>
        <w:rPr>
          <w:spacing w:val="10"/>
        </w:rPr>
        <w:t>钱证内字第</w:t>
      </w:r>
      <w:r>
        <w:rPr>
          <w:rFonts w:ascii="Times New Roman" w:hAnsi="Times New Roman" w:eastAsia="Times New Roman" w:cs="Times New Roman"/>
          <w:spacing w:val="10"/>
        </w:rPr>
        <w:t>21668</w:t>
      </w:r>
      <w:r>
        <w:rPr>
          <w:rFonts w:ascii="Times New Roman" w:hAnsi="Times New Roman" w:eastAsia="Times New Roman" w:cs="Times New Roman"/>
          <w:spacing w:val="46"/>
        </w:rPr>
        <w:t xml:space="preserve"> </w:t>
      </w:r>
      <w:r>
        <w:rPr>
          <w:spacing w:val="10"/>
        </w:rPr>
        <w:t>号公证书证明被诉侵权产品已于涉案专利申请</w:t>
      </w:r>
      <w:r>
        <w:rPr>
          <w:spacing w:val="10"/>
        </w:rPr>
        <w:t>日前在淘宝网上公开销售，属于现有设计，</w:t>
      </w:r>
      <w:r>
        <w:rPr>
          <w:spacing w:val="9"/>
        </w:rPr>
        <w:t>一审判决因错误分配</w:t>
      </w:r>
      <w:r>
        <w:rPr>
          <w:spacing w:val="-13"/>
        </w:rPr>
        <w:t>举</w:t>
      </w:r>
      <w:r>
        <w:rPr>
          <w:spacing w:val="-27"/>
        </w:rPr>
        <w:t xml:space="preserve"> </w:t>
      </w:r>
      <w:r>
        <w:rPr>
          <w:spacing w:val="-13"/>
        </w:rPr>
        <w:t>证</w:t>
      </w:r>
      <w:r>
        <w:rPr>
          <w:spacing w:val="-37"/>
        </w:rPr>
        <w:t xml:space="preserve"> </w:t>
      </w:r>
      <w:r>
        <w:rPr>
          <w:spacing w:val="-13"/>
        </w:rPr>
        <w:t>责</w:t>
      </w:r>
      <w:r>
        <w:rPr>
          <w:spacing w:val="-41"/>
        </w:rPr>
        <w:t xml:space="preserve"> </w:t>
      </w:r>
      <w:r>
        <w:rPr>
          <w:spacing w:val="-13"/>
        </w:rPr>
        <w:t>任</w:t>
      </w:r>
      <w:r>
        <w:rPr>
          <w:spacing w:val="-13"/>
        </w:rPr>
        <w:t xml:space="preserve"> </w:t>
      </w:r>
      <w:r>
        <w:rPr>
          <w:spacing w:val="-13"/>
        </w:rPr>
        <w:t>而</w:t>
      </w:r>
      <w:r>
        <w:rPr>
          <w:spacing w:val="-46"/>
        </w:rPr>
        <w:t xml:space="preserve"> </w:t>
      </w:r>
      <w:r>
        <w:rPr>
          <w:spacing w:val="-13"/>
        </w:rPr>
        <w:t>未</w:t>
      </w:r>
      <w:r>
        <w:rPr>
          <w:spacing w:val="-33"/>
        </w:rPr>
        <w:t xml:space="preserve"> </w:t>
      </w:r>
      <w:r>
        <w:rPr>
          <w:spacing w:val="-13"/>
        </w:rPr>
        <w:t>予</w:t>
      </w:r>
      <w:r>
        <w:rPr>
          <w:spacing w:val="-42"/>
        </w:rPr>
        <w:t xml:space="preserve"> </w:t>
      </w:r>
      <w:r>
        <w:rPr>
          <w:spacing w:val="-13"/>
        </w:rPr>
        <w:t>认</w:t>
      </w:r>
      <w:r>
        <w:rPr>
          <w:spacing w:val="-43"/>
        </w:rPr>
        <w:t xml:space="preserve"> </w:t>
      </w:r>
      <w:r>
        <w:rPr>
          <w:spacing w:val="-13"/>
        </w:rPr>
        <w:t>定</w:t>
      </w:r>
      <w:r>
        <w:rPr>
          <w:spacing w:val="-49"/>
        </w:rPr>
        <w:t xml:space="preserve"> </w:t>
      </w:r>
      <w:r>
        <w:rPr>
          <w:spacing w:val="-13"/>
        </w:rPr>
        <w:t>该</w:t>
      </w:r>
      <w:r>
        <w:rPr>
          <w:spacing w:val="-36"/>
        </w:rPr>
        <w:t xml:space="preserve"> </w:t>
      </w:r>
      <w:r>
        <w:rPr>
          <w:spacing w:val="-13"/>
        </w:rPr>
        <w:t>事</w:t>
      </w:r>
      <w:r>
        <w:rPr>
          <w:spacing w:val="-13"/>
        </w:rPr>
        <w:t xml:space="preserve"> </w:t>
      </w:r>
      <w:r>
        <w:rPr>
          <w:spacing w:val="-13"/>
        </w:rPr>
        <w:t>实</w:t>
      </w:r>
      <w:r>
        <w:rPr>
          <w:spacing w:val="-68"/>
        </w:rPr>
        <w:t xml:space="preserve"> </w:t>
      </w:r>
      <w:r>
        <w:rPr>
          <w:spacing w:val="-13"/>
        </w:rPr>
        <w:t>。</w:t>
      </w:r>
      <w:r>
        <w:rPr>
          <w:spacing w:val="-24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>2.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13"/>
        </w:rPr>
        <w:t>合</w:t>
      </w:r>
      <w:r>
        <w:rPr>
          <w:spacing w:val="-38"/>
        </w:rPr>
        <w:t xml:space="preserve"> </w:t>
      </w:r>
      <w:r>
        <w:rPr>
          <w:spacing w:val="-13"/>
        </w:rPr>
        <w:t>某</w:t>
      </w:r>
      <w:r>
        <w:rPr>
          <w:spacing w:val="-47"/>
        </w:rPr>
        <w:t xml:space="preserve"> </w:t>
      </w:r>
      <w:r>
        <w:rPr>
          <w:spacing w:val="-13"/>
        </w:rPr>
        <w:t>公</w:t>
      </w:r>
      <w:r>
        <w:rPr>
          <w:spacing w:val="-17"/>
        </w:rPr>
        <w:t xml:space="preserve"> </w:t>
      </w:r>
      <w:r>
        <w:rPr>
          <w:spacing w:val="-13"/>
        </w:rPr>
        <w:t>司</w:t>
      </w:r>
      <w:r>
        <w:rPr>
          <w:spacing w:val="-48"/>
        </w:rPr>
        <w:t xml:space="preserve"> </w:t>
      </w:r>
      <w:r>
        <w:rPr>
          <w:spacing w:val="-13"/>
        </w:rPr>
        <w:t>提</w:t>
      </w:r>
      <w:r>
        <w:rPr>
          <w:spacing w:val="-36"/>
        </w:rPr>
        <w:t xml:space="preserve"> </w:t>
      </w:r>
      <w:r>
        <w:rPr>
          <w:spacing w:val="-13"/>
        </w:rPr>
        <w:t>交</w:t>
      </w:r>
      <w:r>
        <w:rPr>
          <w:spacing w:val="-19"/>
        </w:rPr>
        <w:t xml:space="preserve"> </w:t>
      </w:r>
      <w:r>
        <w:rPr>
          <w:spacing w:val="-13"/>
        </w:rPr>
        <w:t>的</w:t>
      </w:r>
      <w:r>
        <w:rPr>
          <w:spacing w:val="-30"/>
        </w:rPr>
        <w:t xml:space="preserve"> </w:t>
      </w:r>
      <w:r>
        <w:rPr>
          <w:spacing w:val="-13"/>
        </w:rPr>
        <w:t>第</w:t>
      </w:r>
      <w:r>
        <w:rPr>
          <w:rFonts w:ascii="Times New Roman" w:hAnsi="Times New Roman" w:eastAsia="Times New Roman" w:cs="Times New Roman"/>
          <w:spacing w:val="7"/>
        </w:rPr>
        <w:t>2012****9418.0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7"/>
        </w:rPr>
        <w:t>号实用新型专利构成抵触申请，亦可证明</w:t>
      </w:r>
      <w:r>
        <w:rPr>
          <w:spacing w:val="6"/>
        </w:rPr>
        <w:t>涉案专</w:t>
      </w:r>
      <w:r>
        <w:rPr>
          <w:spacing w:val="12"/>
        </w:rPr>
        <w:t>利设计在申请日前已经公开。</w:t>
      </w:r>
      <w:r>
        <w:rPr>
          <w:rFonts w:ascii="Times New Roman" w:hAnsi="Times New Roman" w:eastAsia="Times New Roman" w:cs="Times New Roman"/>
          <w:spacing w:val="12"/>
        </w:rPr>
        <w:t>3.</w:t>
      </w:r>
      <w:r>
        <w:rPr>
          <w:spacing w:val="12"/>
        </w:rPr>
        <w:t>被诉侵权产品系从亿某公司处购</w:t>
      </w:r>
    </w:p>
    <w:p>
      <w:pPr>
        <w:spacing w:line="343" w:lineRule="auto"/>
        <w:sectPr>
          <w:footerReference w:type="default" r:id="rId1"/>
          <w:pgSz w:w="11907" w:h="16840"/>
          <w:pgMar w:top="1431" w:right="1303" w:bottom="1692" w:left="1650" w:header="0" w:footer="1306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pStyle w:val="BodyText"/>
        <w:ind w:left="9" w:right="89" w:firstLine="14"/>
        <w:spacing w:before="101" w:line="339" w:lineRule="auto"/>
        <w:rPr/>
      </w:pPr>
      <w:r>
        <w:rPr>
          <w:spacing w:val="9"/>
        </w:rPr>
        <w:t>买，一审法院仅凭合某公司的网页介绍内容认定合某</w:t>
      </w:r>
      <w:r>
        <w:rPr>
          <w:spacing w:val="8"/>
        </w:rPr>
        <w:t>公司是生产</w:t>
      </w:r>
      <w:r>
        <w:rPr>
          <w:spacing w:val="6"/>
        </w:rPr>
        <w:t>者证据不足。</w:t>
      </w:r>
      <w:r>
        <w:rPr>
          <w:rFonts w:ascii="Times New Roman" w:hAnsi="Times New Roman" w:eastAsia="Times New Roman" w:cs="Times New Roman"/>
          <w:spacing w:val="6"/>
        </w:rPr>
        <w:t>4.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6"/>
        </w:rPr>
        <w:t>一审判决确定的赔偿金额过高。</w:t>
      </w:r>
    </w:p>
    <w:p>
      <w:pPr>
        <w:pStyle w:val="BodyText"/>
        <w:ind w:left="8" w:right="89" w:firstLine="619"/>
        <w:spacing w:before="4" w:line="348" w:lineRule="auto"/>
        <w:jc w:val="both"/>
        <w:rPr/>
      </w:pPr>
      <w:r>
        <w:rPr>
          <w:spacing w:val="11"/>
        </w:rPr>
        <w:t>亿某公司辩称，</w:t>
      </w:r>
      <w:r>
        <w:rPr>
          <w:rFonts w:ascii="Times New Roman" w:hAnsi="Times New Roman" w:eastAsia="Times New Roman" w:cs="Times New Roman"/>
          <w:spacing w:val="11"/>
        </w:rPr>
        <w:t>1.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11"/>
        </w:rPr>
        <w:t>一审判决认定事实清楚，举证责任分配正</w:t>
      </w:r>
      <w:r>
        <w:rPr>
          <w:spacing w:val="5"/>
        </w:rPr>
        <w:t>确。被诉侵权产品在涉案专利申请日前未公开销售</w:t>
      </w:r>
      <w:r>
        <w:rPr>
          <w:spacing w:val="20"/>
        </w:rPr>
        <w:t>，（</w:t>
      </w:r>
      <w:r>
        <w:rPr>
          <w:rFonts w:ascii="Times New Roman" w:hAnsi="Times New Roman" w:eastAsia="Times New Roman" w:cs="Times New Roman"/>
          <w:spacing w:val="5"/>
        </w:rPr>
        <w:t>2015 </w:t>
      </w:r>
      <w:r>
        <w:rPr>
          <w:spacing w:val="5"/>
        </w:rPr>
        <w:t>）浙</w:t>
      </w:r>
      <w:r>
        <w:rPr>
          <w:spacing w:val="10"/>
        </w:rPr>
        <w:t>杭钱证内字第</w:t>
      </w:r>
      <w:r>
        <w:rPr>
          <w:rFonts w:ascii="Times New Roman" w:hAnsi="Times New Roman" w:eastAsia="Times New Roman" w:cs="Times New Roman"/>
          <w:spacing w:val="10"/>
        </w:rPr>
        <w:t>21668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10"/>
        </w:rPr>
        <w:t>号公证书只能证明在申请日前有买家在淘宝</w:t>
      </w:r>
      <w:r>
        <w:rPr>
          <w:spacing w:val="9"/>
        </w:rPr>
        <w:t>网进行了评论，但评论对应的产品不能确定。且一审法院调取的</w:t>
      </w:r>
      <w:r>
        <w:rPr>
          <w:spacing w:val="9"/>
        </w:rPr>
        <w:t>交易快照证实该淘宝商户销售的产品与涉案专利存在明显差异。</w:t>
      </w:r>
    </w:p>
    <w:p>
      <w:pPr>
        <w:pStyle w:val="BodyText"/>
        <w:ind w:left="15" w:right="89" w:hanging="14"/>
        <w:spacing w:before="32" w:line="350" w:lineRule="auto"/>
        <w:jc w:val="both"/>
        <w:rPr/>
      </w:pPr>
      <w:r>
        <w:rPr>
          <w:rFonts w:ascii="Times New Roman" w:hAnsi="Times New Roman" w:eastAsia="Times New Roman" w:cs="Times New Roman"/>
          <w:spacing w:val="13"/>
        </w:rPr>
        <w:t>2.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spacing w:val="13"/>
        </w:rPr>
        <w:t>大量证据显示合某公司实施了生产被诉侵权产品的行为。</w:t>
      </w:r>
      <w:r>
        <w:rPr>
          <w:rFonts w:ascii="Times New Roman" w:hAnsi="Times New Roman" w:eastAsia="Times New Roman" w:cs="Times New Roman"/>
          <w:spacing w:val="13"/>
        </w:rPr>
        <w:t>3.</w:t>
      </w:r>
      <w:r>
        <w:rPr>
          <w:spacing w:val="13"/>
        </w:rPr>
        <w:t>合</w:t>
      </w:r>
      <w:r>
        <w:rPr>
          <w:spacing w:val="9"/>
        </w:rPr>
        <w:t>某公司生产、销售、许诺销售被诉侵权产品，给亿某公司造成重</w:t>
      </w:r>
      <w:r>
        <w:rPr>
          <w:spacing w:val="7"/>
        </w:rPr>
        <w:t>大损失，一审判决确定的赔偿数额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8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7"/>
        </w:rPr>
        <w:t>万元符合实际情况。请求驳</w:t>
      </w:r>
      <w:r>
        <w:rPr>
          <w:spacing w:val="6"/>
        </w:rPr>
        <w:t>回合某公司的上诉。</w:t>
      </w:r>
    </w:p>
    <w:p>
      <w:pPr>
        <w:pStyle w:val="BodyText"/>
        <w:ind w:left="7" w:firstLine="620"/>
        <w:spacing w:before="13" w:line="353" w:lineRule="auto"/>
        <w:jc w:val="both"/>
        <w:rPr/>
      </w:pPr>
      <w:r>
        <w:rPr>
          <w:spacing w:val="9"/>
        </w:rPr>
        <w:t>亿某公司向一审法院起诉请求判令合某公司：</w:t>
      </w:r>
      <w:r>
        <w:rPr>
          <w:spacing w:val="-91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1.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9"/>
        </w:rPr>
        <w:t>立即停止生</w:t>
      </w:r>
      <w:r>
        <w:rPr>
          <w:spacing w:val="12"/>
        </w:rPr>
        <w:t>产、销售及许诺销售侵犯亿某公司涉案专利</w:t>
      </w:r>
      <w:r>
        <w:rPr>
          <w:spacing w:val="11"/>
        </w:rPr>
        <w:t>权的产品的行为；</w:t>
      </w:r>
      <w:r>
        <w:rPr>
          <w:rFonts w:ascii="Times New Roman" w:hAnsi="Times New Roman" w:eastAsia="Times New Roman" w:cs="Times New Roman"/>
          <w:spacing w:val="11"/>
        </w:rPr>
        <w:t>2.</w:t>
      </w:r>
      <w:r>
        <w:rPr>
          <w:spacing w:val="9"/>
        </w:rPr>
        <w:t>收回并销毁所有侵权产品及销毁制造侵权产品的模具，并消除影</w:t>
      </w:r>
      <w:r>
        <w:rPr>
          <w:spacing w:val="6"/>
        </w:rPr>
        <w:t>响；</w:t>
      </w: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spacing w:val="6"/>
        </w:rPr>
        <w:t>赔偿亿某公司经济损失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10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6"/>
        </w:rPr>
        <w:t>万元；</w:t>
      </w:r>
      <w:r>
        <w:rPr>
          <w:rFonts w:ascii="Times New Roman" w:hAnsi="Times New Roman" w:eastAsia="Times New Roman" w:cs="Times New Roman"/>
          <w:spacing w:val="6"/>
        </w:rPr>
        <w:t>4.</w:t>
      </w:r>
      <w:r>
        <w:rPr>
          <w:spacing w:val="6"/>
        </w:rPr>
        <w:t>承担亿某公司为制止侵</w:t>
      </w:r>
      <w:r>
        <w:rPr>
          <w:spacing w:val="5"/>
        </w:rPr>
        <w:t>权行为所支出的律师费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8000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5"/>
        </w:rPr>
        <w:t>元、公证费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4"/>
        </w:rPr>
        <w:t>576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4"/>
        </w:rPr>
        <w:t>元，购买侵权产品</w:t>
      </w:r>
      <w:r>
        <w:rPr/>
        <w:t>费用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</w:rPr>
        <w:t>3000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/>
        <w:t>元，以上暂合计为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</w:rPr>
        <w:t>122576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/>
        <w:t>元；</w:t>
      </w:r>
      <w:r>
        <w:rPr>
          <w:rFonts w:ascii="Times New Roman" w:hAnsi="Times New Roman" w:eastAsia="Times New Roman" w:cs="Times New Roman"/>
        </w:rPr>
        <w:t>5.</w:t>
      </w:r>
      <w:r>
        <w:rPr/>
        <w:t>承担本案的诉讼费用。</w:t>
      </w:r>
    </w:p>
    <w:p>
      <w:pPr>
        <w:pStyle w:val="BodyText"/>
        <w:ind w:right="7" w:firstLine="639"/>
        <w:spacing w:before="4" w:line="348" w:lineRule="auto"/>
        <w:jc w:val="both"/>
        <w:rPr/>
      </w:pPr>
      <w:r>
        <w:rPr>
          <w:spacing w:val="-1"/>
        </w:rPr>
        <w:t>一审法院审理查明：</w:t>
      </w:r>
      <w:r>
        <w:rPr>
          <w:rFonts w:ascii="Times New Roman" w:hAnsi="Times New Roman" w:eastAsia="Times New Roman" w:cs="Times New Roman"/>
          <w:spacing w:val="-1"/>
        </w:rPr>
        <w:t>2012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1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12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1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12  </w:t>
      </w:r>
      <w:r>
        <w:rPr>
          <w:spacing w:val="-1"/>
        </w:rPr>
        <w:t>日，</w:t>
      </w:r>
      <w:r>
        <w:rPr>
          <w:spacing w:val="-2"/>
        </w:rPr>
        <w:t>亿某公司向中国知</w:t>
      </w:r>
      <w:r>
        <w:rPr>
          <w:spacing w:val="-1"/>
        </w:rPr>
        <w:t>某产权局申请了“</w:t>
      </w:r>
      <w:r>
        <w:rPr>
          <w:spacing w:val="-94"/>
        </w:rPr>
        <w:t xml:space="preserve"> </w:t>
      </w:r>
      <w:r>
        <w:rPr>
          <w:spacing w:val="-1"/>
        </w:rPr>
        <w:t>电动气泵（</w:t>
      </w:r>
      <w:r>
        <w:rPr>
          <w:rFonts w:ascii="Times New Roman" w:hAnsi="Times New Roman" w:eastAsia="Times New Roman" w:cs="Times New Roman"/>
          <w:spacing w:val="-1"/>
        </w:rPr>
        <w:t>HT-501 73005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1"/>
        </w:rPr>
        <w:t>）”的外观设计专利，</w:t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-1"/>
        </w:rPr>
        <w:t>2013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1"/>
        </w:rPr>
        <w:t>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6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1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5</w:t>
      </w:r>
      <w:r>
        <w:rPr>
          <w:rFonts w:ascii="Times New Roman" w:hAnsi="Times New Roman" w:eastAsia="Times New Roman" w:cs="Times New Roman"/>
          <w:spacing w:val="75"/>
          <w:w w:val="101"/>
        </w:rPr>
        <w:t xml:space="preserve"> </w:t>
      </w:r>
      <w:r>
        <w:rPr>
          <w:spacing w:val="-1"/>
        </w:rPr>
        <w:t>日获得了授权，专利号为</w:t>
      </w:r>
      <w:r>
        <w:rPr>
          <w:spacing w:val="-7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ZL2012**</w:t>
      </w:r>
      <w:r>
        <w:rPr>
          <w:rFonts w:ascii="Times New Roman" w:hAnsi="Times New Roman" w:eastAsia="Times New Roman" w:cs="Times New Roman"/>
          <w:spacing w:val="-2"/>
        </w:rPr>
        <w:t>**2930.2</w:t>
      </w:r>
      <w:r>
        <w:rPr>
          <w:spacing w:val="-2"/>
        </w:rPr>
        <w:t>。涉案</w:t>
      </w:r>
      <w:r>
        <w:rPr>
          <w:spacing w:val="10"/>
        </w:rPr>
        <w:t>专利有主视图、后视图、左视图、右视图、俯</w:t>
      </w:r>
      <w:r>
        <w:rPr>
          <w:spacing w:val="9"/>
        </w:rPr>
        <w:t>视图、仰视图、立</w:t>
      </w:r>
      <w:r>
        <w:rPr>
          <w:spacing w:val="10"/>
        </w:rPr>
        <w:t>体图共七幅视图。设计要点在于产品的整体形</w:t>
      </w:r>
      <w:r>
        <w:rPr>
          <w:spacing w:val="9"/>
        </w:rPr>
        <w:t>状。最能表现涉案</w:t>
      </w:r>
    </w:p>
    <w:p>
      <w:pPr>
        <w:spacing w:line="348" w:lineRule="auto"/>
        <w:sectPr>
          <w:footerReference w:type="default" r:id="rId2"/>
          <w:pgSz w:w="11907" w:h="16840"/>
          <w:pgMar w:top="1431" w:right="1214" w:bottom="1692" w:left="1649" w:header="0" w:footer="1306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9" w:right="313" w:firstLine="11"/>
        <w:spacing w:before="100" w:line="348" w:lineRule="auto"/>
        <w:jc w:val="both"/>
        <w:rPr/>
      </w:pPr>
      <w:r>
        <w:rPr>
          <w:spacing w:val="9"/>
        </w:rPr>
        <w:t>外观专利设计要点的图为立体图。从立体图看，专利设计整</w:t>
      </w:r>
      <w:r>
        <w:rPr>
          <w:spacing w:val="8"/>
        </w:rPr>
        <w:t>体呈</w:t>
      </w:r>
      <w:r>
        <w:rPr>
          <w:spacing w:val="9"/>
        </w:rPr>
        <w:t>长方体，上部有一提手，提手上有条状刻痕，长方体两侧呈圆柱</w:t>
      </w:r>
      <w:r>
        <w:rPr>
          <w:spacing w:val="9"/>
        </w:rPr>
        <w:t>状，相对应的圆柱上方各有一类似梯形的出气孔，长方体上部中</w:t>
      </w:r>
      <w:r>
        <w:rPr>
          <w:spacing w:val="9"/>
        </w:rPr>
        <w:t>间向内凹陷，形成一笑脸形状，与两出气孔相对的提手一侧一边</w:t>
      </w:r>
      <w:r>
        <w:rPr>
          <w:spacing w:val="9"/>
        </w:rPr>
        <w:t>为开关，一边为两个出气孔。长方体左侧面有</w:t>
      </w:r>
      <w:r>
        <w:rPr>
          <w:spacing w:val="8"/>
        </w:rPr>
        <w:t>条格状图案。</w:t>
      </w:r>
      <w:r>
        <w:rPr>
          <w:rFonts w:ascii="Times New Roman" w:hAnsi="Times New Roman" w:eastAsia="Times New Roman" w:cs="Times New Roman"/>
          <w:spacing w:val="8"/>
        </w:rPr>
        <w:t>2017</w:t>
      </w:r>
      <w:r>
        <w:rPr>
          <w:spacing w:val="3"/>
        </w:rPr>
        <w:t>年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8  </w:t>
      </w:r>
      <w:r>
        <w:rPr>
          <w:spacing w:val="3"/>
        </w:rPr>
        <w:t>月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25  </w:t>
      </w:r>
      <w:r>
        <w:rPr>
          <w:spacing w:val="3"/>
        </w:rPr>
        <w:t>日，亿某公司缴纳了涉案专利年费。</w:t>
      </w:r>
    </w:p>
    <w:p>
      <w:pPr>
        <w:pStyle w:val="BodyText"/>
        <w:ind w:left="4" w:right="231" w:firstLine="607"/>
        <w:spacing w:before="10" w:line="352" w:lineRule="auto"/>
        <w:jc w:val="both"/>
        <w:rPr/>
      </w:pPr>
      <w:r>
        <w:rPr>
          <w:rFonts w:ascii="Times New Roman" w:hAnsi="Times New Roman" w:eastAsia="Times New Roman" w:cs="Times New Roman"/>
          <w:spacing w:val="6"/>
        </w:rPr>
        <w:t>2013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6"/>
        </w:rPr>
        <w:t>年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5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6"/>
        </w:rPr>
        <w:t>月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31  </w:t>
      </w:r>
      <w:r>
        <w:rPr>
          <w:spacing w:val="6"/>
        </w:rPr>
        <w:t>日，亿某公司与姜堰市晨</w:t>
      </w:r>
      <w:r>
        <w:rPr>
          <w:spacing w:val="5"/>
        </w:rPr>
        <w:t>某进出口贸易有限</w:t>
      </w:r>
      <w:r>
        <w:rPr/>
        <w:t>公司就涉案专利产品签订了销售合同，合同金额为</w:t>
      </w:r>
      <w:r>
        <w:rPr>
          <w:rFonts w:ascii="Times New Roman" w:hAnsi="Times New Roman" w:eastAsia="Times New Roman" w:cs="Times New Roman"/>
        </w:rPr>
        <w:t>20448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/>
        <w:t>元。</w:t>
      </w:r>
      <w:r>
        <w:rPr>
          <w:rFonts w:ascii="Times New Roman" w:hAnsi="Times New Roman" w:eastAsia="Times New Roman" w:cs="Times New Roman"/>
        </w:rPr>
        <w:t>2015</w:t>
      </w:r>
      <w:r>
        <w:rPr>
          <w:spacing w:val="-4"/>
        </w:rPr>
        <w:t>年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6 </w:t>
      </w:r>
      <w:r>
        <w:rPr>
          <w:spacing w:val="-4"/>
        </w:rPr>
        <w:t>月</w:t>
      </w:r>
      <w:r>
        <w:rPr>
          <w:rFonts w:ascii="Times New Roman" w:hAnsi="Times New Roman" w:eastAsia="Times New Roman" w:cs="Times New Roman"/>
          <w:spacing w:val="-4"/>
        </w:rPr>
        <w:t>30</w:t>
      </w:r>
      <w:r>
        <w:rPr>
          <w:rFonts w:ascii="Times New Roman" w:hAnsi="Times New Roman" w:eastAsia="Times New Roman" w:cs="Times New Roman"/>
          <w:spacing w:val="51"/>
          <w:w w:val="101"/>
        </w:rPr>
        <w:t xml:space="preserve"> </w:t>
      </w:r>
      <w:r>
        <w:rPr>
          <w:spacing w:val="-4"/>
        </w:rPr>
        <w:t>日，合某公司与谭平签订订购合同，产品型号为</w:t>
      </w:r>
      <w:r>
        <w:rPr>
          <w:rFonts w:ascii="Times New Roman" w:hAnsi="Times New Roman" w:eastAsia="Times New Roman" w:cs="Times New Roman"/>
          <w:spacing w:val="-4"/>
        </w:rPr>
        <w:t>HS-508</w:t>
      </w:r>
      <w:r>
        <w:rPr>
          <w:spacing w:val="-4"/>
        </w:rPr>
        <w:t>，</w:t>
      </w:r>
      <w:r>
        <w:rPr>
          <w:spacing w:val="2"/>
        </w:rPr>
        <w:t>数量为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60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2"/>
        </w:rPr>
        <w:t>个，金额为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3000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2"/>
        </w:rPr>
        <w:t>元。</w:t>
      </w:r>
      <w:r>
        <w:rPr>
          <w:rFonts w:ascii="Times New Roman" w:hAnsi="Times New Roman" w:eastAsia="Times New Roman" w:cs="Times New Roman"/>
          <w:spacing w:val="2"/>
        </w:rPr>
        <w:t>2015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2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7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2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29  </w:t>
      </w:r>
      <w:r>
        <w:rPr>
          <w:spacing w:val="2"/>
        </w:rPr>
        <w:t>日，亿某公司的</w:t>
      </w:r>
      <w:r>
        <w:rPr>
          <w:spacing w:val="18"/>
        </w:rPr>
        <w:t>委托代理人金某向江苏省淮安市淮安公证处申请证</w:t>
      </w:r>
      <w:r>
        <w:rPr>
          <w:spacing w:val="17"/>
        </w:rPr>
        <w:t>据保全。</w:t>
      </w:r>
      <w:r>
        <w:rPr>
          <w:spacing w:val="-62"/>
        </w:rPr>
        <w:t xml:space="preserve"> </w:t>
      </w:r>
      <w:r>
        <w:rPr>
          <w:spacing w:val="17"/>
        </w:rPr>
        <w:t>当</w:t>
      </w:r>
      <w:r>
        <w:rPr>
          <w:spacing w:val="11"/>
        </w:rPr>
        <w:t>日，金某在公证员的监督下，通过公证处的电脑</w:t>
      </w:r>
      <w:r>
        <w:rPr>
          <w:spacing w:val="10"/>
        </w:rPr>
        <w:t>进行上网操作，</w:t>
      </w:r>
      <w:r>
        <w:rPr>
          <w:spacing w:val="7"/>
        </w:rPr>
        <w:t>对网址为“</w:t>
      </w:r>
      <w:hyperlink w:history="true" r:id="rId4">
        <w:r>
          <w:rPr>
            <w:rFonts w:ascii="Times New Roman" w:hAnsi="Times New Roman" w:eastAsia="Times New Roman" w:cs="Times New Roman"/>
          </w:rPr>
          <w:t>www</w:t>
        </w:r>
        <w:r>
          <w:rPr>
            <w:rFonts w:ascii="Times New Roman" w:hAnsi="Times New Roman" w:eastAsia="Times New Roman" w:cs="Times New Roman"/>
            <w:spacing w:val="7"/>
          </w:rPr>
          <w:t>.</w:t>
        </w:r>
        <w:r>
          <w:rPr>
            <w:rFonts w:ascii="Times New Roman" w:hAnsi="Times New Roman" w:eastAsia="Times New Roman" w:cs="Times New Roman"/>
          </w:rPr>
          <w:t>zj</w:t>
        </w:r>
        <w:r>
          <w:rPr>
            <w:rFonts w:ascii="Times New Roman" w:hAnsi="Times New Roman" w:eastAsia="Times New Roman" w:cs="Times New Roman"/>
            <w:spacing w:val="7"/>
          </w:rPr>
          <w:t>-</w:t>
        </w:r>
        <w:r>
          <w:rPr>
            <w:rFonts w:ascii="Times New Roman" w:hAnsi="Times New Roman" w:eastAsia="Times New Roman" w:cs="Times New Roman"/>
          </w:rPr>
          <w:t>heshun</w:t>
        </w:r>
        <w:r>
          <w:rPr>
            <w:rFonts w:ascii="Times New Roman" w:hAnsi="Times New Roman" w:eastAsia="Times New Roman" w:cs="Times New Roman"/>
            <w:spacing w:val="7"/>
          </w:rPr>
          <w:t>.</w:t>
        </w:r>
        <w:r>
          <w:rPr>
            <w:rFonts w:ascii="Times New Roman" w:hAnsi="Times New Roman" w:eastAsia="Times New Roman" w:cs="Times New Roman"/>
          </w:rPr>
          <w:t>com</w:t>
        </w:r>
      </w:hyperlink>
      <w:r>
        <w:rPr>
          <w:spacing w:val="7"/>
        </w:rPr>
        <w:t>”的网页上所涉产品内容进行了浏</w:t>
      </w:r>
      <w:r>
        <w:rPr>
          <w:spacing w:val="7"/>
        </w:rPr>
        <w:t>览并截屏保存，江苏省淮安市淮安公证处据此出具了（</w:t>
      </w:r>
      <w:r>
        <w:rPr>
          <w:rFonts w:ascii="Times New Roman" w:hAnsi="Times New Roman" w:eastAsia="Times New Roman" w:cs="Times New Roman"/>
          <w:spacing w:val="7"/>
        </w:rPr>
        <w:t>2015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7"/>
        </w:rPr>
        <w:t>）淮</w:t>
      </w:r>
      <w:r>
        <w:rPr>
          <w:spacing w:val="9"/>
        </w:rPr>
        <w:t>安证民内字第</w:t>
      </w:r>
      <w:r>
        <w:rPr>
          <w:rFonts w:ascii="Times New Roman" w:hAnsi="Times New Roman" w:eastAsia="Times New Roman" w:cs="Times New Roman"/>
          <w:spacing w:val="9"/>
        </w:rPr>
        <w:t>3202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9"/>
        </w:rPr>
        <w:t>号公证书。亿某公司为本案支出律师费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8000</w:t>
      </w:r>
      <w:r>
        <w:rPr/>
        <w:t>元、公证费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>1576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/>
        <w:t>元。</w:t>
      </w:r>
    </w:p>
    <w:p>
      <w:pPr>
        <w:pStyle w:val="BodyText"/>
        <w:ind w:firstLine="612"/>
        <w:spacing w:before="3" w:line="352" w:lineRule="auto"/>
        <w:tabs>
          <w:tab w:val="left" w:pos="9264"/>
        </w:tabs>
        <w:jc w:val="both"/>
        <w:rPr/>
      </w:pPr>
      <w:r>
        <w:rPr>
          <w:rFonts w:ascii="Times New Roman" w:hAnsi="Times New Roman" w:eastAsia="Times New Roman" w:cs="Times New Roman"/>
          <w:spacing w:val="1"/>
        </w:rPr>
        <w:t>2012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1"/>
        </w:rPr>
        <w:t>年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8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1"/>
        </w:rPr>
        <w:t>月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9</w:t>
      </w:r>
      <w:r>
        <w:rPr>
          <w:rFonts w:ascii="Times New Roman" w:hAnsi="Times New Roman" w:eastAsia="Times New Roman" w:cs="Times New Roman"/>
          <w:spacing w:val="76"/>
        </w:rPr>
        <w:t xml:space="preserve"> </w:t>
      </w:r>
      <w:r>
        <w:rPr>
          <w:spacing w:val="1"/>
        </w:rPr>
        <w:t>日，伏某仿向中国知某产权局申请了“充气泵”</w:t>
      </w:r>
      <w:r>
        <w:rPr>
          <w:spacing w:val="5"/>
        </w:rPr>
        <w:t>的实用新型专利，并于</w:t>
      </w:r>
      <w:r>
        <w:rPr>
          <w:rFonts w:ascii="Times New Roman" w:hAnsi="Times New Roman" w:eastAsia="Times New Roman" w:cs="Times New Roman"/>
          <w:spacing w:val="5"/>
        </w:rPr>
        <w:t>2013</w:t>
      </w:r>
      <w:r>
        <w:rPr>
          <w:rFonts w:ascii="Times New Roman" w:hAnsi="Times New Roman" w:eastAsia="Times New Roman" w:cs="Times New Roman"/>
          <w:spacing w:val="39"/>
        </w:rPr>
        <w:t xml:space="preserve"> </w:t>
      </w:r>
      <w:r>
        <w:rPr>
          <w:spacing w:val="5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5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23</w:t>
      </w:r>
      <w:r>
        <w:rPr>
          <w:rFonts w:ascii="Times New Roman" w:hAnsi="Times New Roman" w:eastAsia="Times New Roman" w:cs="Times New Roman"/>
          <w:spacing w:val="75"/>
          <w:w w:val="101"/>
        </w:rPr>
        <w:t xml:space="preserve"> </w:t>
      </w:r>
      <w:r>
        <w:rPr>
          <w:spacing w:val="5"/>
        </w:rPr>
        <w:t>日获得授权公告，专利号</w:t>
      </w:r>
      <w:r>
        <w:rPr/>
        <w:tab/>
      </w:r>
      <w:r>
        <w:rPr/>
        <w:t xml:space="preserve"> </w:t>
      </w:r>
      <w:r>
        <w:rPr>
          <w:spacing w:val="-1"/>
        </w:rPr>
        <w:t>为第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ZL2012****9418.0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1"/>
        </w:rPr>
        <w:t>号。</w:t>
      </w:r>
      <w:r>
        <w:rPr>
          <w:rFonts w:ascii="Times New Roman" w:hAnsi="Times New Roman" w:eastAsia="Times New Roman" w:cs="Times New Roman"/>
          <w:spacing w:val="-1"/>
        </w:rPr>
        <w:t>2015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1"/>
        </w:rPr>
        <w:t>年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9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1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18</w:t>
      </w:r>
      <w:r>
        <w:rPr>
          <w:rFonts w:ascii="Times New Roman" w:hAnsi="Times New Roman" w:eastAsia="Times New Roman" w:cs="Times New Roman"/>
          <w:spacing w:val="76"/>
        </w:rPr>
        <w:t xml:space="preserve"> </w:t>
      </w:r>
      <w:r>
        <w:rPr>
          <w:spacing w:val="-1"/>
        </w:rPr>
        <w:t>日，伏某仿、杨某明</w:t>
      </w:r>
      <w:r>
        <w:rPr>
          <w:spacing w:val="10"/>
        </w:rPr>
        <w:t>将上述实用新型专利授权合某公司特许生产</w:t>
      </w:r>
      <w:r>
        <w:rPr>
          <w:spacing w:val="9"/>
        </w:rPr>
        <w:t>及销售，授权日期自</w:t>
      </w:r>
      <w:r>
        <w:rPr/>
        <w:tab/>
      </w:r>
      <w:r>
        <w:rPr/>
        <w:t xml:space="preserve"> </w:t>
      </w:r>
      <w:r>
        <w:rPr>
          <w:rFonts w:ascii="Times New Roman" w:hAnsi="Times New Roman" w:eastAsia="Times New Roman" w:cs="Times New Roman"/>
          <w:spacing w:val="-9"/>
        </w:rPr>
        <w:t>2014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9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12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9"/>
        </w:rPr>
        <w:t>月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6  </w:t>
      </w:r>
      <w:r>
        <w:rPr>
          <w:spacing w:val="-9"/>
        </w:rPr>
        <w:t>日至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2024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-9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12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9"/>
        </w:rPr>
        <w:t>月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5  </w:t>
      </w:r>
      <w:r>
        <w:rPr>
          <w:spacing w:val="-9"/>
        </w:rPr>
        <w:t>日。</w:t>
      </w:r>
    </w:p>
    <w:p>
      <w:pPr>
        <w:pStyle w:val="BodyText"/>
        <w:ind w:left="615"/>
        <w:spacing w:line="418" w:lineRule="exact"/>
        <w:rPr>
          <w:rFonts w:ascii="Times New Roman" w:hAnsi="Times New Roman" w:eastAsia="Times New Roman" w:cs="Times New Roman"/>
        </w:rPr>
      </w:pPr>
      <w:r>
        <w:rPr>
          <w:spacing w:val="12"/>
          <w:position w:val="1"/>
        </w:rPr>
        <w:t>该院另查明，合某公司系私营有限责任公司，注册资本</w:t>
      </w:r>
      <w:r>
        <w:rPr>
          <w:spacing w:val="-50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12"/>
          <w:position w:val="1"/>
        </w:rPr>
        <w:t>588</w:t>
      </w:r>
    </w:p>
    <w:p>
      <w:pPr>
        <w:spacing w:line="418" w:lineRule="exact"/>
        <w:sectPr>
          <w:footerReference w:type="default" r:id="rId3"/>
          <w:pgSz w:w="11907" w:h="16840"/>
          <w:pgMar w:top="1431" w:right="990" w:bottom="1692" w:left="1650" w:header="0" w:footer="1308" w:gutter="0"/>
        </w:sectPr>
        <w:rPr>
          <w:rFonts w:ascii="Times New Roman" w:hAnsi="Times New Roman" w:eastAsia="Times New Roman" w:cs="Times New Roman"/>
        </w:rPr>
      </w:pP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left="11" w:firstLine="9"/>
        <w:spacing w:before="101" w:line="357" w:lineRule="auto"/>
        <w:jc w:val="both"/>
        <w:rPr/>
      </w:pPr>
      <w:r>
        <w:rPr>
          <w:spacing w:val="2"/>
        </w:rPr>
        <w:t>万元，成立日期</w:t>
      </w:r>
      <w:r>
        <w:rPr>
          <w:rFonts w:ascii="Times New Roman" w:hAnsi="Times New Roman" w:eastAsia="Times New Roman" w:cs="Times New Roman"/>
          <w:spacing w:val="2"/>
        </w:rPr>
        <w:t>2014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2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10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2"/>
        </w:rPr>
        <w:t>月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23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2"/>
        </w:rPr>
        <w:t>日，经营范围：</w:t>
      </w:r>
      <w:r>
        <w:rPr>
          <w:spacing w:val="1"/>
        </w:rPr>
        <w:t>一般经营项目：</w:t>
      </w:r>
      <w:r>
        <w:rPr>
          <w:spacing w:val="4"/>
        </w:rPr>
        <w:t>家用电器、</w:t>
      </w:r>
      <w:r>
        <w:rPr>
          <w:spacing w:val="-76"/>
        </w:rPr>
        <w:t xml:space="preserve"> </w:t>
      </w:r>
      <w:r>
        <w:rPr>
          <w:spacing w:val="4"/>
        </w:rPr>
        <w:t>电子产品、</w:t>
      </w:r>
      <w:r>
        <w:rPr>
          <w:spacing w:val="-91"/>
        </w:rPr>
        <w:t xml:space="preserve"> </w:t>
      </w:r>
      <w:r>
        <w:rPr>
          <w:spacing w:val="4"/>
        </w:rPr>
        <w:t>电动气泵、鼓风机的生产、销售；货物进</w:t>
      </w:r>
      <w:r>
        <w:rPr>
          <w:spacing w:val="-10"/>
        </w:rPr>
        <w:t>出</w:t>
      </w:r>
      <w:r>
        <w:rPr>
          <w:spacing w:val="-79"/>
        </w:rPr>
        <w:t xml:space="preserve"> </w:t>
      </w:r>
      <w:r>
        <w:rPr>
          <w:spacing w:val="-10"/>
        </w:rPr>
        <w:t>口、技术进出</w:t>
      </w:r>
      <w:r>
        <w:rPr>
          <w:spacing w:val="-84"/>
        </w:rPr>
        <w:t xml:space="preserve"> </w:t>
      </w:r>
      <w:r>
        <w:rPr>
          <w:spacing w:val="-10"/>
        </w:rPr>
        <w:t>口。</w:t>
      </w:r>
    </w:p>
    <w:p>
      <w:pPr>
        <w:pStyle w:val="BodyText"/>
        <w:ind w:right="69" w:firstLine="615"/>
        <w:spacing w:before="19" w:line="350" w:lineRule="auto"/>
        <w:jc w:val="both"/>
        <w:rPr/>
      </w:pPr>
      <w:r>
        <w:rPr>
          <w:spacing w:val="10"/>
        </w:rPr>
        <w:t>本案亿某公司在起诉时向一审法院申请证据保全，该院至合</w:t>
      </w:r>
      <w:r>
        <w:rPr>
          <w:spacing w:val="9"/>
        </w:rPr>
        <w:t>某公司处进行证据保全时，合某公司提交了一款产品，称从亿某</w:t>
      </w:r>
      <w:r>
        <w:rPr>
          <w:spacing w:val="9"/>
        </w:rPr>
        <w:t>公司购买该产品后把原商标撕掉贴上合某公司的商标，该产品显</w:t>
      </w:r>
      <w:r>
        <w:rPr>
          <w:spacing w:val="2"/>
        </w:rPr>
        <w:t>示型号为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</w:rPr>
        <w:t>HS</w:t>
      </w:r>
      <w:r>
        <w:rPr>
          <w:rFonts w:ascii="Times New Roman" w:hAnsi="Times New Roman" w:eastAsia="Times New Roman" w:cs="Times New Roman"/>
          <w:spacing w:val="2"/>
        </w:rPr>
        <w:t>-508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spacing w:val="2"/>
        </w:rPr>
        <w:t>，商标为“</w:t>
      </w:r>
      <w:r>
        <w:rPr>
          <w:spacing w:val="-119"/>
        </w:rPr>
        <w:t xml:space="preserve"> </w:t>
      </w:r>
      <w:r>
        <w:rPr>
          <w:spacing w:val="2"/>
        </w:rPr>
        <w:t>思美达”，对该产品合某公司不允许</w:t>
      </w:r>
      <w:r>
        <w:rPr>
          <w:spacing w:val="9"/>
        </w:rPr>
        <w:t>法院提取只允许拍照，该院进行了拍照并当庭出示。合某公司认</w:t>
      </w:r>
      <w:r>
        <w:rPr>
          <w:spacing w:val="9"/>
        </w:rPr>
        <w:t>可其阿里巴巴网站上展示的产品与被诉侵权产品相一致。亿某公</w:t>
      </w:r>
      <w:r>
        <w:rPr>
          <w:spacing w:val="9"/>
        </w:rPr>
        <w:t>司对该院拍摄的被诉侵权产品的照片无异议。将该照片与涉案专</w:t>
      </w:r>
      <w:r>
        <w:rPr>
          <w:spacing w:val="9"/>
        </w:rPr>
        <w:t>利进行比对，亿某公司认为两者完全一致。合某公司对亿某公司</w:t>
      </w:r>
      <w:r>
        <w:rPr>
          <w:spacing w:val="6"/>
        </w:rPr>
        <w:t>的比对结论无异议。合某公司认可</w:t>
      </w:r>
      <w:r>
        <w:rPr>
          <w:spacing w:val="-88"/>
        </w:rPr>
        <w:t xml:space="preserve"> </w:t>
      </w:r>
      <w:r>
        <w:rPr>
          <w:spacing w:val="6"/>
        </w:rPr>
        <w:t>“</w:t>
      </w:r>
      <w:r>
        <w:rPr>
          <w:spacing w:val="-121"/>
        </w:rPr>
        <w:t xml:space="preserve"> </w:t>
      </w:r>
      <w:r>
        <w:rPr>
          <w:spacing w:val="6"/>
        </w:rPr>
        <w:t>思美达”商标系其所有，产</w:t>
      </w:r>
      <w:r>
        <w:rPr>
          <w:spacing w:val="5"/>
        </w:rPr>
        <w:t>品型号为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>HS</w:t>
      </w:r>
      <w:r>
        <w:rPr>
          <w:rFonts w:ascii="Times New Roman" w:hAnsi="Times New Roman" w:eastAsia="Times New Roman" w:cs="Times New Roman"/>
          <w:spacing w:val="5"/>
        </w:rPr>
        <w:t>-508</w:t>
      </w:r>
      <w:r>
        <w:rPr>
          <w:spacing w:val="5"/>
        </w:rPr>
        <w:t>。</w:t>
      </w:r>
    </w:p>
    <w:p>
      <w:pPr>
        <w:pStyle w:val="BodyText"/>
        <w:ind w:left="7" w:right="69" w:firstLine="628"/>
        <w:spacing w:before="3" w:line="348" w:lineRule="auto"/>
        <w:jc w:val="both"/>
        <w:rPr/>
      </w:pPr>
      <w:r>
        <w:rPr>
          <w:spacing w:val="4"/>
        </w:rPr>
        <w:t>一审法院认为，涉案</w:t>
      </w:r>
      <w:r>
        <w:rPr>
          <w:spacing w:val="-97"/>
        </w:rPr>
        <w:t xml:space="preserve"> </w:t>
      </w:r>
      <w:r>
        <w:rPr>
          <w:spacing w:val="4"/>
        </w:rPr>
        <w:t>“</w:t>
      </w:r>
      <w:r>
        <w:rPr>
          <w:spacing w:val="-102"/>
        </w:rPr>
        <w:t xml:space="preserve"> </w:t>
      </w:r>
      <w:r>
        <w:rPr>
          <w:spacing w:val="4"/>
        </w:rPr>
        <w:t>电动气泵（</w:t>
      </w:r>
      <w:r>
        <w:rPr>
          <w:rFonts w:ascii="Times New Roman" w:hAnsi="Times New Roman" w:eastAsia="Times New Roman" w:cs="Times New Roman"/>
        </w:rPr>
        <w:t>HT</w:t>
      </w:r>
      <w:r>
        <w:rPr>
          <w:rFonts w:ascii="Times New Roman" w:hAnsi="Times New Roman" w:eastAsia="Times New Roman" w:cs="Times New Roman"/>
          <w:spacing w:val="4"/>
        </w:rPr>
        <w:t>-501 73005</w:t>
      </w:r>
      <w:r>
        <w:rPr>
          <w:rFonts w:ascii="Times New Roman" w:hAnsi="Times New Roman" w:eastAsia="Times New Roman" w:cs="Times New Roman"/>
          <w:spacing w:val="-30"/>
        </w:rPr>
        <w:t xml:space="preserve"> </w:t>
      </w:r>
      <w:r>
        <w:rPr>
          <w:spacing w:val="4"/>
        </w:rPr>
        <w:t>）”专利在</w:t>
      </w:r>
      <w:r>
        <w:rPr>
          <w:spacing w:val="9"/>
        </w:rPr>
        <w:t>有效期限内，且法律状态稳定，应受法律保护。本案的争议焦点</w:t>
      </w:r>
      <w:r>
        <w:rPr>
          <w:spacing w:val="12"/>
        </w:rPr>
        <w:t>在于：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1.</w:t>
      </w:r>
      <w:r>
        <w:rPr>
          <w:spacing w:val="12"/>
        </w:rPr>
        <w:t>合某公司是否生产、销售了被诉侵权</w:t>
      </w:r>
      <w:r>
        <w:rPr>
          <w:spacing w:val="11"/>
        </w:rPr>
        <w:t>产品；</w:t>
      </w:r>
      <w:r>
        <w:rPr>
          <w:rFonts w:ascii="Times New Roman" w:hAnsi="Times New Roman" w:eastAsia="Times New Roman" w:cs="Times New Roman"/>
          <w:spacing w:val="11"/>
        </w:rPr>
        <w:t>2.</w:t>
      </w:r>
      <w:r>
        <w:rPr>
          <w:spacing w:val="11"/>
        </w:rPr>
        <w:t>合某公司</w:t>
      </w:r>
      <w:r>
        <w:rPr>
          <w:spacing w:val="11"/>
        </w:rPr>
        <w:t>的现有设计抗辩及在先使用抗辩是否成立；</w:t>
      </w:r>
      <w:r>
        <w:rPr>
          <w:rFonts w:ascii="Times New Roman" w:hAnsi="Times New Roman" w:eastAsia="Times New Roman" w:cs="Times New Roman"/>
          <w:spacing w:val="11"/>
        </w:rPr>
        <w:t>3.</w:t>
      </w:r>
      <w:r>
        <w:rPr>
          <w:spacing w:val="11"/>
        </w:rPr>
        <w:t>如果侵权构成，合</w:t>
      </w:r>
      <w:r>
        <w:rPr>
          <w:spacing w:val="8"/>
        </w:rPr>
        <w:t>某公司在本案中应承担何种民事责任。</w:t>
      </w:r>
    </w:p>
    <w:p>
      <w:pPr>
        <w:pStyle w:val="BodyText"/>
        <w:ind w:left="7" w:right="69" w:firstLine="621"/>
        <w:spacing w:before="31" w:line="358" w:lineRule="auto"/>
        <w:jc w:val="both"/>
        <w:rPr/>
      </w:pPr>
      <w:r>
        <w:rPr>
          <w:spacing w:val="8"/>
        </w:rPr>
        <w:t>关于争议焦点</w:t>
      </w:r>
      <w:r>
        <w:rPr>
          <w:spacing w:val="-14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</w:t>
      </w:r>
      <w:r>
        <w:rPr>
          <w:spacing w:val="8"/>
        </w:rPr>
        <w:t>。</w:t>
      </w:r>
      <w:r>
        <w:rPr>
          <w:spacing w:val="-90"/>
        </w:rPr>
        <w:t xml:space="preserve"> </w:t>
      </w:r>
      <w:r>
        <w:rPr>
          <w:spacing w:val="8"/>
        </w:rPr>
        <w:t>一审法院至合某公司处进行证据保全时，</w:t>
      </w:r>
      <w:r>
        <w:rPr>
          <w:spacing w:val="21"/>
        </w:rPr>
        <w:t>合某公司虽称其提供的产品系从亿某公司处采购但并未提供相</w:t>
      </w:r>
      <w:r>
        <w:rPr>
          <w:spacing w:val="6"/>
        </w:rPr>
        <w:t>应证据加以证明，该产品上标有合某公司</w:t>
      </w:r>
      <w:r>
        <w:rPr>
          <w:spacing w:val="-98"/>
        </w:rPr>
        <w:t xml:space="preserve"> </w:t>
      </w:r>
      <w:r>
        <w:rPr>
          <w:spacing w:val="6"/>
        </w:rPr>
        <w:t>“</w:t>
      </w:r>
      <w:r>
        <w:rPr>
          <w:spacing w:val="-121"/>
        </w:rPr>
        <w:t xml:space="preserve"> </w:t>
      </w:r>
      <w:r>
        <w:rPr>
          <w:spacing w:val="6"/>
        </w:rPr>
        <w:t>思美达”商标，产品</w:t>
      </w:r>
      <w:r>
        <w:rPr>
          <w:spacing w:val="12"/>
        </w:rPr>
        <w:t>型号也与其产品型号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</w:rPr>
        <w:t>HS</w:t>
      </w:r>
      <w:r>
        <w:rPr>
          <w:rFonts w:ascii="Times New Roman" w:hAnsi="Times New Roman" w:eastAsia="Times New Roman" w:cs="Times New Roman"/>
          <w:spacing w:val="12"/>
        </w:rPr>
        <w:t>-508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12"/>
        </w:rPr>
        <w:t>一致，合某公</w:t>
      </w:r>
      <w:r>
        <w:rPr>
          <w:spacing w:val="11"/>
        </w:rPr>
        <w:t>司工商登记范围包括</w:t>
      </w:r>
    </w:p>
    <w:p>
      <w:pPr>
        <w:spacing w:line="358" w:lineRule="auto"/>
        <w:sectPr>
          <w:footerReference w:type="default" r:id="rId5"/>
          <w:pgSz w:w="11907" w:h="16840"/>
          <w:pgMar w:top="1431" w:right="1234" w:bottom="1692" w:left="1652" w:header="0" w:footer="1306" w:gutter="0"/>
        </w:sectPr>
        <w:rPr/>
      </w:pP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firstLine="56"/>
        <w:spacing w:before="101" w:line="352" w:lineRule="auto"/>
        <w:jc w:val="both"/>
        <w:rPr/>
      </w:pPr>
      <w:r>
        <w:rPr>
          <w:spacing w:val="-1"/>
        </w:rPr>
        <w:t>了电动气泵的生产、销售，其阿里巴巴网站显示为“厂家直销”，</w:t>
      </w:r>
      <w:r>
        <w:rPr>
          <w:spacing w:val="7"/>
        </w:rPr>
        <w:t>经营模式为</w:t>
      </w:r>
      <w:r>
        <w:rPr>
          <w:spacing w:val="-86"/>
        </w:rPr>
        <w:t xml:space="preserve"> </w:t>
      </w:r>
      <w:r>
        <w:rPr>
          <w:spacing w:val="7"/>
        </w:rPr>
        <w:t>“生产厂家”，在合某公司与谭平签订的订购合同中</w:t>
      </w:r>
      <w:r>
        <w:rPr>
          <w:spacing w:val="9"/>
        </w:rPr>
        <w:t>显示的产品型号与法院保全的产品型号一致，综上，该院认定合</w:t>
      </w:r>
      <w:r>
        <w:rPr>
          <w:spacing w:val="15"/>
        </w:rPr>
        <w:t>某公司生产、销售了被诉侵权产品。关于争议焦点</w:t>
      </w:r>
      <w:r>
        <w:rPr>
          <w:rFonts w:ascii="Times New Roman" w:hAnsi="Times New Roman" w:eastAsia="Times New Roman" w:cs="Times New Roman"/>
          <w:spacing w:val="15"/>
        </w:rPr>
        <w:t>2</w:t>
      </w:r>
      <w:r>
        <w:rPr>
          <w:spacing w:val="15"/>
        </w:rPr>
        <w:t>。关于现有</w:t>
      </w:r>
      <w:r>
        <w:rPr>
          <w:spacing w:val="9"/>
        </w:rPr>
        <w:t>设计抗辩，合某公司主张以其公证保全的阿里巴巴网站上卖家为</w:t>
      </w:r>
      <w:r>
        <w:rPr>
          <w:spacing w:val="9"/>
        </w:rPr>
        <w:t>李某的网页销售图片作为现有设计进行比对，但阿里巴巴网站的</w:t>
      </w:r>
      <w:r>
        <w:rPr>
          <w:spacing w:val="9"/>
        </w:rPr>
        <w:t>商家通过注册可以自主在网站上发布相关产品的信息，同时也赋</w:t>
      </w:r>
      <w:r>
        <w:rPr>
          <w:spacing w:val="9"/>
        </w:rPr>
        <w:t>予商家一定的编辑权限，允许商家根据自身需要对商品信息进行</w:t>
      </w:r>
      <w:r>
        <w:rPr>
          <w:spacing w:val="9"/>
        </w:rPr>
        <w:t>编辑和修改，商家可以对商品信息进行修改，但其评价时间及内</w:t>
      </w:r>
      <w:r>
        <w:rPr>
          <w:spacing w:val="9"/>
        </w:rPr>
        <w:t>容不会改变。本案中评价时间距离作出公证保全的时间较长，在</w:t>
      </w:r>
      <w:r>
        <w:rPr>
          <w:spacing w:val="21"/>
        </w:rPr>
        <w:t>没有证据证明合某公司证据保全时李某所发布的产品图片在其</w:t>
      </w:r>
      <w:r>
        <w:rPr>
          <w:spacing w:val="9"/>
        </w:rPr>
        <w:t>评价时间后未曾被修改的情况下，难以认定该网上显示产品图片</w:t>
      </w:r>
      <w:r>
        <w:rPr>
          <w:spacing w:val="7"/>
        </w:rPr>
        <w:t>即为作出评价时所发布的产品图片，</w:t>
      </w:r>
      <w:r>
        <w:rPr>
          <w:spacing w:val="-84"/>
        </w:rPr>
        <w:t xml:space="preserve"> </w:t>
      </w:r>
      <w:r>
        <w:rPr>
          <w:spacing w:val="7"/>
        </w:rPr>
        <w:t>由此对该图片的发布时间不</w:t>
      </w:r>
      <w:r>
        <w:rPr>
          <w:spacing w:val="5"/>
        </w:rPr>
        <w:t>能确定；虽然经合某公司申请，该院调取了李某于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2012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5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12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5"/>
        </w:rPr>
        <w:t>月</w:t>
      </w:r>
      <w:r>
        <w:rPr>
          <w:rFonts w:ascii="Times New Roman" w:hAnsi="Times New Roman" w:eastAsia="Times New Roman" w:cs="Times New Roman"/>
          <w:spacing w:val="4"/>
        </w:rPr>
        <w:t>11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4"/>
        </w:rPr>
        <w:t>日发布的产品图片的交易快照，但将该产品图片与被</w:t>
      </w:r>
      <w:r>
        <w:rPr>
          <w:spacing w:val="3"/>
        </w:rPr>
        <w:t>诉侵权产</w:t>
      </w:r>
      <w:r>
        <w:rPr>
          <w:spacing w:val="11"/>
        </w:rPr>
        <w:t>品进行比对，两者差别较大，具有明显不同的视觉</w:t>
      </w:r>
      <w:r>
        <w:rPr>
          <w:spacing w:val="10"/>
        </w:rPr>
        <w:t>效果。此外，</w:t>
      </w:r>
      <w:r>
        <w:rPr>
          <w:spacing w:val="5"/>
        </w:rPr>
        <w:t>合某公司所提交的第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</w:rPr>
        <w:t>ZL</w:t>
      </w:r>
      <w:r>
        <w:rPr>
          <w:rFonts w:ascii="Times New Roman" w:hAnsi="Times New Roman" w:eastAsia="Times New Roman" w:cs="Times New Roman"/>
          <w:spacing w:val="5"/>
        </w:rPr>
        <w:t>2012****9418.0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5"/>
        </w:rPr>
        <w:t>号专利为实用</w:t>
      </w:r>
      <w:r>
        <w:rPr>
          <w:spacing w:val="4"/>
        </w:rPr>
        <w:t>新型专利，</w:t>
      </w:r>
      <w:r>
        <w:rPr>
          <w:spacing w:val="9"/>
        </w:rPr>
        <w:t>授权公告日晚于涉案专利的申请日，相对于涉案专利而言并非现</w:t>
      </w:r>
      <w:r>
        <w:rPr>
          <w:spacing w:val="9"/>
        </w:rPr>
        <w:t>有设计，故其现有设计抗辩不能成立。关于在先使用抗辩，合某</w:t>
      </w:r>
      <w:r>
        <w:rPr>
          <w:spacing w:val="9"/>
        </w:rPr>
        <w:t>公司提出其系经伏某仿授权生产、销售被诉侵权产品，但未提供</w:t>
      </w:r>
      <w:r>
        <w:rPr>
          <w:spacing w:val="9"/>
        </w:rPr>
        <w:t>其在专利申请日前已经制造相同产品、使用相同方法或者已经作</w:t>
      </w:r>
      <w:r>
        <w:rPr>
          <w:spacing w:val="9"/>
        </w:rPr>
        <w:t>好制造、使用的必要准备，并且仅在原有范围内继续制造、使用</w:t>
      </w:r>
    </w:p>
    <w:p>
      <w:pPr>
        <w:spacing w:line="352" w:lineRule="auto"/>
        <w:sectPr>
          <w:footerReference w:type="default" r:id="rId6"/>
          <w:pgSz w:w="11907" w:h="16840"/>
          <w:pgMar w:top="1431" w:right="1222" w:bottom="1692" w:left="1653" w:header="0" w:footer="1308" w:gutter="0"/>
        </w:sectPr>
        <w:rPr/>
      </w:pP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firstLine="31"/>
        <w:spacing w:before="101" w:line="352" w:lineRule="auto"/>
        <w:rPr/>
      </w:pPr>
      <w:r>
        <w:rPr>
          <w:spacing w:val="8"/>
        </w:rPr>
        <w:t>的相关证据，且从合某公司提交的授权证书看，授权证书上显示</w:t>
      </w:r>
      <w:r>
        <w:rPr>
          <w:spacing w:val="5"/>
        </w:rPr>
        <w:t>的授权日期自</w:t>
      </w:r>
      <w:r>
        <w:rPr>
          <w:rFonts w:ascii="Times New Roman" w:hAnsi="Times New Roman" w:eastAsia="Times New Roman" w:cs="Times New Roman"/>
          <w:spacing w:val="5"/>
        </w:rPr>
        <w:t>2014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5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12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5"/>
        </w:rPr>
        <w:t>月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6</w:t>
      </w:r>
      <w:r>
        <w:rPr>
          <w:rFonts w:ascii="Times New Roman" w:hAnsi="Times New Roman" w:eastAsia="Times New Roman" w:cs="Times New Roman"/>
          <w:spacing w:val="75"/>
          <w:w w:val="101"/>
        </w:rPr>
        <w:t xml:space="preserve"> </w:t>
      </w:r>
      <w:r>
        <w:rPr>
          <w:spacing w:val="5"/>
        </w:rPr>
        <w:t>日起，晚于涉案专利申请日，故合</w:t>
      </w:r>
      <w:r>
        <w:rPr>
          <w:spacing w:val="10"/>
        </w:rPr>
        <w:t>某公司的在先使用抗辩不能成立。关于争议</w:t>
      </w:r>
      <w:r>
        <w:rPr>
          <w:spacing w:val="9"/>
        </w:rPr>
        <w:t>焦点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3</w:t>
      </w:r>
      <w:r>
        <w:rPr>
          <w:spacing w:val="9"/>
        </w:rPr>
        <w:t>。根据</w:t>
      </w:r>
      <w:r>
        <w:rPr>
          <w:spacing w:val="-102"/>
        </w:rPr>
        <w:t xml:space="preserve"> </w:t>
      </w:r>
      <w:r>
        <w:rPr>
          <w:spacing w:val="9"/>
        </w:rPr>
        <w:t>“整体</w:t>
      </w:r>
      <w:r>
        <w:rPr>
          <w:spacing w:val="9"/>
        </w:rPr>
        <w:t>观察，综合判断”原则，经比对，被诉侵权产品落入了涉案外观</w:t>
      </w:r>
      <w:r>
        <w:rPr>
          <w:spacing w:val="9"/>
        </w:rPr>
        <w:t>设计专利的保护范围。合某公司生产、销售、许诺销售的被诉侵</w:t>
      </w:r>
      <w:r>
        <w:rPr>
          <w:spacing w:val="9"/>
        </w:rPr>
        <w:t>权产品侵犯了原告的涉案专利权，需承担停止侵权、赔偿损失的</w:t>
      </w:r>
      <w:r>
        <w:rPr>
          <w:spacing w:val="7"/>
        </w:rPr>
        <w:t>民事责任。关于具体的赔偿数额，</w:t>
      </w:r>
      <w:r>
        <w:rPr>
          <w:spacing w:val="-82"/>
        </w:rPr>
        <w:t xml:space="preserve"> </w:t>
      </w:r>
      <w:r>
        <w:rPr>
          <w:spacing w:val="7"/>
        </w:rPr>
        <w:t>由于亿某公司没有提供证据证</w:t>
      </w:r>
      <w:r>
        <w:rPr>
          <w:spacing w:val="21"/>
        </w:rPr>
        <w:t>明其因侵权所受到的具体损失或合某公司因侵权所获得的具体</w:t>
      </w:r>
      <w:r>
        <w:rPr>
          <w:spacing w:val="10"/>
        </w:rPr>
        <w:t>利益，该院综合考虑合某公司的经营规模、侵权的范围、时间、</w:t>
      </w:r>
      <w:r>
        <w:rPr>
          <w:spacing w:val="9"/>
        </w:rPr>
        <w:t>性质以及涉案专利权的类别、维权的合理费用等因素，酌情确定</w:t>
      </w:r>
      <w:r>
        <w:rPr>
          <w:spacing w:val="7"/>
        </w:rPr>
        <w:t>赔偿数额为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80000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7"/>
        </w:rPr>
        <w:t>元。关于亿某公司要求合某公司收回并销毁所</w:t>
      </w:r>
      <w:r>
        <w:rPr>
          <w:spacing w:val="11"/>
        </w:rPr>
        <w:t>有侵权产品及销毁制造侵权产品的模具并消除影响的诉</w:t>
      </w:r>
      <w:r>
        <w:rPr>
          <w:spacing w:val="10"/>
        </w:rPr>
        <w:t>讼请求，</w:t>
      </w:r>
      <w:r>
        <w:rPr>
          <w:spacing w:val="9"/>
        </w:rPr>
        <w:t>缺乏事实与法律依据，不予支持。综上，依照《中华人民共和中</w:t>
      </w:r>
      <w:r>
        <w:rPr>
          <w:spacing w:val="13"/>
        </w:rPr>
        <w:t>国民法通则》</w:t>
      </w:r>
      <w:r>
        <w:rPr>
          <w:spacing w:val="66"/>
        </w:rPr>
        <w:t xml:space="preserve"> </w:t>
      </w:r>
      <w:r>
        <w:rPr>
          <w:spacing w:val="13"/>
        </w:rPr>
        <w:t>第一百一十八条，《中华人民共和中国专利法》</w:t>
      </w:r>
      <w:r>
        <w:rPr>
          <w:spacing w:val="2"/>
        </w:rPr>
        <w:t>第十一条第二款、第五十九条第二款、第六十二条、第六</w:t>
      </w:r>
      <w:r>
        <w:rPr>
          <w:spacing w:val="1"/>
        </w:rPr>
        <w:t>十五条、</w:t>
      </w:r>
      <w:r>
        <w:rPr>
          <w:spacing w:val="9"/>
        </w:rPr>
        <w:t>第六十九条，《最高人民法院关于审理侵犯专利权纠纷案件应用</w:t>
      </w:r>
      <w:r>
        <w:rPr>
          <w:spacing w:val="9"/>
        </w:rPr>
        <w:t>法律若干问题的解释》第八条、第十一条，《最高人民法院关于</w:t>
      </w:r>
      <w:r>
        <w:rPr>
          <w:spacing w:val="14"/>
        </w:rPr>
        <w:t>民事诉讼证据的若干规定》第二条之规定，该院于</w:t>
      </w:r>
      <w:r>
        <w:rPr>
          <w:rFonts w:ascii="Times New Roman" w:hAnsi="Times New Roman" w:eastAsia="Times New Roman" w:cs="Times New Roman"/>
          <w:spacing w:val="14"/>
        </w:rPr>
        <w:t>2018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14"/>
        </w:rPr>
        <w:t>年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14"/>
        </w:rPr>
        <w:t>6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14"/>
        </w:rPr>
        <w:t>月</w:t>
      </w:r>
      <w:r>
        <w:rPr>
          <w:rFonts w:ascii="Times New Roman" w:hAnsi="Times New Roman" w:eastAsia="Times New Roman" w:cs="Times New Roman"/>
          <w:spacing w:val="4"/>
        </w:rPr>
        <w:t>19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4"/>
        </w:rPr>
        <w:t>日判决：一、合某公司立即停止生产、销售、许诺销售侵</w:t>
      </w:r>
      <w:r>
        <w:rPr>
          <w:spacing w:val="3"/>
        </w:rPr>
        <w:t>犯亿</w:t>
      </w:r>
      <w:r>
        <w:rPr>
          <w:spacing w:val="11"/>
        </w:rPr>
        <w:t>某公司专利号为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>ZL</w:t>
      </w:r>
      <w:r>
        <w:rPr>
          <w:rFonts w:ascii="Times New Roman" w:hAnsi="Times New Roman" w:eastAsia="Times New Roman" w:cs="Times New Roman"/>
          <w:spacing w:val="11"/>
        </w:rPr>
        <w:t>2012****2930.2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11"/>
        </w:rPr>
        <w:t>的外观设计专利权的产品的</w:t>
      </w:r>
      <w:r>
        <w:rPr>
          <w:spacing w:val="9"/>
        </w:rPr>
        <w:t>行为；二、合某公司于判决生效之日起十日内赔偿亿某公司经济</w:t>
      </w:r>
      <w:r>
        <w:rPr>
          <w:spacing w:val="6"/>
        </w:rPr>
        <w:t>损失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80000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6"/>
        </w:rPr>
        <w:t>元（含为制止侵权而支出的</w:t>
      </w:r>
      <w:r>
        <w:rPr>
          <w:spacing w:val="5"/>
        </w:rPr>
        <w:t>合理费用</w:t>
      </w:r>
      <w:r>
        <w:rPr>
          <w:spacing w:val="28"/>
        </w:rPr>
        <w:t>）；</w:t>
      </w:r>
      <w:r>
        <w:rPr>
          <w:spacing w:val="5"/>
        </w:rPr>
        <w:t>三、驳回亿</w:t>
      </w:r>
    </w:p>
    <w:p>
      <w:pPr>
        <w:spacing w:line="352" w:lineRule="auto"/>
        <w:sectPr>
          <w:footerReference w:type="default" r:id="rId7"/>
          <w:pgSz w:w="11907" w:h="16840"/>
          <w:pgMar w:top="1431" w:right="1208" w:bottom="1692" w:left="1652" w:header="0" w:footer="1308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pStyle w:val="BodyText"/>
        <w:ind w:left="12" w:firstLine="2"/>
        <w:spacing w:before="101" w:line="352" w:lineRule="auto"/>
        <w:jc w:val="both"/>
        <w:rPr/>
      </w:pPr>
      <w:r>
        <w:rPr>
          <w:spacing w:val="9"/>
        </w:rPr>
        <w:t>某公司的其他诉讼请求。如未按判决指定的期间履行给付金钱义</w:t>
      </w:r>
      <w:r>
        <w:rPr>
          <w:spacing w:val="9"/>
        </w:rPr>
        <w:t>务，应当依照《中华人民共和中国民事诉讼法》第二百五十三条</w:t>
      </w:r>
      <w:r>
        <w:rPr>
          <w:spacing w:val="16"/>
        </w:rPr>
        <w:t>之规定，加倍支付迟延履行期间的债务利息。案件受理费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16"/>
        </w:rPr>
        <w:t>2752</w:t>
      </w:r>
      <w:r>
        <w:rPr>
          <w:spacing w:val="4"/>
        </w:rPr>
        <w:t>元，财产保全费</w:t>
      </w:r>
      <w:r>
        <w:rPr>
          <w:spacing w:val="-20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1020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4"/>
        </w:rPr>
        <w:t>元，证据保全费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30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4"/>
        </w:rPr>
        <w:t>元，共计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3802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4"/>
        </w:rPr>
        <w:t>元，</w:t>
      </w:r>
      <w:r>
        <w:rPr>
          <w:spacing w:val="-79"/>
        </w:rPr>
        <w:t xml:space="preserve"> </w:t>
      </w:r>
      <w:r>
        <w:rPr>
          <w:spacing w:val="4"/>
        </w:rPr>
        <w:t>由</w:t>
      </w:r>
      <w:r>
        <w:rPr>
          <w:spacing w:val="7"/>
        </w:rPr>
        <w:t>亿某公司承担</w:t>
      </w:r>
      <w:r>
        <w:rPr>
          <w:rFonts w:ascii="Times New Roman" w:hAnsi="Times New Roman" w:eastAsia="Times New Roman" w:cs="Times New Roman"/>
          <w:spacing w:val="7"/>
        </w:rPr>
        <w:t>478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7"/>
        </w:rPr>
        <w:t>元，合某公司承担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3324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7"/>
        </w:rPr>
        <w:t>元。</w:t>
      </w:r>
    </w:p>
    <w:p>
      <w:pPr>
        <w:pStyle w:val="BodyText"/>
        <w:ind w:firstLine="634"/>
        <w:spacing w:before="2" w:line="353" w:lineRule="auto"/>
        <w:rPr/>
      </w:pPr>
      <w:r>
        <w:rPr>
          <w:spacing w:val="10"/>
        </w:rPr>
        <w:t>二审中，各方当事人均未向本院提交新的证</w:t>
      </w:r>
      <w:r>
        <w:rPr>
          <w:spacing w:val="9"/>
        </w:rPr>
        <w:t>据。本院二审查</w:t>
      </w:r>
      <w:r>
        <w:rPr>
          <w:spacing w:val="9"/>
        </w:rPr>
        <w:t>明的事实与一审判决认定的事实一致。根据合某公司的上诉请求</w:t>
      </w:r>
      <w:r>
        <w:rPr>
          <w:spacing w:val="9"/>
        </w:rPr>
        <w:t>和理由以及亿某公司的答辩意见，本案二审的争议焦点为：一、</w:t>
      </w:r>
      <w:r>
        <w:rPr>
          <w:spacing w:val="9"/>
        </w:rPr>
        <w:t>合某公司是否是被诉侵权产品的制造者。二、合某公司的现有设</w:t>
      </w:r>
      <w:r>
        <w:rPr>
          <w:spacing w:val="7"/>
        </w:rPr>
        <w:t>计抗辩及抵触申请抗辩是否成立。</w:t>
      </w:r>
      <w:r>
        <w:rPr>
          <w:spacing w:val="-83"/>
        </w:rPr>
        <w:t xml:space="preserve"> </w:t>
      </w:r>
      <w:r>
        <w:rPr>
          <w:spacing w:val="7"/>
        </w:rPr>
        <w:t>三、一审判决确定的赔偿金额</w:t>
      </w:r>
      <w:r>
        <w:rPr>
          <w:spacing w:val="6"/>
        </w:rPr>
        <w:t>是否适当。</w:t>
      </w:r>
    </w:p>
    <w:p>
      <w:pPr>
        <w:pStyle w:val="BodyText"/>
        <w:ind w:firstLine="631"/>
        <w:spacing w:before="9" w:line="349" w:lineRule="auto"/>
        <w:jc w:val="both"/>
        <w:rPr/>
      </w:pPr>
      <w:r>
        <w:rPr>
          <w:spacing w:val="10"/>
        </w:rPr>
        <w:t>关于争议焦点一，根据查明的事实，合某公司通过其</w:t>
      </w:r>
      <w:r>
        <w:rPr>
          <w:spacing w:val="9"/>
        </w:rPr>
        <w:t>经营的</w:t>
      </w:r>
      <w:r>
        <w:rPr>
          <w:spacing w:val="10"/>
        </w:rPr>
        <w:t>网店以及线下销售被诉侵权产品，一审法院</w:t>
      </w:r>
      <w:r>
        <w:rPr>
          <w:spacing w:val="9"/>
        </w:rPr>
        <w:t>在合某公司亦保全到</w:t>
      </w:r>
      <w:r>
        <w:rPr>
          <w:spacing w:val="10"/>
        </w:rPr>
        <w:t>被诉侵权产品，上述产品外观和产品型号均</w:t>
      </w:r>
      <w:r>
        <w:rPr>
          <w:spacing w:val="9"/>
        </w:rPr>
        <w:t>一致；被诉侵权产品</w:t>
      </w:r>
      <w:r>
        <w:rPr>
          <w:spacing w:val="7"/>
        </w:rPr>
        <w:t>上标注的</w:t>
      </w:r>
      <w:r>
        <w:rPr>
          <w:spacing w:val="-105"/>
        </w:rPr>
        <w:t xml:space="preserve"> </w:t>
      </w:r>
      <w:r>
        <w:rPr>
          <w:spacing w:val="7"/>
        </w:rPr>
        <w:t>“</w:t>
      </w:r>
      <w:r>
        <w:rPr>
          <w:spacing w:val="-121"/>
        </w:rPr>
        <w:t xml:space="preserve"> </w:t>
      </w:r>
      <w:r>
        <w:rPr>
          <w:spacing w:val="7"/>
        </w:rPr>
        <w:t>思美达”商标系合某公司所有，</w:t>
      </w:r>
      <w:r>
        <w:rPr>
          <w:spacing w:val="6"/>
        </w:rPr>
        <w:t>该商标具有识别商品</w:t>
      </w:r>
      <w:r>
        <w:rPr>
          <w:spacing w:val="10"/>
        </w:rPr>
        <w:t>来源的功能，表明该产品来源于合某公司；</w:t>
      </w:r>
      <w:r>
        <w:rPr>
          <w:spacing w:val="9"/>
        </w:rPr>
        <w:t>结合合某公司的经营</w:t>
      </w:r>
      <w:r>
        <w:rPr>
          <w:spacing w:val="10"/>
        </w:rPr>
        <w:t>范围及其在网店中的宣传，一审法院认定被</w:t>
      </w:r>
      <w:r>
        <w:rPr>
          <w:spacing w:val="9"/>
        </w:rPr>
        <w:t>诉侵权产品由合某公</w:t>
      </w:r>
      <w:r>
        <w:rPr>
          <w:spacing w:val="21"/>
        </w:rPr>
        <w:t>司生产制造于法有据。合某公司辩称被诉侵权产品购自亿某公</w:t>
      </w:r>
      <w:r>
        <w:rPr>
          <w:spacing w:val="10"/>
        </w:rPr>
        <w:t>司，但未提交证据证明其主张，且合某公司</w:t>
      </w:r>
      <w:r>
        <w:rPr>
          <w:spacing w:val="9"/>
        </w:rPr>
        <w:t>销售价格明显低于亿</w:t>
      </w:r>
      <w:r>
        <w:rPr>
          <w:spacing w:val="10"/>
        </w:rPr>
        <w:t>某公司的产品售价，有悖于正常的交易习惯</w:t>
      </w:r>
      <w:r>
        <w:rPr>
          <w:spacing w:val="9"/>
        </w:rPr>
        <w:t>，合某公司的该项抗</w:t>
      </w:r>
      <w:r>
        <w:rPr>
          <w:spacing w:val="6"/>
        </w:rPr>
        <w:t>辩不能成立。</w:t>
      </w:r>
    </w:p>
    <w:p>
      <w:pPr>
        <w:pStyle w:val="BodyText"/>
        <w:ind w:right="2"/>
        <w:spacing w:line="418" w:lineRule="exact"/>
        <w:jc w:val="right"/>
        <w:rPr/>
      </w:pPr>
      <w:r>
        <w:rPr>
          <w:spacing w:val="16"/>
          <w:position w:val="2"/>
        </w:rPr>
        <w:t>关于争议焦点二，合某公司主张（</w:t>
      </w:r>
      <w:r>
        <w:rPr>
          <w:spacing w:val="-80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16"/>
          <w:position w:val="2"/>
        </w:rPr>
        <w:t>2015</w:t>
      </w:r>
      <w:r>
        <w:rPr>
          <w:rFonts w:ascii="Times New Roman" w:hAnsi="Times New Roman" w:eastAsia="Times New Roman" w:cs="Times New Roman"/>
          <w:spacing w:val="-18"/>
          <w:position w:val="2"/>
        </w:rPr>
        <w:t xml:space="preserve"> </w:t>
      </w:r>
      <w:r>
        <w:rPr>
          <w:spacing w:val="16"/>
          <w:position w:val="2"/>
        </w:rPr>
        <w:t>）浙杭钱证内字第</w:t>
      </w:r>
    </w:p>
    <w:p>
      <w:pPr>
        <w:spacing w:line="418" w:lineRule="exact"/>
        <w:sectPr>
          <w:footerReference w:type="default" r:id="rId8"/>
          <w:pgSz w:w="11907" w:h="16840"/>
          <w:pgMar w:top="1431" w:right="1303" w:bottom="1692" w:left="1650" w:header="0" w:footer="1308" w:gutter="0"/>
        </w:sectPr>
        <w:rPr/>
      </w:pP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4" w:hanging="4"/>
        <w:spacing w:before="101" w:line="354" w:lineRule="auto"/>
        <w:jc w:val="both"/>
        <w:rPr/>
      </w:pPr>
      <w:r>
        <w:rPr>
          <w:rFonts w:ascii="Times New Roman" w:hAnsi="Times New Roman" w:eastAsia="Times New Roman" w:cs="Times New Roman"/>
          <w:spacing w:val="10"/>
        </w:rPr>
        <w:t>21668</w:t>
      </w:r>
      <w:r>
        <w:rPr>
          <w:rFonts w:ascii="Times New Roman" w:hAnsi="Times New Roman" w:eastAsia="Times New Roman" w:cs="Times New Roman"/>
          <w:spacing w:val="46"/>
        </w:rPr>
        <w:t xml:space="preserve"> </w:t>
      </w:r>
      <w:r>
        <w:rPr>
          <w:spacing w:val="10"/>
        </w:rPr>
        <w:t>号公证书中李某经营的阿里巴巴网店中销售的商品早于涉</w:t>
      </w:r>
      <w:r>
        <w:rPr>
          <w:spacing w:val="9"/>
        </w:rPr>
        <w:t>案专利申请日，外观与涉案专利构成近似，属于现有设计。本院</w:t>
      </w:r>
      <w:r>
        <w:rPr>
          <w:spacing w:val="7"/>
        </w:rPr>
        <w:t>认为，</w:t>
      </w:r>
      <w:r>
        <w:rPr>
          <w:spacing w:val="-85"/>
        </w:rPr>
        <w:t xml:space="preserve"> </w:t>
      </w:r>
      <w:r>
        <w:rPr>
          <w:spacing w:val="7"/>
        </w:rPr>
        <w:t>由于网店页面的可编辑性，商品以往的评价与公证保全时</w:t>
      </w:r>
      <w:r>
        <w:rPr>
          <w:spacing w:val="9"/>
        </w:rPr>
        <w:t>网页显示的在售商品并非完全一致。一审法院调取了李某</w:t>
      </w:r>
      <w:r>
        <w:rPr>
          <w:spacing w:val="8"/>
        </w:rPr>
        <w:t>于</w:t>
      </w:r>
      <w:r>
        <w:rPr>
          <w:rFonts w:ascii="Times New Roman" w:hAnsi="Times New Roman" w:eastAsia="Times New Roman" w:cs="Times New Roman"/>
          <w:spacing w:val="8"/>
        </w:rPr>
        <w:t>2012</w:t>
      </w:r>
      <w:r>
        <w:rPr>
          <w:spacing w:val="2"/>
        </w:rPr>
        <w:t>年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12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2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11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2"/>
        </w:rPr>
        <w:t>日在其网店发布的商品图片的交易快照，将该快照商</w:t>
      </w:r>
      <w:r>
        <w:rPr>
          <w:spacing w:val="21"/>
        </w:rPr>
        <w:t>品图片与被诉侵权设计和涉案专利相对比，均存在明显视觉差</w:t>
      </w:r>
      <w:r>
        <w:rPr>
          <w:spacing w:val="7"/>
        </w:rPr>
        <w:t>异，故合某公司的现有设计抗辩证据不足，不能成立。</w:t>
      </w:r>
      <w:r>
        <w:rPr>
          <w:spacing w:val="-87"/>
        </w:rPr>
        <w:t xml:space="preserve"> </w:t>
      </w:r>
      <w:r>
        <w:rPr>
          <w:spacing w:val="7"/>
        </w:rPr>
        <w:t>至于合某</w:t>
      </w:r>
      <w:r>
        <w:rPr>
          <w:spacing w:val="7"/>
        </w:rPr>
        <w:t>公司提交的第</w:t>
      </w:r>
      <w:r>
        <w:rPr>
          <w:rFonts w:ascii="Times New Roman" w:hAnsi="Times New Roman" w:eastAsia="Times New Roman" w:cs="Times New Roman"/>
          <w:spacing w:val="7"/>
        </w:rPr>
        <w:t>2012****9418.0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7"/>
        </w:rPr>
        <w:t>号专利，由</w:t>
      </w:r>
      <w:r>
        <w:rPr>
          <w:spacing w:val="6"/>
        </w:rPr>
        <w:t>于系实用新型专利，不</w:t>
      </w:r>
      <w:r>
        <w:rPr>
          <w:spacing w:val="9"/>
        </w:rPr>
        <w:t>能作为涉案专利的抵触申请，且该专利附图仅有一面视图，无法</w:t>
      </w:r>
      <w:r>
        <w:rPr>
          <w:spacing w:val="9"/>
        </w:rPr>
        <w:t>认定与涉案专利设计是否构成近似，不能证明涉案专利在申请日</w:t>
      </w:r>
      <w:r>
        <w:rPr>
          <w:spacing w:val="9"/>
        </w:rPr>
        <w:t>之前已经公开过，合某公司的抵触申请抗辩亦不能成立。关于合</w:t>
      </w:r>
      <w:r>
        <w:rPr>
          <w:spacing w:val="9"/>
        </w:rPr>
        <w:t>某公司是否根据伏某仿的授权制造、销售被诉侵权产品，并不影</w:t>
      </w:r>
      <w:r>
        <w:rPr>
          <w:spacing w:val="8"/>
        </w:rPr>
        <w:t>响合某公司本案中的侵权责任认定。</w:t>
      </w:r>
    </w:p>
    <w:p>
      <w:pPr>
        <w:pStyle w:val="BodyText"/>
        <w:ind w:left="5" w:firstLine="625"/>
        <w:spacing w:before="23" w:line="353" w:lineRule="auto"/>
        <w:jc w:val="both"/>
        <w:rPr/>
      </w:pPr>
      <w:r>
        <w:rPr>
          <w:spacing w:val="10"/>
        </w:rPr>
        <w:t>关于争议焦点三，关于侵权赔偿数额，亿某公司没有</w:t>
      </w:r>
      <w:r>
        <w:rPr>
          <w:spacing w:val="9"/>
        </w:rPr>
        <w:t>提供证</w:t>
      </w:r>
      <w:r>
        <w:rPr>
          <w:spacing w:val="9"/>
        </w:rPr>
        <w:t>据证明其因侵权所受到的损失或合某公司因侵权获得的利益，主</w:t>
      </w:r>
      <w:r>
        <w:rPr>
          <w:spacing w:val="9"/>
        </w:rPr>
        <w:t>张适用法定赔偿。考虑到合某公司实施了制造、销售、许诺销售</w:t>
      </w:r>
      <w:r>
        <w:rPr>
          <w:spacing w:val="9"/>
        </w:rPr>
        <w:t>行为；销售渠道包括网店销售和线下销售，侵权范围较广；结合</w:t>
      </w:r>
      <w:r>
        <w:rPr>
          <w:spacing w:val="9"/>
        </w:rPr>
        <w:t>合某公司的经营规模、涉案专利权的类别、亿某公司维权的合理</w:t>
      </w:r>
      <w:r>
        <w:rPr>
          <w:spacing w:val="7"/>
        </w:rPr>
        <w:t>费用等因素，一审法院酌情确定赔偿数额为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>8000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6"/>
        </w:rPr>
        <w:t>元并无不当。</w:t>
      </w:r>
    </w:p>
    <w:p>
      <w:pPr>
        <w:pStyle w:val="BodyText"/>
        <w:ind w:left="19" w:firstLine="612"/>
        <w:spacing w:before="2" w:line="349" w:lineRule="auto"/>
        <w:jc w:val="both"/>
        <w:rPr/>
      </w:pPr>
      <w:r>
        <w:rPr>
          <w:spacing w:val="10"/>
        </w:rPr>
        <w:t>综上，合某公司的上诉理由不能成立，对其上诉请求本院不</w:t>
      </w:r>
      <w:r>
        <w:rPr>
          <w:spacing w:val="9"/>
        </w:rPr>
        <w:t>予支持。一审判决认定事实清楚，适用法律正确，应予维持。依</w:t>
      </w:r>
      <w:r>
        <w:rPr>
          <w:spacing w:val="9"/>
        </w:rPr>
        <w:t>照《中华人民共和中国民事诉讼法》第一百七十条第一款第一项</w:t>
      </w:r>
    </w:p>
    <w:p>
      <w:pPr>
        <w:spacing w:line="349" w:lineRule="auto"/>
        <w:sectPr>
          <w:footerReference w:type="default" r:id="rId9"/>
          <w:pgSz w:w="11907" w:h="16840"/>
          <w:pgMar w:top="1431" w:right="1303" w:bottom="1692" w:left="1650" w:header="0" w:footer="1308" w:gutter="0"/>
        </w:sectPr>
        <w:rPr/>
      </w:pP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01" w:line="222" w:lineRule="auto"/>
        <w:rPr/>
      </w:pPr>
      <w:r>
        <w:rPr>
          <w:spacing w:val="6"/>
        </w:rPr>
        <w:t>之规定，判决如下：</w:t>
      </w:r>
    </w:p>
    <w:p>
      <w:pPr>
        <w:pStyle w:val="BodyText"/>
        <w:ind w:left="619"/>
        <w:spacing w:before="218" w:line="222" w:lineRule="auto"/>
        <w:rPr/>
      </w:pPr>
      <w:r>
        <w:rPr>
          <w:spacing w:val="6"/>
        </w:rPr>
        <w:t>驳回上诉，维持原判。</w:t>
      </w:r>
    </w:p>
    <w:p>
      <w:pPr>
        <w:pStyle w:val="BodyText"/>
        <w:ind w:left="612" w:firstLine="17"/>
        <w:spacing w:before="172" w:line="344" w:lineRule="auto"/>
        <w:rPr/>
      </w:pPr>
      <w:r>
        <w:rPr>
          <w:spacing w:val="1"/>
        </w:rPr>
        <w:t>二审案件受理费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1800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1"/>
        </w:rPr>
        <w:t>元，</w:t>
      </w:r>
      <w:r>
        <w:rPr>
          <w:spacing w:val="-84"/>
        </w:rPr>
        <w:t xml:space="preserve"> </w:t>
      </w:r>
      <w:r>
        <w:rPr>
          <w:spacing w:val="1"/>
        </w:rPr>
        <w:t>由金华市合某电器</w:t>
      </w:r>
      <w:r>
        <w:rPr/>
        <w:t>有限公司负担。</w:t>
      </w:r>
      <w:r>
        <w:rPr>
          <w:spacing w:val="7"/>
        </w:rPr>
        <w:t>本判决为终审判决。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ind w:left="4362"/>
        <w:spacing w:before="101" w:line="222" w:lineRule="auto"/>
        <w:rPr/>
      </w:pPr>
      <w:r>
        <w:rPr>
          <w:spacing w:val="-7"/>
        </w:rPr>
        <w:t>审</w:t>
      </w:r>
      <w:r>
        <w:rPr>
          <w:spacing w:val="8"/>
        </w:rPr>
        <w:t xml:space="preserve">  </w:t>
      </w:r>
      <w:r>
        <w:rPr>
          <w:spacing w:val="-7"/>
        </w:rPr>
        <w:t>判</w:t>
      </w:r>
      <w:r>
        <w:rPr>
          <w:spacing w:val="-7"/>
        </w:rPr>
        <w:t xml:space="preserve">  </w:t>
      </w:r>
      <w:r>
        <w:rPr>
          <w:spacing w:val="-7"/>
        </w:rPr>
        <w:t>长</w:t>
      </w:r>
      <w:r>
        <w:rPr/>
        <w:t xml:space="preserve">    </w:t>
      </w:r>
      <w:r>
        <w:rPr>
          <w:spacing w:val="-7"/>
        </w:rPr>
        <w:t>周</w:t>
      </w:r>
      <w:r>
        <w:rPr>
          <w:spacing w:val="1"/>
        </w:rPr>
        <w:t xml:space="preserve">      </w:t>
      </w:r>
      <w:r>
        <w:rPr>
          <w:spacing w:val="-7"/>
        </w:rPr>
        <w:t>平</w:t>
      </w:r>
    </w:p>
    <w:p>
      <w:pPr>
        <w:pStyle w:val="BodyText"/>
        <w:ind w:left="4362"/>
        <w:spacing w:before="220" w:line="222" w:lineRule="auto"/>
        <w:rPr/>
      </w:pPr>
      <w:r>
        <w:rPr>
          <w:spacing w:val="-21"/>
        </w:rPr>
        <w:t>审</w:t>
      </w:r>
      <w:r>
        <w:rPr>
          <w:spacing w:val="7"/>
        </w:rPr>
        <w:t xml:space="preserve">  </w:t>
      </w:r>
      <w:r>
        <w:rPr>
          <w:spacing w:val="-21"/>
        </w:rPr>
        <w:t>判</w:t>
      </w:r>
      <w:r>
        <w:rPr>
          <w:spacing w:val="13"/>
        </w:rPr>
        <w:t xml:space="preserve">  </w:t>
      </w:r>
      <w:r>
        <w:rPr>
          <w:spacing w:val="-21"/>
        </w:rPr>
        <w:t>员</w:t>
      </w:r>
      <w:r>
        <w:rPr>
          <w:spacing w:val="8"/>
        </w:rPr>
        <w:t xml:space="preserve">    </w:t>
      </w:r>
      <w:r>
        <w:rPr>
          <w:spacing w:val="-21"/>
        </w:rPr>
        <w:t>陈</w:t>
      </w:r>
      <w:r>
        <w:rPr>
          <w:spacing w:val="1"/>
        </w:rPr>
        <w:t xml:space="preserve">      </w:t>
      </w:r>
      <w:r>
        <w:rPr>
          <w:spacing w:val="-21"/>
        </w:rPr>
        <w:t>为</w:t>
      </w:r>
    </w:p>
    <w:p>
      <w:pPr>
        <w:pStyle w:val="BodyText"/>
        <w:ind w:left="4362"/>
        <w:spacing w:before="221" w:line="222" w:lineRule="auto"/>
        <w:rPr/>
      </w:pPr>
      <w:r>
        <w:rPr>
          <w:spacing w:val="-16"/>
        </w:rPr>
        <w:t>审</w:t>
      </w:r>
      <w:r>
        <w:rPr>
          <w:spacing w:val="7"/>
        </w:rPr>
        <w:t xml:space="preserve">  </w:t>
      </w:r>
      <w:r>
        <w:rPr>
          <w:spacing w:val="-16"/>
        </w:rPr>
        <w:t>判</w:t>
      </w:r>
      <w:r>
        <w:rPr>
          <w:spacing w:val="14"/>
        </w:rPr>
        <w:t xml:space="preserve">  </w:t>
      </w:r>
      <w:r>
        <w:rPr>
          <w:spacing w:val="-16"/>
        </w:rPr>
        <w:t>员</w:t>
      </w:r>
      <w:r>
        <w:rPr>
          <w:spacing w:val="3"/>
        </w:rPr>
        <w:t xml:space="preserve">    </w:t>
      </w:r>
      <w:r>
        <w:rPr>
          <w:spacing w:val="-16"/>
        </w:rPr>
        <w:t>郭</w:t>
      </w:r>
      <w:r>
        <w:rPr>
          <w:spacing w:val="5"/>
        </w:rPr>
        <w:t xml:space="preserve">  </w:t>
      </w:r>
      <w:r>
        <w:rPr>
          <w:spacing w:val="-16"/>
        </w:rPr>
        <w:t>剑</w:t>
      </w:r>
      <w:r>
        <w:rPr>
          <w:spacing w:val="15"/>
        </w:rPr>
        <w:t xml:space="preserve">  </w:t>
      </w:r>
      <w:r>
        <w:rPr>
          <w:spacing w:val="-16"/>
        </w:rPr>
        <w:t>霞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4306"/>
        <w:spacing w:before="101" w:line="222" w:lineRule="auto"/>
        <w:rPr/>
      </w:pPr>
      <w:r>
        <w:rPr>
          <w:spacing w:val="14"/>
        </w:rPr>
        <w:t>二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14"/>
        </w:rPr>
        <w:t>O</w:t>
      </w:r>
      <w:r>
        <w:rPr>
          <w:rFonts w:ascii="Times New Roman" w:hAnsi="Times New Roman" w:eastAsia="Times New Roman" w:cs="Times New Roman"/>
          <w:spacing w:val="49"/>
        </w:rPr>
        <w:t xml:space="preserve"> </w:t>
      </w:r>
      <w:r>
        <w:rPr>
          <w:spacing w:val="14"/>
        </w:rPr>
        <w:t>一八年八月二十七日</w:t>
      </w:r>
    </w:p>
    <w:p>
      <w:pPr>
        <w:pStyle w:val="BodyText"/>
        <w:spacing w:before="228" w:line="222" w:lineRule="auto"/>
        <w:rPr/>
      </w:pPr>
      <w:r>
        <w:rPr>
          <w:spacing w:val="-1"/>
        </w:rPr>
        <w:t>本件与原本核对无异</w:t>
      </w:r>
    </w:p>
    <w:p>
      <w:pPr>
        <w:pStyle w:val="BodyText"/>
        <w:ind w:left="4503"/>
        <w:spacing w:before="226" w:line="220" w:lineRule="auto"/>
        <w:rPr/>
      </w:pPr>
      <w:r>
        <w:rPr>
          <w:spacing w:val="-11"/>
        </w:rPr>
        <w:t>书</w:t>
      </w:r>
      <w:r>
        <w:rPr>
          <w:spacing w:val="-11"/>
        </w:rPr>
        <w:t xml:space="preserve">  </w:t>
      </w:r>
      <w:r>
        <w:rPr>
          <w:spacing w:val="-11"/>
        </w:rPr>
        <w:t>记</w:t>
      </w:r>
      <w:r>
        <w:rPr>
          <w:spacing w:val="7"/>
        </w:rPr>
        <w:t xml:space="preserve">  </w:t>
      </w:r>
      <w:r>
        <w:rPr>
          <w:spacing w:val="-11"/>
        </w:rPr>
        <w:t>员</w:t>
      </w:r>
      <w:r>
        <w:rPr>
          <w:spacing w:val="5"/>
        </w:rPr>
        <w:t xml:space="preserve">    </w:t>
      </w:r>
      <w:r>
        <w:rPr>
          <w:spacing w:val="-11"/>
        </w:rPr>
        <w:t>王</w:t>
      </w:r>
      <w:r>
        <w:rPr>
          <w:spacing w:val="5"/>
        </w:rPr>
        <w:t xml:space="preserve">  </w:t>
      </w:r>
      <w:r>
        <w:rPr>
          <w:spacing w:val="-11"/>
        </w:rPr>
        <w:t>莉</w:t>
      </w:r>
      <w:r>
        <w:rPr>
          <w:spacing w:val="5"/>
        </w:rPr>
        <w:t xml:space="preserve">  </w:t>
      </w:r>
      <w:r>
        <w:rPr>
          <w:spacing w:val="-11"/>
        </w:rPr>
        <w:t>莉</w:t>
      </w:r>
    </w:p>
    <w:sectPr>
      <w:footerReference w:type="default" r:id="rId10"/>
      <w:pgSz w:w="11907" w:h="16840"/>
      <w:pgMar w:top="1431" w:right="1241" w:bottom="1692" w:left="1656" w:header="0" w:footer="13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Zhongsong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937"/>
      <w:spacing w:line="231" w:lineRule="auto"/>
      <w:rPr>
        <w:sz w:val="30"/>
        <w:szCs w:val="30"/>
      </w:rPr>
    </w:pPr>
    <w:r>
      <w:rPr>
        <w:sz w:val="30"/>
        <w:szCs w:val="30"/>
        <w:spacing w:val="-55"/>
      </w:rPr>
      <w:t>·</w:t>
    </w:r>
    <w:r>
      <w:rPr>
        <w:sz w:val="30"/>
        <w:szCs w:val="30"/>
        <w:spacing w:val="-118"/>
      </w:rPr>
      <w:t xml:space="preserve"> </w:t>
    </w:r>
    <w:r>
      <w:rPr>
        <w:sz w:val="30"/>
        <w:szCs w:val="30"/>
        <w:spacing w:val="-55"/>
      </w:rPr>
      <w:t>1</w:t>
    </w:r>
    <w:r>
      <w:rPr>
        <w:sz w:val="30"/>
        <w:szCs w:val="30"/>
        <w:spacing w:val="-20"/>
      </w:rPr>
      <w:t xml:space="preserve"> </w:t>
    </w:r>
    <w:r>
      <w:rPr>
        <w:sz w:val="30"/>
        <w:szCs w:val="30"/>
        <w:spacing w:val="-55"/>
      </w:rPr>
      <w:t>·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22"/>
      <w:spacing w:line="231" w:lineRule="auto"/>
      <w:rPr>
        <w:sz w:val="30"/>
        <w:szCs w:val="30"/>
      </w:rPr>
    </w:pPr>
    <w:r>
      <w:rPr>
        <w:sz w:val="30"/>
        <w:szCs w:val="30"/>
        <w:spacing w:val="-52"/>
      </w:rPr>
      <w:t>·</w:t>
    </w:r>
    <w:r>
      <w:rPr>
        <w:sz w:val="30"/>
        <w:szCs w:val="30"/>
        <w:spacing w:val="-127"/>
      </w:rPr>
      <w:t xml:space="preserve"> </w:t>
    </w:r>
    <w:r>
      <w:rPr>
        <w:sz w:val="30"/>
        <w:szCs w:val="30"/>
        <w:spacing w:val="-52"/>
      </w:rPr>
      <w:t>2</w:t>
    </w:r>
    <w:r>
      <w:rPr>
        <w:sz w:val="30"/>
        <w:szCs w:val="30"/>
        <w:spacing w:val="-17"/>
      </w:rPr>
      <w:t xml:space="preserve"> </w:t>
    </w:r>
    <w:r>
      <w:rPr>
        <w:sz w:val="30"/>
        <w:szCs w:val="30"/>
        <w:spacing w:val="-52"/>
      </w:rPr>
      <w:t>·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936"/>
      <w:spacing w:before="1" w:line="229" w:lineRule="auto"/>
      <w:rPr>
        <w:sz w:val="30"/>
        <w:szCs w:val="30"/>
      </w:rPr>
    </w:pPr>
    <w:r>
      <w:rPr>
        <w:sz w:val="30"/>
        <w:szCs w:val="30"/>
        <w:spacing w:val="-56"/>
      </w:rPr>
      <w:t>·</w:t>
    </w:r>
    <w:r>
      <w:rPr>
        <w:sz w:val="30"/>
        <w:szCs w:val="30"/>
        <w:spacing w:val="-115"/>
      </w:rPr>
      <w:t xml:space="preserve"> </w:t>
    </w:r>
    <w:r>
      <w:rPr>
        <w:sz w:val="30"/>
        <w:szCs w:val="30"/>
        <w:spacing w:val="-56"/>
      </w:rPr>
      <w:t>3</w:t>
    </w:r>
    <w:r>
      <w:rPr>
        <w:sz w:val="30"/>
        <w:szCs w:val="30"/>
        <w:spacing w:val="-20"/>
      </w:rPr>
      <w:t xml:space="preserve"> </w:t>
    </w:r>
    <w:r>
      <w:rPr>
        <w:sz w:val="30"/>
        <w:szCs w:val="30"/>
        <w:spacing w:val="-56"/>
      </w:rPr>
      <w:t>·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18"/>
      <w:spacing w:line="231" w:lineRule="auto"/>
      <w:rPr>
        <w:sz w:val="30"/>
        <w:szCs w:val="30"/>
      </w:rPr>
    </w:pPr>
    <w:r>
      <w:rPr>
        <w:sz w:val="30"/>
        <w:szCs w:val="30"/>
        <w:spacing w:val="-52"/>
      </w:rPr>
      <w:t>·</w:t>
    </w:r>
    <w:r>
      <w:rPr>
        <w:sz w:val="30"/>
        <w:szCs w:val="30"/>
        <w:spacing w:val="-127"/>
      </w:rPr>
      <w:t xml:space="preserve"> </w:t>
    </w:r>
    <w:r>
      <w:rPr>
        <w:sz w:val="30"/>
        <w:szCs w:val="30"/>
        <w:spacing w:val="-52"/>
      </w:rPr>
      <w:t>4</w:t>
    </w:r>
    <w:r>
      <w:rPr>
        <w:sz w:val="30"/>
        <w:szCs w:val="30"/>
        <w:spacing w:val="-17"/>
      </w:rPr>
      <w:t xml:space="preserve"> </w:t>
    </w:r>
    <w:r>
      <w:rPr>
        <w:sz w:val="30"/>
        <w:szCs w:val="30"/>
        <w:spacing w:val="-52"/>
      </w:rPr>
      <w:t>·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933"/>
      <w:spacing w:before="1" w:line="229" w:lineRule="auto"/>
      <w:rPr>
        <w:sz w:val="30"/>
        <w:szCs w:val="30"/>
      </w:rPr>
    </w:pPr>
    <w:r>
      <w:rPr>
        <w:sz w:val="30"/>
        <w:szCs w:val="30"/>
        <w:spacing w:val="-53"/>
      </w:rPr>
      <w:t>·</w:t>
    </w:r>
    <w:r>
      <w:rPr>
        <w:sz w:val="30"/>
        <w:szCs w:val="30"/>
        <w:spacing w:val="-123"/>
      </w:rPr>
      <w:t xml:space="preserve"> </w:t>
    </w:r>
    <w:r>
      <w:rPr>
        <w:sz w:val="30"/>
        <w:szCs w:val="30"/>
        <w:spacing w:val="-53"/>
      </w:rPr>
      <w:t>5</w:t>
    </w:r>
    <w:r>
      <w:rPr>
        <w:sz w:val="30"/>
        <w:szCs w:val="30"/>
        <w:spacing w:val="-20"/>
      </w:rPr>
      <w:t xml:space="preserve"> </w:t>
    </w:r>
    <w:r>
      <w:rPr>
        <w:sz w:val="30"/>
        <w:szCs w:val="30"/>
        <w:spacing w:val="-53"/>
      </w:rPr>
      <w:t>·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18"/>
      <w:spacing w:before="1" w:line="229" w:lineRule="auto"/>
      <w:rPr>
        <w:sz w:val="30"/>
        <w:szCs w:val="30"/>
      </w:rPr>
    </w:pPr>
    <w:r>
      <w:rPr>
        <w:sz w:val="30"/>
        <w:szCs w:val="30"/>
        <w:spacing w:val="-53"/>
      </w:rPr>
      <w:t>·</w:t>
    </w:r>
    <w:r>
      <w:rPr>
        <w:sz w:val="30"/>
        <w:szCs w:val="30"/>
        <w:spacing w:val="-124"/>
      </w:rPr>
      <w:t xml:space="preserve"> </w:t>
    </w:r>
    <w:r>
      <w:rPr>
        <w:sz w:val="30"/>
        <w:szCs w:val="30"/>
        <w:spacing w:val="-53"/>
      </w:rPr>
      <w:t>6</w:t>
    </w:r>
    <w:r>
      <w:rPr>
        <w:sz w:val="30"/>
        <w:szCs w:val="30"/>
        <w:spacing w:val="-17"/>
      </w:rPr>
      <w:t xml:space="preserve"> </w:t>
    </w:r>
    <w:r>
      <w:rPr>
        <w:sz w:val="30"/>
        <w:szCs w:val="30"/>
        <w:spacing w:val="-53"/>
      </w:rPr>
      <w:t>·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937"/>
      <w:spacing w:before="1" w:line="229" w:lineRule="auto"/>
      <w:rPr>
        <w:sz w:val="30"/>
        <w:szCs w:val="30"/>
      </w:rPr>
    </w:pPr>
    <w:r>
      <w:rPr>
        <w:sz w:val="30"/>
        <w:szCs w:val="30"/>
        <w:spacing w:val="-53"/>
      </w:rPr>
      <w:t>·</w:t>
    </w:r>
    <w:r>
      <w:rPr>
        <w:sz w:val="30"/>
        <w:szCs w:val="30"/>
        <w:spacing w:val="-124"/>
      </w:rPr>
      <w:t xml:space="preserve"> </w:t>
    </w:r>
    <w:r>
      <w:rPr>
        <w:sz w:val="30"/>
        <w:szCs w:val="30"/>
        <w:spacing w:val="-53"/>
      </w:rPr>
      <w:t>7</w:t>
    </w:r>
    <w:r>
      <w:rPr>
        <w:sz w:val="30"/>
        <w:szCs w:val="30"/>
        <w:spacing w:val="-20"/>
      </w:rPr>
      <w:t xml:space="preserve"> </w:t>
    </w:r>
    <w:r>
      <w:rPr>
        <w:sz w:val="30"/>
        <w:szCs w:val="30"/>
        <w:spacing w:val="-53"/>
      </w:rPr>
      <w:t>·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20"/>
      <w:spacing w:before="1" w:line="229" w:lineRule="auto"/>
      <w:rPr>
        <w:sz w:val="30"/>
        <w:szCs w:val="30"/>
      </w:rPr>
    </w:pPr>
    <w:r>
      <w:rPr>
        <w:sz w:val="30"/>
        <w:szCs w:val="30"/>
        <w:spacing w:val="-53"/>
      </w:rPr>
      <w:t>·</w:t>
    </w:r>
    <w:r>
      <w:rPr>
        <w:sz w:val="30"/>
        <w:szCs w:val="30"/>
        <w:spacing w:val="-124"/>
      </w:rPr>
      <w:t xml:space="preserve"> </w:t>
    </w:r>
    <w:r>
      <w:rPr>
        <w:sz w:val="30"/>
        <w:szCs w:val="30"/>
        <w:spacing w:val="-53"/>
      </w:rPr>
      <w:t>8</w:t>
    </w:r>
    <w:r>
      <w:rPr>
        <w:sz w:val="30"/>
        <w:szCs w:val="30"/>
        <w:spacing w:val="-17"/>
      </w:rPr>
      <w:t xml:space="preserve"> </w:t>
    </w:r>
    <w:r>
      <w:rPr>
        <w:sz w:val="30"/>
        <w:szCs w:val="30"/>
        <w:spacing w:val="-53"/>
      </w:rPr>
      <w:t>·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930"/>
      <w:spacing w:before="1" w:line="229" w:lineRule="auto"/>
      <w:rPr>
        <w:sz w:val="30"/>
        <w:szCs w:val="30"/>
      </w:rPr>
    </w:pPr>
    <w:r>
      <w:rPr>
        <w:sz w:val="30"/>
        <w:szCs w:val="30"/>
        <w:spacing w:val="-53"/>
      </w:rPr>
      <w:t>·</w:t>
    </w:r>
    <w:r>
      <w:rPr>
        <w:sz w:val="30"/>
        <w:szCs w:val="30"/>
        <w:spacing w:val="-124"/>
      </w:rPr>
      <w:t xml:space="preserve"> </w:t>
    </w:r>
    <w:r>
      <w:rPr>
        <w:sz w:val="30"/>
        <w:szCs w:val="30"/>
        <w:spacing w:val="-53"/>
      </w:rPr>
      <w:t>9</w:t>
    </w:r>
    <w:r>
      <w:rPr>
        <w:sz w:val="30"/>
        <w:szCs w:val="30"/>
        <w:spacing w:val="-20"/>
      </w:rPr>
      <w:t xml:space="preserve"> </w:t>
    </w:r>
    <w:r>
      <w:rPr>
        <w:sz w:val="30"/>
        <w:szCs w:val="30"/>
        <w:spacing w:val="-53"/>
      </w:rPr>
      <w:t>·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hyperlink" Target="https://www.zj-heshun.com" TargetMode="Externa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1" Type="http://schemas.openxmlformats.org/officeDocument/2006/relationships/settings" Target="settings.xml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Office WWO_wpscloud_20260115102418-078a7151ca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2026-06-25T10:03:22Z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2026-06-30T14:24:56</vt:filetime>
  </property>
</Properties>
</file>