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color w:val="000000"/>
          <w:spacing w:val="120"/>
          <w:sz w:val="44"/>
          <w:szCs w:val="44"/>
        </w:rPr>
      </w:pPr>
      <w:r>
        <w:rPr>
          <w:rFonts w:hint="eastAsia" w:ascii="华文中宋" w:hAnsi="华文中宋" w:eastAsia="华文中宋"/>
          <w:b/>
          <w:color w:val="000000"/>
          <w:spacing w:val="120"/>
          <w:sz w:val="44"/>
          <w:szCs w:val="44"/>
        </w:rPr>
        <w:t>浙江省杭州市中级人民法院</w:t>
      </w:r>
    </w:p>
    <w:p>
      <w:pPr>
        <w:jc w:val="center"/>
        <w:rPr>
          <w:rFonts w:ascii="华文中宋" w:hAnsi="华文中宋" w:eastAsia="华文中宋"/>
          <w:b/>
          <w:color w:val="000000"/>
          <w:spacing w:val="120"/>
          <w:sz w:val="52"/>
          <w:szCs w:val="52"/>
        </w:rPr>
      </w:pPr>
      <w:r>
        <w:rPr>
          <w:rFonts w:hint="eastAsia" w:ascii="华文中宋" w:hAnsi="华文中宋" w:eastAsia="华文中宋"/>
          <w:b/>
          <w:color w:val="000000"/>
          <w:spacing w:val="120"/>
          <w:sz w:val="52"/>
          <w:szCs w:val="52"/>
        </w:rPr>
        <w:t>民</w:t>
      </w:r>
      <w:r>
        <w:rPr>
          <w:rFonts w:ascii="华文中宋" w:hAnsi="华文中宋" w:eastAsia="华文中宋"/>
          <w:b/>
          <w:color w:val="000000"/>
          <w:spacing w:val="120"/>
          <w:sz w:val="52"/>
          <w:szCs w:val="52"/>
        </w:rPr>
        <w:t xml:space="preserve"> </w:t>
      </w:r>
      <w:r>
        <w:rPr>
          <w:rFonts w:hint="eastAsia" w:ascii="华文中宋" w:hAnsi="华文中宋" w:eastAsia="华文中宋"/>
          <w:b/>
          <w:color w:val="000000"/>
          <w:spacing w:val="120"/>
          <w:sz w:val="52"/>
          <w:szCs w:val="52"/>
        </w:rPr>
        <w:t>事</w:t>
      </w:r>
      <w:r>
        <w:rPr>
          <w:rFonts w:ascii="华文中宋" w:hAnsi="华文中宋" w:eastAsia="华文中宋"/>
          <w:b/>
          <w:color w:val="000000"/>
          <w:spacing w:val="120"/>
          <w:sz w:val="52"/>
          <w:szCs w:val="52"/>
        </w:rPr>
        <w:t xml:space="preserve"> </w:t>
      </w:r>
      <w:r>
        <w:rPr>
          <w:rFonts w:hint="eastAsia" w:ascii="华文中宋" w:hAnsi="华文中宋" w:eastAsia="华文中宋"/>
          <w:b/>
          <w:color w:val="000000"/>
          <w:spacing w:val="120"/>
          <w:sz w:val="52"/>
          <w:szCs w:val="52"/>
        </w:rPr>
        <w:t>判 决</w:t>
      </w:r>
      <w:r>
        <w:rPr>
          <w:rFonts w:ascii="华文中宋" w:hAnsi="华文中宋" w:eastAsia="华文中宋"/>
          <w:b/>
          <w:color w:val="000000"/>
          <w:spacing w:val="120"/>
          <w:sz w:val="52"/>
          <w:szCs w:val="52"/>
        </w:rPr>
        <w:t xml:space="preserve"> </w:t>
      </w:r>
      <w:r>
        <w:rPr>
          <w:rFonts w:hint="eastAsia" w:ascii="华文中宋" w:hAnsi="华文中宋" w:eastAsia="华文中宋"/>
          <w:b/>
          <w:color w:val="000000"/>
          <w:spacing w:val="120"/>
          <w:sz w:val="52"/>
          <w:szCs w:val="52"/>
        </w:rPr>
        <w:t>书</w:t>
      </w:r>
    </w:p>
    <w:p>
      <w:pPr>
        <w:keepNext w:val="0"/>
        <w:keepLines w:val="0"/>
        <w:pageBreakBefore w:val="0"/>
        <w:widowControl w:val="0"/>
        <w:kinsoku/>
        <w:wordWrap/>
        <w:topLinePunct w:val="0"/>
        <w:bidi w:val="0"/>
        <w:adjustRightInd/>
        <w:snapToGrid/>
        <w:spacing w:line="640" w:lineRule="exact"/>
        <w:ind w:firstLine="640" w:firstLineChars="200"/>
        <w:jc w:val="right"/>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（2021）浙01民初1023号</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原告：上海净</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实业发展有限公司。</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hint="eastAsia"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被告：浙江美</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仪器有限公司。</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lang w:val="zh-CN"/>
        </w:rPr>
      </w:pPr>
      <w:r>
        <w:rPr>
          <w:rFonts w:hint="eastAsia" w:ascii="仿宋_GB2312" w:hAnsi="宋体" w:eastAsia="仿宋_GB2312" w:cs="仿宋_GB2312"/>
          <w:color w:val="000000"/>
          <w:kern w:val="0"/>
          <w:sz w:val="32"/>
          <w:szCs w:val="32"/>
          <w:lang w:val="zh-CN"/>
        </w:rPr>
        <w:t>原告</w:t>
      </w:r>
      <w:r>
        <w:rPr>
          <w:rFonts w:hint="eastAsia" w:ascii="仿宋_GB2312" w:hAnsi="宋体" w:eastAsia="仿宋_GB2312" w:cs="仿宋_GB2312"/>
          <w:color w:val="000000"/>
          <w:kern w:val="0"/>
          <w:sz w:val="32"/>
          <w:szCs w:val="32"/>
        </w:rPr>
        <w:t>上海净</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实业发展有限公司（以下简称净</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公司）</w:t>
      </w:r>
      <w:r>
        <w:rPr>
          <w:rFonts w:hint="eastAsia" w:ascii="仿宋_GB2312" w:hAnsi="宋体" w:eastAsia="仿宋_GB2312" w:cs="仿宋_GB2312"/>
          <w:color w:val="000000"/>
          <w:kern w:val="0"/>
          <w:sz w:val="32"/>
          <w:szCs w:val="32"/>
          <w:lang w:val="zh-CN"/>
        </w:rPr>
        <w:t>与被告</w:t>
      </w:r>
      <w:r>
        <w:rPr>
          <w:rFonts w:hint="eastAsia" w:ascii="仿宋_GB2312" w:hAnsi="宋体" w:eastAsia="仿宋_GB2312" w:cs="仿宋_GB2312"/>
          <w:color w:val="000000"/>
          <w:kern w:val="0"/>
          <w:sz w:val="32"/>
          <w:szCs w:val="32"/>
        </w:rPr>
        <w:t>浙江美</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仪器有限公司</w:t>
      </w:r>
      <w:r>
        <w:rPr>
          <w:rFonts w:hint="eastAsia" w:ascii="仿宋_GB2312" w:hAnsi="宋体" w:eastAsia="仿宋_GB2312" w:cs="仿宋_GB2312"/>
          <w:color w:val="000000"/>
          <w:kern w:val="0"/>
          <w:sz w:val="32"/>
          <w:szCs w:val="32"/>
          <w:lang w:val="zh-CN"/>
        </w:rPr>
        <w:t>（以下简称</w:t>
      </w:r>
      <w:r>
        <w:rPr>
          <w:rFonts w:hint="eastAsia" w:ascii="仿宋_GB2312" w:hAnsi="宋体" w:eastAsia="仿宋_GB2312" w:cs="仿宋_GB2312"/>
          <w:color w:val="000000"/>
          <w:kern w:val="0"/>
          <w:sz w:val="32"/>
          <w:szCs w:val="32"/>
        </w:rPr>
        <w:t>美</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lang w:val="zh-CN"/>
        </w:rPr>
        <w:t>公司）侵害外观设计专利权纠纷一案，本院于</w:t>
      </w:r>
      <w:r>
        <w:rPr>
          <w:rFonts w:ascii="仿宋_GB2312" w:hAnsi="宋体" w:eastAsia="仿宋_GB2312" w:cs="仿宋_GB2312"/>
          <w:color w:val="000000"/>
          <w:kern w:val="0"/>
          <w:sz w:val="32"/>
          <w:szCs w:val="32"/>
          <w:lang w:val="zh-CN"/>
        </w:rPr>
        <w:t>20</w:t>
      </w:r>
      <w:r>
        <w:rPr>
          <w:rFonts w:hint="eastAsia" w:ascii="仿宋_GB2312" w:hAnsi="宋体" w:eastAsia="仿宋_GB2312" w:cs="仿宋_GB2312"/>
          <w:color w:val="000000"/>
          <w:kern w:val="0"/>
          <w:sz w:val="32"/>
          <w:szCs w:val="32"/>
          <w:lang w:val="zh-CN"/>
        </w:rPr>
        <w:t>21年4月13日立案后，依法适用普通程序，于</w:t>
      </w:r>
      <w:r>
        <w:rPr>
          <w:rFonts w:ascii="仿宋_GB2312" w:hAnsi="宋体" w:eastAsia="仿宋_GB2312" w:cs="仿宋_GB2312"/>
          <w:color w:val="000000"/>
          <w:kern w:val="0"/>
          <w:sz w:val="32"/>
          <w:szCs w:val="32"/>
          <w:lang w:val="zh-CN"/>
        </w:rPr>
        <w:t>20</w:t>
      </w:r>
      <w:r>
        <w:rPr>
          <w:rFonts w:hint="eastAsia" w:ascii="仿宋_GB2312" w:hAnsi="宋体" w:eastAsia="仿宋_GB2312" w:cs="仿宋_GB2312"/>
          <w:color w:val="000000"/>
          <w:kern w:val="0"/>
          <w:sz w:val="32"/>
          <w:szCs w:val="32"/>
          <w:lang w:val="zh-CN"/>
        </w:rPr>
        <w:t>21年8月24日公开开庭进行了审理。原告</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lang w:val="zh-CN"/>
        </w:rPr>
        <w:t>的委托诉讼代理人</w:t>
      </w:r>
      <w:r>
        <w:rPr>
          <w:rFonts w:hint="eastAsia" w:ascii="仿宋_GB2312" w:hAnsi="宋体" w:eastAsia="仿宋_GB2312" w:cs="仿宋_GB2312"/>
          <w:color w:val="000000"/>
          <w:kern w:val="0"/>
          <w:sz w:val="32"/>
          <w:szCs w:val="32"/>
        </w:rPr>
        <w:t>张</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lang w:val="zh-CN"/>
        </w:rPr>
        <w:t>，被告</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lang w:val="zh-CN"/>
        </w:rPr>
        <w:t>的委托诉讼代理人</w:t>
      </w:r>
      <w:r>
        <w:rPr>
          <w:rFonts w:hint="eastAsia" w:ascii="仿宋_GB2312" w:hAnsi="宋体" w:eastAsia="仿宋_GB2312" w:cs="仿宋_GB2312"/>
          <w:color w:val="000000"/>
          <w:kern w:val="0"/>
          <w:sz w:val="32"/>
          <w:szCs w:val="32"/>
        </w:rPr>
        <w:t>刘</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lang w:val="zh-CN"/>
        </w:rPr>
        <w:t>到庭参加诉讼。本案现已审理终结。</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lang w:val="zh-CN"/>
        </w:rPr>
        <w:t>原告</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lang w:val="zh-CN"/>
        </w:rPr>
        <w:t>向本院提出诉讼请求：</w:t>
      </w:r>
      <w:r>
        <w:rPr>
          <w:rFonts w:ascii="仿宋_GB2312" w:hAnsi="宋体" w:eastAsia="仿宋_GB2312" w:cs="仿宋_GB2312"/>
          <w:color w:val="000000"/>
          <w:kern w:val="0"/>
          <w:sz w:val="32"/>
          <w:szCs w:val="32"/>
          <w:lang w:val="zh-CN"/>
        </w:rPr>
        <w:t>1.</w:t>
      </w:r>
      <w:r>
        <w:rPr>
          <w:rFonts w:hint="eastAsia" w:ascii="仿宋_GB2312" w:hAnsi="宋体" w:eastAsia="仿宋_GB2312" w:cs="仿宋_GB2312"/>
          <w:color w:val="000000"/>
          <w:kern w:val="0"/>
          <w:sz w:val="32"/>
          <w:szCs w:val="32"/>
          <w:lang w:val="zh-CN"/>
        </w:rPr>
        <w:t>判令</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lang w:val="zh-CN"/>
        </w:rPr>
        <w:t>立即停止制造、销售、许诺销售被诉侵权产品，并销毁剩余库存；2.美某公司赔偿经济损失人民币500000元；3.判令美某公司赔偿</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调查、制止侵权所支付的合理费用共计人民币33500元</w:t>
      </w:r>
      <w:r>
        <w:rPr>
          <w:rFonts w:hint="eastAsia" w:ascii="仿宋_GB2312" w:hAnsi="宋体" w:eastAsia="仿宋_GB2312" w:cs="仿宋_GB2312"/>
          <w:color w:val="000000"/>
          <w:kern w:val="0"/>
          <w:sz w:val="32"/>
          <w:szCs w:val="32"/>
          <w:lang w:val="zh-CN"/>
        </w:rPr>
        <w:t>；4.本案的诉讼费由</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rPr>
        <w:t>承担</w:t>
      </w:r>
      <w:r>
        <w:rPr>
          <w:rFonts w:hint="eastAsia" w:ascii="仿宋_GB2312" w:hAnsi="宋体" w:eastAsia="仿宋_GB2312" w:cs="仿宋_GB2312"/>
          <w:color w:val="000000"/>
          <w:kern w:val="0"/>
          <w:sz w:val="32"/>
          <w:szCs w:val="32"/>
          <w:lang w:val="zh-CN"/>
        </w:rPr>
        <w:t>。庭审过程中，</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将诉讼请求2中的赔偿金额增加为972720元。事实和理由：案外人吴</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系ZL2018</w:t>
      </w:r>
      <w:r>
        <w:rPr>
          <w:rFonts w:hint="eastAsia" w:ascii="仿宋_GB2312" w:hAnsi="宋体" w:eastAsia="仿宋_GB2312" w:cs="仿宋_GB2312"/>
          <w:color w:val="000000"/>
          <w:kern w:val="0"/>
          <w:sz w:val="32"/>
          <w:szCs w:val="32"/>
          <w:lang w:val="en-US" w:eastAsia="zh-CN"/>
        </w:rPr>
        <w:t>xxxx</w:t>
      </w:r>
      <w:r>
        <w:rPr>
          <w:rFonts w:hint="eastAsia" w:ascii="仿宋_GB2312" w:hAnsi="宋体" w:eastAsia="仿宋_GB2312" w:cs="仿宋_GB2312"/>
          <w:color w:val="000000"/>
          <w:kern w:val="0"/>
          <w:sz w:val="32"/>
          <w:szCs w:val="32"/>
        </w:rPr>
        <w:t>0739.8“全自动样品快速研磨仪”（以下简称涉案专利）的专利权人，2018年8月11日，</w:t>
      </w:r>
      <w:r>
        <w:rPr>
          <w:rFonts w:hint="eastAsia" w:ascii="仿宋_GB2312" w:hAnsi="宋体" w:eastAsia="仿宋_GB2312" w:cs="仿宋_GB2312"/>
          <w:color w:val="000000"/>
          <w:kern w:val="0"/>
          <w:sz w:val="32"/>
          <w:szCs w:val="32"/>
          <w:lang w:eastAsia="zh-CN"/>
        </w:rPr>
        <w:t>吴某</w:t>
      </w:r>
      <w:r>
        <w:rPr>
          <w:rFonts w:hint="eastAsia" w:ascii="仿宋_GB2312" w:hAnsi="宋体" w:eastAsia="仿宋_GB2312" w:cs="仿宋_GB2312"/>
          <w:color w:val="000000"/>
          <w:kern w:val="0"/>
          <w:sz w:val="32"/>
          <w:szCs w:val="32"/>
        </w:rPr>
        <w:t>将涉案专利独占许可给</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依照</w:t>
      </w:r>
      <w:r>
        <w:rPr>
          <w:rFonts w:hint="eastAsia" w:ascii="仿宋_GB2312" w:hAnsi="宋体" w:eastAsia="仿宋_GB2312" w:cs="仿宋_GB2312"/>
          <w:kern w:val="0"/>
          <w:sz w:val="32"/>
          <w:szCs w:val="32"/>
        </w:rPr>
        <w:t>涉案专利</w:t>
      </w:r>
      <w:r>
        <w:rPr>
          <w:rFonts w:hint="eastAsia" w:ascii="仿宋_GB2312" w:hAnsi="宋体" w:eastAsia="仿宋_GB2312" w:cs="仿宋_GB2312"/>
          <w:color w:val="000000"/>
          <w:kern w:val="0"/>
          <w:sz w:val="32"/>
          <w:szCs w:val="32"/>
        </w:rPr>
        <w:t>生产了“J</w:t>
      </w:r>
      <w:r>
        <w:rPr>
          <w:rFonts w:hint="eastAsia" w:ascii="仿宋_GB2312" w:hAnsi="宋体" w:eastAsia="仿宋_GB2312" w:cs="仿宋_GB2312"/>
          <w:color w:val="000000"/>
          <w:kern w:val="0"/>
          <w:sz w:val="32"/>
          <w:szCs w:val="32"/>
          <w:lang w:val="en-US" w:eastAsia="zh-CN"/>
        </w:rPr>
        <w:t>xxxx</w:t>
      </w:r>
      <w:r>
        <w:rPr>
          <w:rFonts w:hint="eastAsia" w:ascii="仿宋_GB2312" w:hAnsi="宋体" w:eastAsia="仿宋_GB2312" w:cs="仿宋_GB2312"/>
          <w:color w:val="000000"/>
          <w:kern w:val="0"/>
          <w:sz w:val="32"/>
          <w:szCs w:val="32"/>
        </w:rPr>
        <w:t>PRP系列全自动快速研磨仪”，该系列产品被广泛应用于医院、高校、研究所等单位和个人，在业内极具知名度，销量很高。2019年4月，</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发现</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rPr>
        <w:t>在淘宝网开设的“美</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未来”店铺低价出售名为“美壁高通量组织研磨仪48圆形组织破碎仪”的产品（以下简称被诉侵权产品），</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rPr>
        <w:t>自认其已售出被诉侵权产品至少60台，</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购买被诉侵权产品1台并付款9000元。经比对，被诉侵权设计与涉案授权外观设计构成近似设计，被诉侵权产品落入涉案专利权的保护范围。根据相关法律法规规定，</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rPr>
        <w:t>的行为侵犯了涉案外观设计专利权，给</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造成巨大经济损失，严重影响其产品信誉，</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有权要求</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rPr>
        <w:t>停止侵权并合理赔偿。综上</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为维护合法权益，依据法律法规向法院起诉，望支持</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诉请。</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kern w:val="0"/>
          <w:sz w:val="32"/>
          <w:szCs w:val="32"/>
          <w:lang w:val="zh-CN"/>
        </w:rPr>
      </w:pPr>
      <w:r>
        <w:rPr>
          <w:rFonts w:hint="eastAsia" w:ascii="仿宋_GB2312" w:hAnsi="宋体" w:eastAsia="仿宋_GB2312" w:cs="仿宋_GB2312"/>
          <w:kern w:val="0"/>
          <w:sz w:val="32"/>
          <w:szCs w:val="32"/>
          <w:lang w:val="zh-CN"/>
        </w:rPr>
        <w:t>美某公司辩称，被诉侵权产品早于涉案专利申请日前就已生产销售，已经使得公众能够得知其设计内容。该产品于2012年下半年即已完成了全部设计并对外销售近10年，该设计系现有设计，不构成侵权。即便构成侵权，净某公司主张经济损失的计算方式有误。被诉侵权产品的主要客户群体系高校、科研院所、医院等单位，购买主要用于实践操作，对于外观影响的消费偏好或者消费选择可能性较小，净某公司主张的赔偿金额不合理。综上请求驳回净某公司诉请。</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lang w:val="zh-CN"/>
        </w:rPr>
      </w:pPr>
      <w:r>
        <w:rPr>
          <w:rFonts w:hint="eastAsia" w:ascii="仿宋_GB2312" w:hAnsi="宋体" w:eastAsia="仿宋_GB2312" w:cs="仿宋_GB2312"/>
          <w:color w:val="000000"/>
          <w:sz w:val="32"/>
          <w:szCs w:val="32"/>
        </w:rPr>
        <w:t>经审理，本院查明事实如下：</w:t>
      </w:r>
      <w:r>
        <w:rPr>
          <w:rFonts w:hint="eastAsia" w:ascii="仿宋_GB2312" w:hAnsi="宋体" w:eastAsia="仿宋_GB2312" w:cs="仿宋_GB2312"/>
          <w:color w:val="000000"/>
          <w:kern w:val="0"/>
          <w:sz w:val="32"/>
          <w:szCs w:val="32"/>
          <w:lang w:val="zh-CN"/>
        </w:rPr>
        <w:t>吴某于</w:t>
      </w:r>
      <w:r>
        <w:rPr>
          <w:rFonts w:ascii="仿宋_GB2312" w:hAnsi="宋体" w:eastAsia="仿宋_GB2312" w:cs="仿宋_GB2312"/>
          <w:color w:val="000000"/>
          <w:kern w:val="0"/>
          <w:sz w:val="32"/>
          <w:szCs w:val="32"/>
          <w:lang w:val="zh-CN"/>
        </w:rPr>
        <w:t>201</w:t>
      </w:r>
      <w:r>
        <w:rPr>
          <w:rFonts w:hint="eastAsia" w:ascii="仿宋_GB2312" w:hAnsi="宋体" w:eastAsia="仿宋_GB2312" w:cs="仿宋_GB2312"/>
          <w:color w:val="000000"/>
          <w:kern w:val="0"/>
          <w:sz w:val="32"/>
          <w:szCs w:val="32"/>
          <w:lang w:val="zh-CN"/>
        </w:rPr>
        <w:t>8年1月17日向国家专利局提出专利名称为“全自动样品快速研磨仪”的专利申请，该专利于</w:t>
      </w:r>
      <w:r>
        <w:rPr>
          <w:rFonts w:ascii="仿宋_GB2312" w:hAnsi="宋体" w:eastAsia="仿宋_GB2312" w:cs="仿宋_GB2312"/>
          <w:color w:val="000000"/>
          <w:kern w:val="0"/>
          <w:sz w:val="32"/>
          <w:szCs w:val="32"/>
          <w:lang w:val="zh-CN"/>
        </w:rPr>
        <w:t>201</w:t>
      </w:r>
      <w:r>
        <w:rPr>
          <w:rFonts w:hint="eastAsia" w:ascii="仿宋_GB2312" w:hAnsi="宋体" w:eastAsia="仿宋_GB2312" w:cs="仿宋_GB2312"/>
          <w:color w:val="000000"/>
          <w:kern w:val="0"/>
          <w:sz w:val="32"/>
          <w:szCs w:val="32"/>
          <w:lang w:val="zh-CN"/>
        </w:rPr>
        <w:t>8年8月10日公告授权，专利号为：ZL2018</w:t>
      </w:r>
      <w:r>
        <w:rPr>
          <w:rFonts w:hint="eastAsia" w:ascii="仿宋_GB2312" w:hAnsi="宋体" w:eastAsia="仿宋_GB2312" w:cs="仿宋_GB2312"/>
          <w:color w:val="000000"/>
          <w:kern w:val="0"/>
          <w:sz w:val="32"/>
          <w:szCs w:val="32"/>
          <w:lang w:val="en-US" w:eastAsia="zh-CN"/>
        </w:rPr>
        <w:t>xxxx</w:t>
      </w:r>
      <w:r>
        <w:rPr>
          <w:rFonts w:hint="eastAsia" w:ascii="仿宋_GB2312" w:hAnsi="宋体" w:eastAsia="仿宋_GB2312" w:cs="仿宋_GB2312"/>
          <w:color w:val="000000"/>
          <w:kern w:val="0"/>
          <w:sz w:val="32"/>
          <w:szCs w:val="32"/>
          <w:lang w:val="zh-CN"/>
        </w:rPr>
        <w:t>0739.8，该专利至今有效。2018年8月11日，吴某将涉案专利独占许可给净某公司使用，许可期限同专利有效期限。</w:t>
      </w:r>
      <w:r>
        <w:rPr>
          <w:rFonts w:ascii="仿宋_GB2312" w:hAnsi="宋体" w:eastAsia="仿宋_GB2312" w:cs="仿宋_GB2312"/>
          <w:color w:val="000000"/>
          <w:kern w:val="0"/>
          <w:sz w:val="32"/>
          <w:szCs w:val="32"/>
          <w:lang w:val="zh-CN"/>
        </w:rPr>
        <w:t>20</w:t>
      </w:r>
      <w:r>
        <w:rPr>
          <w:rFonts w:hint="eastAsia" w:ascii="仿宋_GB2312" w:hAnsi="宋体" w:eastAsia="仿宋_GB2312" w:cs="仿宋_GB2312"/>
          <w:color w:val="000000"/>
          <w:kern w:val="0"/>
          <w:sz w:val="32"/>
          <w:szCs w:val="32"/>
          <w:lang w:val="zh-CN"/>
        </w:rPr>
        <w:t>19年5月15日，国家知识产权局出具《外观设计专利权评价报告》，初步结论为全部外观设计未发现存在不符合授予专利权条件的缺陷。该外观设计专利的设计要点在于该产品的形状，最能表明设计要点的图片或照片：立体图1。</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lang w:val="zh-CN"/>
        </w:rPr>
      </w:pPr>
      <w:r>
        <w:rPr>
          <w:rFonts w:hint="eastAsia" w:ascii="仿宋_GB2312" w:hAnsi="宋体" w:eastAsia="仿宋_GB2312"/>
          <w:color w:val="000000"/>
          <w:kern w:val="0"/>
          <w:sz w:val="32"/>
          <w:szCs w:val="24"/>
          <w:lang w:eastAsia="zh-CN"/>
        </w:rPr>
        <w:t>美某公司</w:t>
      </w:r>
      <w:r>
        <w:rPr>
          <w:rFonts w:hint="eastAsia" w:ascii="仿宋_GB2312" w:hAnsi="宋体" w:eastAsia="仿宋_GB2312"/>
          <w:color w:val="000000"/>
          <w:kern w:val="0"/>
          <w:sz w:val="32"/>
          <w:szCs w:val="24"/>
        </w:rPr>
        <w:t>在淘宝网站开设的“美</w:t>
      </w:r>
      <w:r>
        <w:rPr>
          <w:rFonts w:hint="eastAsia" w:ascii="仿宋_GB2312" w:hAnsi="宋体" w:eastAsia="仿宋_GB2312"/>
          <w:color w:val="000000"/>
          <w:kern w:val="0"/>
          <w:sz w:val="32"/>
          <w:szCs w:val="24"/>
          <w:lang w:eastAsia="zh-CN"/>
        </w:rPr>
        <w:t>某</w:t>
      </w:r>
      <w:r>
        <w:rPr>
          <w:rFonts w:hint="eastAsia" w:ascii="仿宋_GB2312" w:hAnsi="宋体" w:eastAsia="仿宋_GB2312"/>
          <w:color w:val="000000"/>
          <w:kern w:val="0"/>
          <w:sz w:val="32"/>
          <w:szCs w:val="24"/>
        </w:rPr>
        <w:t>未来”店铺售卖被诉侵权产品，价格为200-36800元，累计评论0，交易成功0，库存596件，</w:t>
      </w:r>
      <w:r>
        <w:rPr>
          <w:rFonts w:hint="eastAsia" w:ascii="仿宋_GB2312" w:hAnsi="宋体" w:eastAsia="仿宋_GB2312"/>
          <w:color w:val="000000"/>
          <w:kern w:val="0"/>
          <w:sz w:val="32"/>
          <w:szCs w:val="24"/>
          <w:lang w:eastAsia="zh-CN"/>
        </w:rPr>
        <w:t>净某公司</w:t>
      </w:r>
      <w:r>
        <w:rPr>
          <w:rFonts w:hint="eastAsia" w:ascii="仿宋_GB2312" w:hAnsi="宋体" w:eastAsia="仿宋_GB2312"/>
          <w:color w:val="000000"/>
          <w:kern w:val="0"/>
          <w:sz w:val="32"/>
          <w:szCs w:val="24"/>
        </w:rPr>
        <w:t>的委托代理人</w:t>
      </w:r>
      <w:r>
        <w:rPr>
          <w:rFonts w:hint="eastAsia" w:ascii="仿宋_GB2312" w:hAnsi="宋体" w:eastAsia="仿宋_GB2312" w:cs="仿宋_GB2312"/>
          <w:color w:val="000000"/>
          <w:kern w:val="0"/>
          <w:sz w:val="32"/>
          <w:szCs w:val="32"/>
        </w:rPr>
        <w:t>张</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olor w:val="000000"/>
          <w:kern w:val="0"/>
          <w:sz w:val="32"/>
          <w:szCs w:val="24"/>
        </w:rPr>
        <w:t>在上述店铺公证购买了1件被诉侵权产品并付款9000元。</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rPr>
      </w:pPr>
      <w:r>
        <w:rPr>
          <w:rFonts w:hint="eastAsia" w:ascii="仿宋_GB2312" w:hAnsi="宋体" w:eastAsia="仿宋_GB2312"/>
          <w:color w:val="000000"/>
          <w:kern w:val="0"/>
          <w:sz w:val="32"/>
        </w:rPr>
        <w:t>当庭拆封上述公证封存物，</w:t>
      </w:r>
      <w:r>
        <w:rPr>
          <w:rFonts w:hint="eastAsia" w:ascii="仿宋_GB2312" w:hAnsi="宋体" w:eastAsia="仿宋_GB2312" w:cs="仿宋_GB2312"/>
          <w:color w:val="000000"/>
          <w:kern w:val="0"/>
          <w:sz w:val="32"/>
          <w:szCs w:val="32"/>
        </w:rPr>
        <w:t>内含</w:t>
      </w:r>
      <w:r>
        <w:rPr>
          <w:rFonts w:hint="eastAsia" w:ascii="仿宋_GB2312" w:hAnsi="宋体" w:eastAsia="仿宋_GB2312" w:cs="仿宋_GB2312"/>
          <w:color w:val="000000"/>
          <w:kern w:val="0"/>
          <w:sz w:val="32"/>
          <w:szCs w:val="32"/>
          <w:lang w:val="zh-CN"/>
        </w:rPr>
        <w:t>组织研磨仪1件</w:t>
      </w:r>
      <w:r>
        <w:rPr>
          <w:rFonts w:hint="eastAsia" w:ascii="仿宋_GB2312" w:hAnsi="宋体" w:eastAsia="仿宋_GB2312" w:cs="仿宋_GB2312"/>
          <w:color w:val="000000"/>
          <w:kern w:val="0"/>
          <w:sz w:val="32"/>
          <w:szCs w:val="32"/>
        </w:rPr>
        <w:t>。</w:t>
      </w:r>
      <w:r>
        <w:rPr>
          <w:rFonts w:hint="eastAsia" w:ascii="仿宋_GB2312" w:hAnsi="宋体" w:eastAsia="仿宋_GB2312" w:cs="仿宋_GB2312"/>
          <w:kern w:val="0"/>
          <w:sz w:val="32"/>
          <w:szCs w:val="32"/>
          <w:lang w:val="zh-CN"/>
        </w:rPr>
        <w:t>美某公司当庭确认被诉侵权产品系其制造、销售、许诺销售</w:t>
      </w:r>
      <w:r>
        <w:rPr>
          <w:rFonts w:hint="eastAsia" w:ascii="仿宋_GB2312" w:hAnsi="宋体" w:eastAsia="仿宋_GB2312" w:cs="仿宋_GB2312"/>
          <w:color w:val="000000"/>
          <w:kern w:val="0"/>
          <w:sz w:val="32"/>
          <w:szCs w:val="32"/>
        </w:rPr>
        <w:t>。经庭审比对，双方均确认被诉侵权设计与涉案授权外观设计构成近似。</w:t>
      </w:r>
    </w:p>
    <w:p>
      <w:pPr>
        <w:keepNext w:val="0"/>
        <w:keepLines w:val="0"/>
        <w:pageBreakBefore w:val="0"/>
        <w:widowControl w:val="0"/>
        <w:kinsoku/>
        <w:wordWrap/>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rPr>
      </w:pPr>
      <w:r>
        <w:rPr>
          <w:rFonts w:hint="eastAsia" w:ascii="仿宋_GB2312" w:hAnsi="宋体" w:eastAsia="仿宋_GB2312" w:cs="仿宋_GB2312"/>
          <w:kern w:val="0"/>
          <w:sz w:val="32"/>
          <w:szCs w:val="32"/>
        </w:rPr>
        <w:t>庭审中，</w:t>
      </w:r>
      <w:r>
        <w:rPr>
          <w:rFonts w:hint="eastAsia" w:ascii="仿宋_GB2312" w:hAnsi="宋体" w:eastAsia="仿宋_GB2312" w:cs="仿宋_GB2312"/>
          <w:kern w:val="0"/>
          <w:sz w:val="32"/>
          <w:szCs w:val="32"/>
          <w:lang w:eastAsia="zh-CN"/>
        </w:rPr>
        <w:t>美某公司</w:t>
      </w:r>
      <w:r>
        <w:rPr>
          <w:rFonts w:hint="eastAsia" w:ascii="仿宋_GB2312" w:hAnsi="宋体" w:eastAsia="仿宋_GB2312" w:cs="仿宋_GB2312"/>
          <w:kern w:val="0"/>
          <w:sz w:val="32"/>
          <w:szCs w:val="32"/>
        </w:rPr>
        <w:t>提供合同（复印件）一份，显示：2013年9月25日，案外人上海万</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生物科技有限公司（以下简称万</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公司）与上海</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大学医学院（以下简称上交</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医学院）</w:t>
      </w:r>
      <w:r>
        <w:rPr>
          <w:rFonts w:hint="eastAsia" w:ascii="仿宋_GB2312" w:hAnsi="宋体" w:eastAsia="仿宋_GB2312" w:cs="仿宋_GB2312"/>
          <w:color w:val="000000"/>
          <w:kern w:val="0"/>
          <w:sz w:val="32"/>
          <w:szCs w:val="32"/>
        </w:rPr>
        <w:t>签订合同，由万</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公司（供方）向</w:t>
      </w:r>
      <w:r>
        <w:rPr>
          <w:rFonts w:hint="eastAsia" w:ascii="仿宋_GB2312" w:hAnsi="宋体" w:eastAsia="仿宋_GB2312" w:cs="仿宋_GB2312"/>
          <w:kern w:val="0"/>
          <w:sz w:val="32"/>
          <w:szCs w:val="32"/>
        </w:rPr>
        <w:t>上交</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医学院</w:t>
      </w:r>
      <w:r>
        <w:rPr>
          <w:rFonts w:hint="eastAsia" w:ascii="仿宋_GB2312" w:hAnsi="宋体" w:eastAsia="仿宋_GB2312" w:cs="仿宋_GB2312"/>
          <w:color w:val="000000"/>
          <w:kern w:val="0"/>
          <w:sz w:val="32"/>
          <w:szCs w:val="32"/>
        </w:rPr>
        <w:t>（需方）提供名称为“高通量组织研磨仪”一台，双方均在合同落款处盖章。</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rPr>
        <w:t>陈述该合同对应的仪器目前存放于</w:t>
      </w:r>
      <w:r>
        <w:rPr>
          <w:rFonts w:hint="eastAsia" w:ascii="仿宋_GB2312" w:hAnsi="宋体" w:eastAsia="仿宋_GB2312" w:cs="仿宋_GB2312"/>
          <w:kern w:val="0"/>
          <w:sz w:val="32"/>
          <w:szCs w:val="32"/>
        </w:rPr>
        <w:t>上交</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医学院</w:t>
      </w:r>
      <w:r>
        <w:rPr>
          <w:rFonts w:hint="eastAsia" w:ascii="仿宋_GB2312" w:hAnsi="宋体" w:eastAsia="仿宋_GB2312" w:cs="仿宋_GB2312"/>
          <w:color w:val="000000"/>
          <w:kern w:val="0"/>
          <w:sz w:val="32"/>
          <w:szCs w:val="32"/>
        </w:rPr>
        <w:t>。</w:t>
      </w:r>
    </w:p>
    <w:p>
      <w:pPr>
        <w:keepNext w:val="0"/>
        <w:keepLines w:val="0"/>
        <w:pageBreakBefore w:val="0"/>
        <w:widowControl w:val="0"/>
        <w:kinsoku/>
        <w:wordWrap/>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应</w:t>
      </w:r>
      <w:r>
        <w:rPr>
          <w:rFonts w:hint="eastAsia" w:ascii="仿宋_GB2312" w:hAnsi="宋体" w:eastAsia="仿宋_GB2312" w:cs="仿宋_GB2312"/>
          <w:color w:val="000000"/>
          <w:kern w:val="0"/>
          <w:sz w:val="32"/>
          <w:szCs w:val="32"/>
          <w:lang w:eastAsia="zh-CN"/>
        </w:rPr>
        <w:t>美某公司</w:t>
      </w:r>
      <w:r>
        <w:rPr>
          <w:rFonts w:hint="eastAsia" w:ascii="仿宋_GB2312" w:hAnsi="宋体" w:eastAsia="仿宋_GB2312" w:cs="仿宋_GB2312"/>
          <w:color w:val="000000"/>
          <w:kern w:val="0"/>
          <w:sz w:val="32"/>
          <w:szCs w:val="32"/>
        </w:rPr>
        <w:t>申请，2021年10月9日，本院组织双方前往</w:t>
      </w:r>
      <w:r>
        <w:rPr>
          <w:rFonts w:hint="eastAsia" w:ascii="仿宋_GB2312" w:hAnsi="宋体" w:eastAsia="仿宋_GB2312" w:cs="仿宋_GB2312"/>
          <w:kern w:val="0"/>
          <w:sz w:val="32"/>
          <w:szCs w:val="32"/>
        </w:rPr>
        <w:t>上交</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医学院</w:t>
      </w:r>
      <w:r>
        <w:rPr>
          <w:rFonts w:hint="eastAsia" w:ascii="仿宋_GB2312" w:hAnsi="宋体" w:eastAsia="仿宋_GB2312" w:cs="仿宋_GB2312"/>
          <w:color w:val="000000"/>
          <w:kern w:val="0"/>
          <w:sz w:val="32"/>
          <w:szCs w:val="32"/>
        </w:rPr>
        <w:t>对存放于该院上海市</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研究所的“高通量组织研磨仪”进行勘验比对。经查，该“高通量组织研磨仪”产品正面显示屏上有“上海万</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生物”字样，产品侧面贴有上海交通大学资产管理标签2张，其中一张编号为01</w:t>
      </w:r>
      <w:r>
        <w:rPr>
          <w:rFonts w:hint="eastAsia" w:ascii="仿宋_GB2312" w:hAnsi="宋体" w:eastAsia="仿宋_GB2312" w:cs="仿宋_GB2312"/>
          <w:color w:val="000000"/>
          <w:kern w:val="0"/>
          <w:sz w:val="32"/>
          <w:szCs w:val="32"/>
          <w:lang w:val="en-US" w:eastAsia="zh-CN"/>
        </w:rPr>
        <w:t>xxxx</w:t>
      </w:r>
      <w:r>
        <w:rPr>
          <w:rFonts w:hint="eastAsia" w:ascii="仿宋_GB2312" w:hAnsi="宋体" w:eastAsia="仿宋_GB2312" w:cs="仿宋_GB2312"/>
          <w:color w:val="000000"/>
          <w:kern w:val="0"/>
          <w:sz w:val="32"/>
          <w:szCs w:val="32"/>
        </w:rPr>
        <w:t>11，另一张标注“2016-资产清查”。案外人</w:t>
      </w:r>
      <w:r>
        <w:rPr>
          <w:rFonts w:hint="eastAsia" w:ascii="仿宋_GB2312" w:hAnsi="宋体" w:eastAsia="仿宋_GB2312" w:cs="仿宋_GB2312"/>
          <w:kern w:val="0"/>
          <w:sz w:val="32"/>
          <w:szCs w:val="32"/>
        </w:rPr>
        <w:t>上交</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医学院</w:t>
      </w:r>
      <w:r>
        <w:rPr>
          <w:rFonts w:hint="eastAsia" w:ascii="仿宋_GB2312" w:hAnsi="宋体" w:eastAsia="仿宋_GB2312" w:cs="仿宋_GB2312"/>
          <w:color w:val="000000"/>
          <w:kern w:val="0"/>
          <w:sz w:val="32"/>
          <w:szCs w:val="32"/>
        </w:rPr>
        <w:t>教职工王</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（也即前述合同</w:t>
      </w:r>
      <w:r>
        <w:rPr>
          <w:rFonts w:hint="eastAsia" w:ascii="仿宋_GB2312" w:hAnsi="宋体" w:eastAsia="仿宋_GB2312" w:cs="仿宋_GB2312"/>
          <w:kern w:val="0"/>
          <w:sz w:val="32"/>
          <w:szCs w:val="32"/>
        </w:rPr>
        <w:t>上交</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医学院</w:t>
      </w:r>
      <w:r>
        <w:rPr>
          <w:rFonts w:hint="eastAsia" w:ascii="仿宋_GB2312" w:hAnsi="宋体" w:eastAsia="仿宋_GB2312" w:cs="仿宋_GB2312"/>
          <w:color w:val="000000"/>
          <w:kern w:val="0"/>
          <w:sz w:val="32"/>
          <w:szCs w:val="32"/>
        </w:rPr>
        <w:t>方委托代理人）陈述，前述万</w:t>
      </w:r>
      <w:r>
        <w:rPr>
          <w:rFonts w:hint="eastAsia" w:ascii="仿宋_GB2312" w:hAnsi="宋体" w:eastAsia="仿宋_GB2312" w:cs="仿宋_GB2312"/>
          <w:color w:val="000000"/>
          <w:kern w:val="0"/>
          <w:sz w:val="32"/>
          <w:szCs w:val="32"/>
          <w:lang w:eastAsia="zh-CN"/>
        </w:rPr>
        <w:t>某</w:t>
      </w:r>
      <w:r>
        <w:rPr>
          <w:rFonts w:hint="eastAsia" w:ascii="仿宋_GB2312" w:hAnsi="宋体" w:eastAsia="仿宋_GB2312" w:cs="仿宋_GB2312"/>
          <w:color w:val="000000"/>
          <w:kern w:val="0"/>
          <w:sz w:val="32"/>
          <w:szCs w:val="32"/>
        </w:rPr>
        <w:t>公司与</w:t>
      </w:r>
      <w:r>
        <w:rPr>
          <w:rFonts w:hint="eastAsia" w:ascii="仿宋_GB2312" w:hAnsi="宋体" w:eastAsia="仿宋_GB2312" w:cs="仿宋_GB2312"/>
          <w:kern w:val="0"/>
          <w:sz w:val="32"/>
          <w:szCs w:val="32"/>
        </w:rPr>
        <w:t>上交</w:t>
      </w:r>
      <w:r>
        <w:rPr>
          <w:rFonts w:hint="eastAsia" w:ascii="仿宋_GB2312" w:hAnsi="宋体" w:eastAsia="仿宋_GB2312" w:cs="仿宋_GB2312"/>
          <w:kern w:val="0"/>
          <w:sz w:val="32"/>
          <w:szCs w:val="32"/>
          <w:lang w:eastAsia="zh-CN"/>
        </w:rPr>
        <w:t>某</w:t>
      </w:r>
      <w:r>
        <w:rPr>
          <w:rFonts w:hint="eastAsia" w:ascii="仿宋_GB2312" w:hAnsi="宋体" w:eastAsia="仿宋_GB2312" w:cs="仿宋_GB2312"/>
          <w:kern w:val="0"/>
          <w:sz w:val="32"/>
          <w:szCs w:val="32"/>
        </w:rPr>
        <w:t>医学院</w:t>
      </w:r>
      <w:r>
        <w:rPr>
          <w:rFonts w:hint="eastAsia" w:ascii="仿宋_GB2312" w:hAnsi="宋体" w:eastAsia="仿宋_GB2312" w:cs="仿宋_GB2312"/>
          <w:color w:val="000000"/>
          <w:kern w:val="0"/>
          <w:sz w:val="32"/>
          <w:szCs w:val="32"/>
        </w:rPr>
        <w:t>签订的合同属实，该台“高通量组织研磨仪”自2013年开始使用，</w:t>
      </w:r>
      <w:r>
        <w:rPr>
          <w:rFonts w:hint="eastAsia" w:ascii="仿宋_GB2312" w:hAnsi="宋体" w:eastAsia="仿宋_GB2312" w:cs="仿宋_GB2312"/>
          <w:color w:val="000000"/>
          <w:kern w:val="0"/>
          <w:sz w:val="32"/>
          <w:szCs w:val="32"/>
          <w:lang w:eastAsia="zh-CN"/>
        </w:rPr>
        <w:t>上交某医学院</w:t>
      </w:r>
      <w:r>
        <w:rPr>
          <w:rFonts w:hint="eastAsia" w:ascii="仿宋_GB2312" w:hAnsi="宋体" w:eastAsia="仿宋_GB2312" w:cs="仿宋_GB2312"/>
          <w:color w:val="000000"/>
          <w:kern w:val="0"/>
          <w:sz w:val="32"/>
          <w:szCs w:val="32"/>
        </w:rPr>
        <w:t>曾于2016年进行过资产清点，与机身所贴的二标签所示“</w:t>
      </w:r>
      <w:r>
        <w:rPr>
          <w:rFonts w:hint="eastAsia" w:ascii="仿宋_GB2312" w:hAnsi="宋体" w:eastAsia="仿宋_GB2312" w:cs="仿宋_GB2312"/>
          <w:color w:val="000000"/>
          <w:kern w:val="0"/>
          <w:sz w:val="32"/>
          <w:szCs w:val="32"/>
          <w:lang w:eastAsia="zh-CN"/>
        </w:rPr>
        <w:t>01xxxx11</w:t>
      </w:r>
      <w:r>
        <w:rPr>
          <w:rFonts w:hint="eastAsia" w:ascii="仿宋_GB2312" w:hAnsi="宋体" w:eastAsia="仿宋_GB2312" w:cs="仿宋_GB2312"/>
          <w:color w:val="000000"/>
          <w:kern w:val="0"/>
          <w:sz w:val="32"/>
          <w:szCs w:val="32"/>
        </w:rPr>
        <w:t>”“2016-资产清查”对应，使用过程中仅更换过零部件，外观未作改变。</w:t>
      </w:r>
    </w:p>
    <w:p>
      <w:pPr>
        <w:keepNext w:val="0"/>
        <w:keepLines w:val="0"/>
        <w:pageBreakBefore w:val="0"/>
        <w:widowControl w:val="0"/>
        <w:kinsoku/>
        <w:wordWrap/>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rPr>
      </w:pPr>
      <w:r>
        <w:rPr>
          <w:rFonts w:hint="eastAsia" w:ascii="仿宋_GB2312" w:hAnsi="宋体" w:eastAsia="仿宋_GB2312" w:cs="仿宋_GB2312"/>
          <w:color w:val="000000"/>
          <w:kern w:val="0"/>
          <w:sz w:val="32"/>
          <w:szCs w:val="32"/>
        </w:rPr>
        <w:t>经比对，双方均确认该台“高通量组织研磨仪”与被诉侵权产品外观相同。</w:t>
      </w:r>
    </w:p>
    <w:p>
      <w:pPr>
        <w:keepNext w:val="0"/>
        <w:keepLines w:val="0"/>
        <w:pageBreakBefore w:val="0"/>
        <w:widowControl w:val="0"/>
        <w:kinsoku/>
        <w:wordWrap/>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kern w:val="0"/>
          <w:sz w:val="32"/>
          <w:szCs w:val="32"/>
        </w:rPr>
      </w:pPr>
      <w:r>
        <w:rPr>
          <w:rFonts w:hint="eastAsia" w:ascii="仿宋_GB2312" w:hAnsi="宋体" w:eastAsia="仿宋_GB2312"/>
          <w:color w:val="000000"/>
          <w:kern w:val="0"/>
          <w:sz w:val="32"/>
          <w:szCs w:val="24"/>
        </w:rPr>
        <w:t>另查明，</w:t>
      </w:r>
      <w:r>
        <w:rPr>
          <w:rFonts w:hint="eastAsia" w:ascii="仿宋_GB2312" w:hAnsi="Times New Roman" w:eastAsia="仿宋_GB2312" w:cs="宋体"/>
          <w:color w:val="000000"/>
          <w:kern w:val="0"/>
          <w:sz w:val="32"/>
          <w:szCs w:val="32"/>
          <w:lang w:eastAsia="zh-CN"/>
        </w:rPr>
        <w:t>美某公司</w:t>
      </w:r>
      <w:r>
        <w:rPr>
          <w:rFonts w:hint="eastAsia" w:ascii="仿宋_GB2312" w:hAnsi="Times New Roman" w:eastAsia="仿宋_GB2312" w:cs="宋体"/>
          <w:color w:val="000000"/>
          <w:kern w:val="0"/>
          <w:sz w:val="32"/>
          <w:szCs w:val="32"/>
        </w:rPr>
        <w:t>成立于2017年9月5日，系有限责任公司，注册资本人民币1000万元，经营范围：销售：振荡培养箱（摇床）、组织研磨仪、分析筛分仪、科研仪器、机械设备及配件等。</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s="仿宋_GB2312"/>
          <w:color w:val="000000"/>
          <w:kern w:val="0"/>
          <w:sz w:val="32"/>
          <w:szCs w:val="32"/>
        </w:rPr>
        <w:t>为本案进行证据保全公证，支出公证费4500元。</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olor w:val="000000"/>
          <w:kern w:val="0"/>
          <w:sz w:val="32"/>
          <w:szCs w:val="32"/>
        </w:rPr>
      </w:pPr>
      <w:r>
        <w:rPr>
          <w:rFonts w:hint="eastAsia" w:ascii="仿宋_GB2312" w:hAnsi="宋体" w:eastAsia="仿宋_GB2312" w:cs="仿宋_GB2312"/>
          <w:color w:val="000000"/>
          <w:kern w:val="0"/>
          <w:sz w:val="32"/>
          <w:szCs w:val="32"/>
        </w:rPr>
        <w:t>上述事实有外观设计专利证书、专利登记簿副本、授权专利公告文本、缴费信息查询、专利使用许可合同、外观设计专利权评价报告、</w:t>
      </w:r>
      <w:r>
        <w:rPr>
          <w:rFonts w:hint="eastAsia" w:ascii="仿宋_GB2312" w:hAnsi="宋体" w:eastAsia="仿宋_GB2312"/>
          <w:color w:val="000000"/>
          <w:kern w:val="0"/>
          <w:sz w:val="32"/>
          <w:szCs w:val="24"/>
        </w:rPr>
        <w:t>（2019）沪长证经字第1</w:t>
      </w:r>
      <w:r>
        <w:rPr>
          <w:rFonts w:hint="eastAsia" w:ascii="仿宋_GB2312" w:hAnsi="宋体" w:eastAsia="仿宋_GB2312"/>
          <w:color w:val="000000"/>
          <w:kern w:val="0"/>
          <w:sz w:val="32"/>
          <w:szCs w:val="24"/>
          <w:lang w:val="en-US" w:eastAsia="zh-CN"/>
        </w:rPr>
        <w:t>xx</w:t>
      </w:r>
      <w:r>
        <w:rPr>
          <w:rFonts w:hint="eastAsia" w:ascii="仿宋_GB2312" w:hAnsi="宋体" w:eastAsia="仿宋_GB2312"/>
          <w:color w:val="000000"/>
          <w:kern w:val="0"/>
          <w:sz w:val="32"/>
          <w:szCs w:val="24"/>
        </w:rPr>
        <w:t>2、2</w:t>
      </w:r>
      <w:r>
        <w:rPr>
          <w:rFonts w:hint="eastAsia" w:ascii="仿宋_GB2312" w:hAnsi="宋体" w:eastAsia="仿宋_GB2312"/>
          <w:color w:val="000000"/>
          <w:kern w:val="0"/>
          <w:sz w:val="32"/>
          <w:szCs w:val="24"/>
          <w:lang w:val="en-US" w:eastAsia="zh-CN"/>
        </w:rPr>
        <w:t>xx</w:t>
      </w:r>
      <w:r>
        <w:rPr>
          <w:rFonts w:hint="eastAsia" w:ascii="仿宋_GB2312" w:hAnsi="宋体" w:eastAsia="仿宋_GB2312"/>
          <w:color w:val="000000"/>
          <w:kern w:val="0"/>
          <w:sz w:val="32"/>
          <w:szCs w:val="24"/>
        </w:rPr>
        <w:t>3号公证书、</w:t>
      </w:r>
      <w:r>
        <w:rPr>
          <w:rFonts w:hint="eastAsia" w:ascii="仿宋_GB2312" w:hAnsi="宋体" w:eastAsia="仿宋_GB2312" w:cs="仿宋_GB2312"/>
          <w:color w:val="000000"/>
          <w:kern w:val="0"/>
          <w:sz w:val="32"/>
          <w:szCs w:val="32"/>
        </w:rPr>
        <w:t>公证费发票以及当事人在庭审中的陈述、调查笔录及现有设计实物等证据予以证实。</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eastAsia="仿宋_GB2312"/>
          <w:color w:val="000000"/>
          <w:kern w:val="0"/>
          <w:sz w:val="32"/>
          <w:szCs w:val="32"/>
          <w:lang w:val="zh-CN"/>
        </w:rPr>
      </w:pPr>
      <w:r>
        <w:rPr>
          <w:rFonts w:hint="eastAsia" w:ascii="仿宋_GB2312" w:hAnsi="宋体" w:eastAsia="仿宋_GB2312" w:cs="仿宋_GB2312"/>
          <w:color w:val="000000"/>
          <w:sz w:val="32"/>
          <w:szCs w:val="32"/>
        </w:rPr>
        <w:t>本院认为，</w:t>
      </w:r>
      <w:r>
        <w:rPr>
          <w:rFonts w:hint="eastAsia" w:ascii="仿宋_GB2312" w:hAnsi="宋体" w:eastAsia="仿宋_GB2312"/>
          <w:color w:val="000000"/>
          <w:kern w:val="0"/>
          <w:sz w:val="32"/>
        </w:rPr>
        <w:t>涉案专利在有效期限内，法律状态稳定，其权利人已履行了缴纳专利年费的义务，故该专利为有效专利，应受国家法律保护。</w:t>
      </w:r>
      <w:r>
        <w:rPr>
          <w:rFonts w:hint="eastAsia" w:ascii="仿宋_GB2312" w:hAnsi="宋体" w:eastAsia="仿宋_GB2312" w:cs="仿宋_GB2312"/>
          <w:color w:val="000000"/>
          <w:kern w:val="0"/>
          <w:sz w:val="32"/>
          <w:szCs w:val="32"/>
          <w:lang w:eastAsia="zh-CN"/>
        </w:rPr>
        <w:t>净某公司</w:t>
      </w:r>
      <w:r>
        <w:rPr>
          <w:rFonts w:hint="eastAsia" w:eastAsia="仿宋_GB2312"/>
          <w:color w:val="000000"/>
          <w:kern w:val="0"/>
          <w:sz w:val="32"/>
          <w:szCs w:val="32"/>
          <w:lang w:val="zh-CN"/>
        </w:rPr>
        <w:t>作为涉案专利被独占许可人，有权就侵害涉案专利权的行为提起诉讼。</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关于法律适用，</w:t>
      </w:r>
      <w:r>
        <w:rPr>
          <w:rFonts w:hint="eastAsia" w:ascii="仿宋_GB2312" w:hAnsi="宋体" w:eastAsia="仿宋_GB2312" w:cs="仿宋_GB2312"/>
          <w:color w:val="000000"/>
          <w:kern w:val="0"/>
          <w:sz w:val="32"/>
          <w:szCs w:val="32"/>
          <w:lang w:eastAsia="zh-CN"/>
        </w:rPr>
        <w:t>净某公司</w:t>
      </w:r>
      <w:r>
        <w:rPr>
          <w:rFonts w:hint="eastAsia" w:ascii="仿宋_GB2312" w:hAnsi="宋体" w:eastAsia="仿宋_GB2312"/>
          <w:color w:val="000000"/>
          <w:sz w:val="32"/>
          <w:szCs w:val="32"/>
        </w:rPr>
        <w:t>提起一审诉讼的时间为2021年4月13日，其指控侵权行为亦发生在2021年6月1日《中华人民共和国专利法》的实施日前，故本案应适用《中华人民共和国专利法》（2008年修正）的规定。</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sz w:val="32"/>
          <w:szCs w:val="32"/>
        </w:rPr>
      </w:pPr>
      <w:r>
        <w:rPr>
          <w:rFonts w:hint="eastAsia" w:ascii="仿宋_GB2312" w:hAnsi="宋体" w:eastAsia="仿宋_GB2312" w:cs="仿宋_GB2312"/>
          <w:sz w:val="32"/>
          <w:szCs w:val="32"/>
        </w:rPr>
        <w:t>本案中，被诉侵权产品与涉案专利均系研磨仪，</w:t>
      </w:r>
      <w:r>
        <w:rPr>
          <w:rFonts w:hint="eastAsia" w:ascii="仿宋_GB2312" w:hAnsi="宋体" w:eastAsia="仿宋_GB2312" w:cs="仿宋_GB2312"/>
          <w:color w:val="000000"/>
          <w:sz w:val="32"/>
          <w:szCs w:val="32"/>
        </w:rPr>
        <w:t>属于相同种类的产品。《中华人民共和国专利法》第五十九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八条规定：“在与外观设计专利产品相同或者相近种类产品上，采用与授权外观设计相同或者近似的外观设计的，人民法院应当认定被诉侵权设计落入专利法第五十九条第二款规定的外观设计专利权的保护范围”，第十条规定：“人民法院应当以外观设计专利产品的一般消费者的知识水平和认知能力，判断外观设计是否相同或者近似”，第十一条规定：“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经庭审比对，被诉侵权设计与授权外观设计整体形状相同，仅在主视图有无按钮、后视图接口设计等处存在较为细微的区别。本院认为，上述区别一般消费者通常不容易注意到，从外观设计专利产品的一般消费者的知识水平和认知能力来看，被诉侵权设计与授权外观设计之间在整体视觉效果上无实质性差异，两者构成近似设计。根据整体观察、综合判断的原则，被诉侵权产品已落入涉案外观设计专利权的保护范围。</w:t>
      </w:r>
    </w:p>
    <w:p>
      <w:pPr>
        <w:keepNext w:val="0"/>
        <w:keepLines w:val="0"/>
        <w:pageBreakBefore w:val="0"/>
        <w:widowControl w:val="0"/>
        <w:kinsoku/>
        <w:wordWrap/>
        <w:topLinePunct w:val="0"/>
        <w:autoSpaceDE w:val="0"/>
        <w:autoSpaceDN w:val="0"/>
        <w:bidi w:val="0"/>
        <w:adjustRightInd/>
        <w:snapToGrid/>
        <w:spacing w:line="640" w:lineRule="exact"/>
        <w:ind w:firstLine="640" w:firstLineChars="200"/>
        <w:textAlignment w:val="auto"/>
        <w:rPr>
          <w:rFonts w:ascii="仿宋_GB2312" w:hAnsi="仿宋" w:eastAsia="仿宋_GB2312" w:cs="宋体"/>
          <w:bCs/>
          <w:spacing w:val="-8"/>
          <w:kern w:val="0"/>
          <w:sz w:val="32"/>
          <w:szCs w:val="32"/>
        </w:rPr>
      </w:pPr>
      <w:r>
        <w:rPr>
          <w:rFonts w:hint="eastAsia" w:ascii="仿宋_GB2312" w:hAnsi="宋体" w:eastAsia="仿宋_GB2312" w:cs="仿宋_GB2312"/>
          <w:color w:val="000000"/>
          <w:sz w:val="32"/>
          <w:szCs w:val="32"/>
        </w:rPr>
        <w:t>关于</w:t>
      </w:r>
      <w:r>
        <w:rPr>
          <w:rFonts w:hint="eastAsia" w:ascii="仿宋_GB2312" w:hAnsi="宋体" w:eastAsia="仿宋_GB2312" w:cs="仿宋_GB2312"/>
          <w:color w:val="000000"/>
          <w:sz w:val="32"/>
          <w:szCs w:val="32"/>
          <w:lang w:eastAsia="zh-CN"/>
        </w:rPr>
        <w:t>美某公司</w:t>
      </w:r>
      <w:r>
        <w:rPr>
          <w:rFonts w:hint="eastAsia" w:ascii="仿宋_GB2312" w:hAnsi="宋体" w:eastAsia="仿宋_GB2312" w:cs="仿宋_GB2312"/>
          <w:color w:val="000000"/>
          <w:sz w:val="32"/>
          <w:szCs w:val="32"/>
        </w:rPr>
        <w:t>主张的现有设计抗辩，依据《中华人民共和国专利法》第六十二条、第二十三条规定，在专利侵权纠纷中，被控侵权人有证据证明其实施的技术属于现有技术的，不构成侵犯专利权。现有技术是指申请日以前在国内外为公众所知的技术。包括在申请日（有优先权的，指优先权日）以前在国内外出版物上公开发表、在国内外公开使用或者以其他方式为公众所知的技术，即处于能够为公众获得的状态。本案中，</w:t>
      </w:r>
      <w:r>
        <w:rPr>
          <w:rFonts w:hint="eastAsia" w:ascii="仿宋_GB2312" w:hAnsi="宋体" w:eastAsia="仿宋_GB2312" w:cs="仿宋_GB2312"/>
          <w:color w:val="000000"/>
          <w:sz w:val="32"/>
          <w:szCs w:val="32"/>
          <w:lang w:eastAsia="zh-CN"/>
        </w:rPr>
        <w:t>美某公司</w:t>
      </w:r>
      <w:r>
        <w:rPr>
          <w:rFonts w:hint="eastAsia" w:ascii="仿宋_GB2312" w:hAnsi="宋体" w:eastAsia="仿宋_GB2312" w:cs="仿宋_GB2312"/>
          <w:color w:val="000000"/>
          <w:sz w:val="32"/>
          <w:szCs w:val="32"/>
        </w:rPr>
        <w:t>所主张现有设计抗辩的依据系案外人</w:t>
      </w:r>
      <w:r>
        <w:rPr>
          <w:rFonts w:hint="eastAsia" w:ascii="仿宋_GB2312" w:hAnsi="宋体" w:eastAsia="仿宋_GB2312" w:cs="仿宋_GB2312"/>
          <w:color w:val="000000"/>
          <w:kern w:val="0"/>
          <w:sz w:val="32"/>
          <w:szCs w:val="32"/>
        </w:rPr>
        <w:t>万柏公司于2013年销售给</w:t>
      </w:r>
      <w:r>
        <w:rPr>
          <w:rFonts w:hint="eastAsia" w:ascii="仿宋_GB2312" w:hAnsi="宋体" w:eastAsia="仿宋_GB2312" w:cs="仿宋_GB2312"/>
          <w:color w:val="000000"/>
          <w:kern w:val="0"/>
          <w:sz w:val="32"/>
          <w:szCs w:val="32"/>
          <w:lang w:eastAsia="zh-CN"/>
        </w:rPr>
        <w:t>上交某医学院</w:t>
      </w:r>
      <w:r>
        <w:rPr>
          <w:rFonts w:hint="eastAsia" w:ascii="仿宋_GB2312" w:hAnsi="宋体" w:eastAsia="仿宋_GB2312" w:cs="仿宋_GB2312"/>
          <w:color w:val="000000"/>
          <w:kern w:val="0"/>
          <w:sz w:val="32"/>
          <w:szCs w:val="32"/>
        </w:rPr>
        <w:t>的</w:t>
      </w:r>
      <w:r>
        <w:rPr>
          <w:rFonts w:hint="eastAsia" w:ascii="仿宋_GB2312" w:hAnsi="宋体" w:eastAsia="仿宋_GB2312" w:cs="仿宋_GB2312"/>
          <w:color w:val="000000"/>
          <w:sz w:val="32"/>
          <w:szCs w:val="32"/>
        </w:rPr>
        <w:t>“</w:t>
      </w:r>
      <w:r>
        <w:rPr>
          <w:rFonts w:hint="eastAsia" w:ascii="仿宋_GB2312" w:hAnsi="宋体" w:eastAsia="仿宋_GB2312" w:cs="仿宋_GB2312"/>
          <w:kern w:val="0"/>
          <w:sz w:val="32"/>
          <w:szCs w:val="32"/>
        </w:rPr>
        <w:t>高通量组织研磨仪</w:t>
      </w:r>
      <w:r>
        <w:rPr>
          <w:rFonts w:hint="eastAsia" w:ascii="仿宋_GB2312" w:hAnsi="宋体" w:eastAsia="仿宋_GB2312" w:cs="仿宋_GB2312"/>
          <w:color w:val="000000"/>
          <w:sz w:val="32"/>
          <w:szCs w:val="32"/>
        </w:rPr>
        <w:t>”产品实物。</w:t>
      </w:r>
      <w:r>
        <w:rPr>
          <w:rFonts w:hint="eastAsia" w:ascii="仿宋_GB2312" w:hAnsi="宋体" w:eastAsia="仿宋_GB2312" w:cs="仿宋_GB2312"/>
          <w:sz w:val="32"/>
          <w:szCs w:val="32"/>
        </w:rPr>
        <w:t>对此，</w:t>
      </w:r>
      <w:r>
        <w:rPr>
          <w:rFonts w:hint="eastAsia" w:ascii="仿宋_GB2312" w:hAnsi="宋体" w:eastAsia="仿宋_GB2312" w:cs="仿宋_GB2312"/>
          <w:kern w:val="0"/>
          <w:sz w:val="32"/>
          <w:szCs w:val="32"/>
          <w:lang w:eastAsia="zh-CN"/>
        </w:rPr>
        <w:t>净某公司</w:t>
      </w:r>
      <w:r>
        <w:rPr>
          <w:rFonts w:hint="eastAsia" w:ascii="仿宋_GB2312" w:hAnsi="宋体" w:eastAsia="仿宋_GB2312" w:cs="仿宋_GB2312"/>
          <w:kern w:val="0"/>
          <w:sz w:val="32"/>
          <w:szCs w:val="32"/>
        </w:rPr>
        <w:t>则认为</w:t>
      </w:r>
      <w:r>
        <w:rPr>
          <w:rFonts w:hint="eastAsia" w:ascii="仿宋_GB2312" w:hAnsi="宋体" w:eastAsia="仿宋_GB2312" w:cs="仿宋_GB2312"/>
          <w:kern w:val="0"/>
          <w:sz w:val="32"/>
          <w:szCs w:val="32"/>
          <w:lang w:eastAsia="zh-CN"/>
        </w:rPr>
        <w:t>美某公司</w:t>
      </w:r>
      <w:r>
        <w:rPr>
          <w:rFonts w:hint="eastAsia" w:ascii="仿宋_GB2312" w:hAnsi="宋体" w:eastAsia="仿宋_GB2312" w:cs="仿宋_GB2312"/>
          <w:kern w:val="0"/>
          <w:sz w:val="32"/>
          <w:szCs w:val="32"/>
        </w:rPr>
        <w:t>无法证明该研磨仪的购买时间及外观是否进行过变更，仪器上的标签也系</w:t>
      </w:r>
      <w:r>
        <w:rPr>
          <w:rFonts w:hint="eastAsia" w:ascii="仿宋_GB2312" w:hAnsi="宋体" w:eastAsia="仿宋_GB2312" w:cs="仿宋_GB2312"/>
          <w:kern w:val="0"/>
          <w:sz w:val="32"/>
          <w:szCs w:val="32"/>
          <w:lang w:eastAsia="zh-CN"/>
        </w:rPr>
        <w:t>上交某医学院</w:t>
      </w:r>
      <w:r>
        <w:rPr>
          <w:rFonts w:hint="eastAsia" w:ascii="仿宋_GB2312" w:hAnsi="宋体" w:eastAsia="仿宋_GB2312" w:cs="仿宋_GB2312"/>
          <w:kern w:val="0"/>
          <w:sz w:val="32"/>
          <w:szCs w:val="32"/>
        </w:rPr>
        <w:t>自行制作，无法确定使用时间，且</w:t>
      </w:r>
      <w:r>
        <w:rPr>
          <w:rFonts w:hint="eastAsia" w:ascii="仿宋_GB2312" w:hAnsi="宋体" w:eastAsia="仿宋_GB2312" w:cs="仿宋_GB2312"/>
          <w:kern w:val="0"/>
          <w:sz w:val="32"/>
          <w:szCs w:val="32"/>
          <w:lang w:eastAsia="zh-CN"/>
        </w:rPr>
        <w:t>上交某医学院</w:t>
      </w:r>
      <w:r>
        <w:rPr>
          <w:rFonts w:hint="eastAsia" w:ascii="仿宋_GB2312" w:hAnsi="宋体" w:eastAsia="仿宋_GB2312" w:cs="仿宋_GB2312"/>
          <w:kern w:val="0"/>
          <w:sz w:val="32"/>
          <w:szCs w:val="32"/>
        </w:rPr>
        <w:t>与</w:t>
      </w:r>
      <w:r>
        <w:rPr>
          <w:rFonts w:hint="eastAsia" w:ascii="仿宋_GB2312" w:hAnsi="宋体" w:eastAsia="仿宋_GB2312" w:cs="仿宋_GB2312"/>
          <w:kern w:val="0"/>
          <w:sz w:val="32"/>
          <w:szCs w:val="32"/>
          <w:lang w:eastAsia="zh-CN"/>
        </w:rPr>
        <w:t>美某公司</w:t>
      </w:r>
      <w:r>
        <w:rPr>
          <w:rFonts w:hint="eastAsia" w:ascii="仿宋_GB2312" w:hAnsi="宋体" w:eastAsia="仿宋_GB2312" w:cs="仿宋_GB2312"/>
          <w:kern w:val="0"/>
          <w:sz w:val="32"/>
          <w:szCs w:val="32"/>
        </w:rPr>
        <w:t>具有利害关系，可能做出对</w:t>
      </w:r>
      <w:r>
        <w:rPr>
          <w:rFonts w:hint="eastAsia" w:ascii="仿宋_GB2312" w:hAnsi="宋体" w:eastAsia="仿宋_GB2312" w:cs="仿宋_GB2312"/>
          <w:kern w:val="0"/>
          <w:sz w:val="32"/>
          <w:szCs w:val="32"/>
          <w:lang w:eastAsia="zh-CN"/>
        </w:rPr>
        <w:t>美某公司</w:t>
      </w:r>
      <w:r>
        <w:rPr>
          <w:rFonts w:hint="eastAsia" w:ascii="仿宋_GB2312" w:hAnsi="宋体" w:eastAsia="仿宋_GB2312" w:cs="仿宋_GB2312"/>
          <w:kern w:val="0"/>
          <w:sz w:val="32"/>
          <w:szCs w:val="32"/>
        </w:rPr>
        <w:t>有利陈述，故该实物不能作为现有设计抗辩的依据。对此，本院认为，</w:t>
      </w:r>
      <w:r>
        <w:rPr>
          <w:rFonts w:hint="eastAsia" w:ascii="仿宋_GB2312" w:hAnsi="宋体" w:eastAsia="仿宋_GB2312" w:cs="仿宋_GB2312"/>
          <w:sz w:val="32"/>
          <w:szCs w:val="32"/>
          <w:lang w:eastAsia="zh-CN"/>
        </w:rPr>
        <w:t>上交某医学院</w:t>
      </w:r>
      <w:r>
        <w:rPr>
          <w:rFonts w:hint="eastAsia" w:ascii="仿宋_GB2312" w:hAnsi="宋体" w:eastAsia="仿宋_GB2312" w:cs="仿宋_GB2312"/>
          <w:sz w:val="32"/>
          <w:szCs w:val="32"/>
        </w:rPr>
        <w:t>作为非盈利性组织，且系该现有设计产品的购</w:t>
      </w:r>
      <w:r>
        <w:rPr>
          <w:rFonts w:hint="eastAsia" w:ascii="仿宋_GB2312" w:hAnsi="宋体" w:eastAsia="仿宋_GB2312" w:cs="仿宋_GB2312"/>
          <w:color w:val="000000"/>
          <w:sz w:val="32"/>
          <w:szCs w:val="32"/>
        </w:rPr>
        <w:t>买方，其经办人对该产品的购买情况、购买时间、外观变动的陈述具有可信度，在</w:t>
      </w:r>
      <w:r>
        <w:rPr>
          <w:rFonts w:hint="eastAsia" w:ascii="仿宋_GB2312" w:hAnsi="宋体" w:eastAsia="仿宋_GB2312" w:cs="仿宋_GB2312"/>
          <w:color w:val="000000"/>
          <w:sz w:val="32"/>
          <w:szCs w:val="32"/>
          <w:lang w:eastAsia="zh-CN"/>
        </w:rPr>
        <w:t>净某公司</w:t>
      </w:r>
      <w:r>
        <w:rPr>
          <w:rFonts w:hint="eastAsia" w:ascii="仿宋_GB2312" w:hAnsi="宋体" w:eastAsia="仿宋_GB2312" w:cs="仿宋_GB2312"/>
          <w:color w:val="000000"/>
          <w:sz w:val="32"/>
          <w:szCs w:val="32"/>
        </w:rPr>
        <w:t>未提供反证予以推翻的情形下，本院对相关陈述予以采信。关于该研磨仪存在的时间，虽然该研磨仪上并无生产日期，但结合</w:t>
      </w:r>
      <w:r>
        <w:rPr>
          <w:rFonts w:hint="eastAsia" w:ascii="仿宋_GB2312" w:hAnsi="宋体" w:eastAsia="仿宋_GB2312" w:cs="仿宋_GB2312"/>
          <w:color w:val="000000"/>
          <w:sz w:val="32"/>
          <w:szCs w:val="32"/>
          <w:lang w:eastAsia="zh-CN"/>
        </w:rPr>
        <w:t>上交某医学院</w:t>
      </w:r>
      <w:r>
        <w:rPr>
          <w:rFonts w:hint="eastAsia" w:ascii="仿宋_GB2312" w:hAnsi="宋体" w:eastAsia="仿宋_GB2312" w:cs="仿宋_GB2312"/>
          <w:color w:val="000000"/>
          <w:sz w:val="32"/>
          <w:szCs w:val="32"/>
        </w:rPr>
        <w:t>购买仪器的合同及机身所贴的固定资产标签及资产清点标签和其经办人的陈述，能够确定在涉案专利申请日前，该研磨仪就已存在，且外观并无变动，同时根据本院现场勘验亦未发现存在改变整体外观形态的痕迹。综上，本院认为该“</w:t>
      </w:r>
      <w:r>
        <w:rPr>
          <w:rFonts w:hint="eastAsia" w:ascii="仿宋_GB2312" w:hAnsi="宋体" w:eastAsia="仿宋_GB2312" w:cs="仿宋_GB2312"/>
          <w:kern w:val="0"/>
          <w:sz w:val="32"/>
          <w:szCs w:val="32"/>
        </w:rPr>
        <w:t>高通量组织研磨仪</w:t>
      </w:r>
      <w:r>
        <w:rPr>
          <w:rFonts w:hint="eastAsia" w:ascii="仿宋_GB2312" w:hAnsi="宋体" w:eastAsia="仿宋_GB2312" w:cs="仿宋_GB2312"/>
          <w:color w:val="000000"/>
          <w:sz w:val="32"/>
          <w:szCs w:val="32"/>
        </w:rPr>
        <w:t>”公开时间早于涉案专利申请日，可作为现有设计抗辩的依据。经双方比对，“</w:t>
      </w:r>
      <w:r>
        <w:rPr>
          <w:rFonts w:hint="eastAsia" w:ascii="仿宋_GB2312" w:hAnsi="宋体" w:eastAsia="仿宋_GB2312" w:cs="仿宋_GB2312"/>
          <w:kern w:val="0"/>
          <w:sz w:val="32"/>
          <w:szCs w:val="32"/>
        </w:rPr>
        <w:t>高通量组织研磨仪</w:t>
      </w:r>
      <w:r>
        <w:rPr>
          <w:rFonts w:hint="eastAsia" w:ascii="仿宋_GB2312" w:hAnsi="宋体" w:eastAsia="仿宋_GB2312" w:cs="仿宋_GB2312"/>
          <w:color w:val="000000"/>
          <w:sz w:val="32"/>
          <w:szCs w:val="32"/>
        </w:rPr>
        <w:t>”与被诉侵权产品整体形状相同，视觉效果无差异，故被诉侵权产品</w:t>
      </w:r>
      <w:r>
        <w:rPr>
          <w:rFonts w:hint="eastAsia" w:ascii="仿宋_GB2312" w:hAnsi="仿宋" w:eastAsia="仿宋_GB2312" w:cs="宋体"/>
          <w:bCs/>
          <w:spacing w:val="-8"/>
          <w:kern w:val="0"/>
          <w:sz w:val="32"/>
          <w:szCs w:val="32"/>
        </w:rPr>
        <w:t>所实施的外观设计属于现有设计，</w:t>
      </w:r>
      <w:r>
        <w:rPr>
          <w:rFonts w:hint="eastAsia" w:ascii="仿宋_GB2312" w:hAnsi="仿宋" w:eastAsia="仿宋_GB2312" w:cs="宋体"/>
          <w:bCs/>
          <w:spacing w:val="-8"/>
          <w:kern w:val="0"/>
          <w:sz w:val="32"/>
          <w:szCs w:val="32"/>
          <w:lang w:eastAsia="zh-CN"/>
        </w:rPr>
        <w:t>美某公司</w:t>
      </w:r>
      <w:r>
        <w:rPr>
          <w:rFonts w:hint="eastAsia" w:ascii="仿宋_GB2312" w:hAnsi="仿宋" w:eastAsia="仿宋_GB2312" w:cs="宋体"/>
          <w:bCs/>
          <w:spacing w:val="-8"/>
          <w:kern w:val="0"/>
          <w:sz w:val="32"/>
          <w:szCs w:val="32"/>
        </w:rPr>
        <w:t>据此提出的不侵权抗辩成立。</w:t>
      </w:r>
      <w:r>
        <w:rPr>
          <w:rFonts w:hint="eastAsia" w:ascii="仿宋_GB2312" w:hAnsi="宋体" w:eastAsia="仿宋_GB2312" w:cs="仿宋_GB2312"/>
          <w:color w:val="000000"/>
          <w:sz w:val="32"/>
          <w:szCs w:val="32"/>
          <w:lang w:eastAsia="zh-CN"/>
        </w:rPr>
        <w:t>净某公司</w:t>
      </w:r>
      <w:r>
        <w:rPr>
          <w:rFonts w:hint="eastAsia" w:ascii="仿宋_GB2312" w:hAnsi="仿宋" w:eastAsia="仿宋_GB2312" w:cs="宋体"/>
          <w:bCs/>
          <w:spacing w:val="-8"/>
          <w:kern w:val="0"/>
          <w:sz w:val="32"/>
          <w:szCs w:val="32"/>
        </w:rPr>
        <w:t>对</w:t>
      </w:r>
      <w:r>
        <w:rPr>
          <w:rFonts w:hint="eastAsia" w:ascii="仿宋_GB2312" w:hAnsi="仿宋" w:eastAsia="仿宋_GB2312" w:cs="宋体"/>
          <w:bCs/>
          <w:spacing w:val="-8"/>
          <w:kern w:val="0"/>
          <w:sz w:val="32"/>
          <w:szCs w:val="32"/>
          <w:lang w:eastAsia="zh-CN"/>
        </w:rPr>
        <w:t>美某公司</w:t>
      </w:r>
      <w:r>
        <w:rPr>
          <w:rFonts w:hint="eastAsia" w:ascii="仿宋_GB2312" w:hAnsi="仿宋" w:eastAsia="仿宋_GB2312" w:cs="宋体"/>
          <w:bCs/>
          <w:spacing w:val="-8"/>
          <w:kern w:val="0"/>
          <w:sz w:val="32"/>
          <w:szCs w:val="32"/>
        </w:rPr>
        <w:t>的诉讼主张无事实及法律依据，不能成立，本院不予支持。</w:t>
      </w:r>
    </w:p>
    <w:p>
      <w:pPr>
        <w:keepNext w:val="0"/>
        <w:keepLines w:val="0"/>
        <w:pageBreakBefore w:val="0"/>
        <w:widowControl w:val="0"/>
        <w:kinsoku/>
        <w:wordWrap/>
        <w:overflowPunct w:val="0"/>
        <w:topLinePunct w:val="0"/>
        <w:autoSpaceDE w:val="0"/>
        <w:autoSpaceDN w:val="0"/>
        <w:bidi w:val="0"/>
        <w:adjustRightInd/>
        <w:snapToGrid/>
        <w:spacing w:line="640" w:lineRule="exact"/>
        <w:ind w:firstLine="640" w:firstLineChars="200"/>
        <w:textAlignment w:val="auto"/>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综上，</w:t>
      </w:r>
      <w:r>
        <w:rPr>
          <w:rFonts w:hint="eastAsia" w:ascii="仿宋_GB2312" w:hAnsi="Times New Roman" w:eastAsia="仿宋_GB2312"/>
          <w:color w:val="000000"/>
          <w:sz w:val="32"/>
          <w:szCs w:val="32"/>
        </w:rPr>
        <w:t>依照《中华人民共和国专利法》（2008年修正）第五十九条第二款、第六十二条，《最高人民法院关于审理侵犯专利权纠纷案件应用法律若干问题的解释》第八条、第九条、第十条、第十一条、第十四条第二款，《中华人民共和国民事诉讼法》第六十四条之规定，判决如下：</w:t>
      </w:r>
    </w:p>
    <w:p>
      <w:pPr>
        <w:keepNext w:val="0"/>
        <w:keepLines w:val="0"/>
        <w:pageBreakBefore w:val="0"/>
        <w:widowControl w:val="0"/>
        <w:kinsoku/>
        <w:wordWrap/>
        <w:topLinePunct w:val="0"/>
        <w:bidi w:val="0"/>
        <w:adjustRightInd/>
        <w:snapToGrid/>
        <w:spacing w:line="640" w:lineRule="exact"/>
        <w:ind w:firstLine="640" w:firstLineChars="200"/>
        <w:textAlignment w:val="auto"/>
        <w:rPr>
          <w:rFonts w:ascii="仿宋_GB2312" w:hAnsi="Times New Roman" w:eastAsia="仿宋_GB2312"/>
          <w:color w:val="000000"/>
          <w:sz w:val="32"/>
          <w:szCs w:val="32"/>
        </w:rPr>
      </w:pPr>
      <w:r>
        <w:rPr>
          <w:rFonts w:hint="eastAsia" w:ascii="仿宋_GB2312" w:hAnsi="Times New Roman" w:eastAsia="仿宋_GB2312"/>
          <w:color w:val="000000"/>
          <w:sz w:val="32"/>
          <w:szCs w:val="32"/>
        </w:rPr>
        <w:t>驳回原告上海净</w:t>
      </w:r>
      <w:r>
        <w:rPr>
          <w:rFonts w:hint="eastAsia" w:ascii="仿宋_GB2312" w:hAnsi="Times New Roman" w:eastAsia="仿宋_GB2312"/>
          <w:color w:val="000000"/>
          <w:sz w:val="32"/>
          <w:szCs w:val="32"/>
          <w:lang w:eastAsia="zh-CN"/>
        </w:rPr>
        <w:t>某</w:t>
      </w:r>
      <w:r>
        <w:rPr>
          <w:rFonts w:hint="eastAsia" w:ascii="仿宋_GB2312" w:hAnsi="Times New Roman" w:eastAsia="仿宋_GB2312"/>
          <w:color w:val="000000"/>
          <w:sz w:val="32"/>
          <w:szCs w:val="32"/>
        </w:rPr>
        <w:t>实业发展有限公司的诉讼请求。</w:t>
      </w:r>
    </w:p>
    <w:p>
      <w:pPr>
        <w:keepNext w:val="0"/>
        <w:keepLines w:val="0"/>
        <w:pageBreakBefore w:val="0"/>
        <w:widowControl w:val="0"/>
        <w:kinsoku/>
        <w:wordWrap/>
        <w:topLinePunct w:val="0"/>
        <w:bidi w:val="0"/>
        <w:adjustRightInd/>
        <w:snapToGrid/>
        <w:spacing w:line="640" w:lineRule="exact"/>
        <w:ind w:firstLine="640" w:firstLineChars="200"/>
        <w:textAlignment w:val="auto"/>
        <w:rPr>
          <w:rFonts w:ascii="仿宋_GB2312" w:hAnsi="Times New Roman" w:eastAsia="仿宋_GB2312"/>
          <w:color w:val="000000"/>
          <w:sz w:val="32"/>
          <w:szCs w:val="32"/>
        </w:rPr>
      </w:pPr>
      <w:r>
        <w:rPr>
          <w:rFonts w:hint="eastAsia" w:ascii="仿宋_GB2312" w:hAnsi="Times New Roman" w:eastAsia="仿宋_GB2312"/>
          <w:color w:val="000000"/>
          <w:sz w:val="32"/>
          <w:szCs w:val="32"/>
        </w:rPr>
        <w:t>案件受理费人民币13856元，由原告</w:t>
      </w:r>
      <w:r>
        <w:rPr>
          <w:rFonts w:hint="eastAsia" w:ascii="仿宋_GB2312" w:hAnsi="宋体" w:eastAsia="仿宋_GB2312" w:cs="仿宋_GB2312"/>
          <w:color w:val="000000"/>
          <w:kern w:val="0"/>
          <w:sz w:val="32"/>
          <w:szCs w:val="32"/>
        </w:rPr>
        <w:t>上海净</w:t>
      </w:r>
      <w:r>
        <w:rPr>
          <w:rFonts w:hint="eastAsia" w:ascii="仿宋_GB2312" w:hAnsi="宋体" w:eastAsia="仿宋_GB2312" w:cs="仿宋_GB2312"/>
          <w:color w:val="000000"/>
          <w:kern w:val="0"/>
          <w:sz w:val="32"/>
          <w:szCs w:val="32"/>
          <w:lang w:eastAsia="zh-CN"/>
        </w:rPr>
        <w:t>某</w:t>
      </w:r>
      <w:bookmarkStart w:id="0" w:name="_GoBack"/>
      <w:bookmarkEnd w:id="0"/>
      <w:r>
        <w:rPr>
          <w:rFonts w:hint="eastAsia" w:ascii="仿宋_GB2312" w:hAnsi="宋体" w:eastAsia="仿宋_GB2312" w:cs="仿宋_GB2312"/>
          <w:color w:val="000000"/>
          <w:kern w:val="0"/>
          <w:sz w:val="32"/>
          <w:szCs w:val="32"/>
        </w:rPr>
        <w:t>实业发展有限公司</w:t>
      </w:r>
      <w:r>
        <w:rPr>
          <w:rFonts w:hint="eastAsia" w:ascii="仿宋_GB2312" w:hAnsi="Times New Roman" w:eastAsia="仿宋_GB2312"/>
          <w:color w:val="000000"/>
          <w:sz w:val="32"/>
          <w:szCs w:val="32"/>
        </w:rPr>
        <w:t>负担。</w:t>
      </w:r>
    </w:p>
    <w:p>
      <w:pPr>
        <w:keepNext w:val="0"/>
        <w:keepLines w:val="0"/>
        <w:pageBreakBefore w:val="0"/>
        <w:widowControl w:val="0"/>
        <w:kinsoku/>
        <w:wordWrap/>
        <w:topLinePunct w:val="0"/>
        <w:bidi w:val="0"/>
        <w:adjustRightInd/>
        <w:snapToGrid/>
        <w:spacing w:line="640" w:lineRule="exact"/>
        <w:ind w:firstLine="640" w:firstLineChars="200"/>
        <w:textAlignment w:val="auto"/>
        <w:rPr>
          <w:rFonts w:ascii="仿宋_GB2312" w:eastAsia="仿宋_GB2312"/>
          <w:sz w:val="32"/>
          <w:szCs w:val="32"/>
        </w:rPr>
      </w:pPr>
      <w:r>
        <w:rPr>
          <w:rFonts w:hint="eastAsia" w:ascii="仿宋_GB2312" w:hAnsi="Times New Roman" w:eastAsia="仿宋_GB2312"/>
          <w:color w:val="000000"/>
          <w:sz w:val="32"/>
          <w:szCs w:val="32"/>
        </w:rPr>
        <w:t>如不服本判决，可在判决书送达之日起十五日内向本院递交上诉状，并按照对方当事人的人数提出副本，上诉于浙江省高级人民法院，并向浙江省高级人民法院指定账户预交上诉案件受理费。对财产案件提起上诉的，案件受理费按照不服一审判决部分的上诉请求预交。在收到《上诉费用交纳通知书》次日起七日内仍未缴纳的，按自动撤回上诉处理。浙江省高级人民法院户名、开户行、指定账号详见《上诉费用交纳通知书》。</w:t>
      </w:r>
    </w:p>
    <w:p>
      <w:pPr>
        <w:spacing w:line="480" w:lineRule="exact"/>
        <w:ind w:firstLine="640" w:firstLineChars="200"/>
        <w:rPr>
          <w:rFonts w:ascii="仿宋_GB2312" w:eastAsia="仿宋_GB2312"/>
          <w:sz w:val="32"/>
          <w:szCs w:val="32"/>
        </w:rPr>
      </w:pPr>
    </w:p>
    <w:p>
      <w:pPr>
        <w:spacing w:line="560" w:lineRule="exact"/>
        <w:ind w:firstLine="640" w:firstLineChars="200"/>
        <w:jc w:val="right"/>
        <w:rPr>
          <w:rFonts w:ascii="仿宋_GB2312" w:hAnsi="宋体" w:eastAsia="仿宋_GB2312"/>
          <w:sz w:val="32"/>
          <w:szCs w:val="32"/>
        </w:rPr>
      </w:pPr>
      <w:r>
        <w:rPr>
          <w:rFonts w:hint="eastAsia" w:ascii="仿宋_GB2312" w:hAnsi="宋体" w:eastAsia="仿宋_GB2312"/>
          <w:sz w:val="32"/>
          <w:szCs w:val="32"/>
        </w:rPr>
        <w:t>审　　判　　长　　　黄斯蓓</w:t>
      </w:r>
    </w:p>
    <w:p>
      <w:pPr>
        <w:spacing w:line="560" w:lineRule="exact"/>
        <w:ind w:firstLine="640" w:firstLineChars="200"/>
        <w:jc w:val="right"/>
        <w:rPr>
          <w:rFonts w:ascii="仿宋_GB2312" w:hAnsi="宋体" w:eastAsia="仿宋_GB2312"/>
          <w:sz w:val="32"/>
          <w:szCs w:val="32"/>
        </w:rPr>
      </w:pPr>
      <w:r>
        <w:rPr>
          <w:rFonts w:hint="eastAsia" w:ascii="仿宋_GB2312" w:hAnsi="宋体" w:eastAsia="仿宋_GB2312"/>
          <w:sz w:val="32"/>
          <w:szCs w:val="32"/>
        </w:rPr>
        <w:t>人 民 陪 审 员　　　宣日东</w:t>
      </w:r>
    </w:p>
    <w:p>
      <w:pPr>
        <w:spacing w:line="560" w:lineRule="exact"/>
        <w:ind w:firstLine="640" w:firstLineChars="200"/>
        <w:jc w:val="right"/>
        <w:rPr>
          <w:rFonts w:ascii="仿宋_GB2312" w:hAnsi="宋体" w:eastAsia="仿宋_GB2312"/>
          <w:sz w:val="32"/>
          <w:szCs w:val="32"/>
        </w:rPr>
      </w:pPr>
      <w:r>
        <w:rPr>
          <w:rFonts w:hint="eastAsia" w:ascii="仿宋_GB2312" w:hAnsi="宋体" w:eastAsia="仿宋_GB2312"/>
          <w:sz w:val="32"/>
          <w:szCs w:val="32"/>
        </w:rPr>
        <w:t>人 民 陪 审 员　　　周庆选</w:t>
      </w:r>
    </w:p>
    <w:p>
      <w:pPr>
        <w:spacing w:line="560" w:lineRule="exact"/>
        <w:ind w:firstLine="640" w:firstLineChars="200"/>
        <w:jc w:val="right"/>
        <w:rPr>
          <w:rFonts w:ascii="仿宋_GB2312" w:hAnsi="宋体" w:eastAsia="仿宋_GB2312"/>
          <w:sz w:val="32"/>
          <w:szCs w:val="32"/>
        </w:rPr>
      </w:pPr>
    </w:p>
    <w:p>
      <w:pPr>
        <w:spacing w:line="560" w:lineRule="exact"/>
        <w:ind w:firstLine="640" w:firstLineChars="200"/>
        <w:jc w:val="right"/>
        <w:rPr>
          <w:rFonts w:ascii="仿宋_GB2312" w:hAnsi="宋体" w:eastAsia="仿宋_GB2312"/>
          <w:sz w:val="32"/>
          <w:szCs w:val="32"/>
        </w:rPr>
      </w:pPr>
    </w:p>
    <w:p>
      <w:pPr>
        <w:spacing w:line="560" w:lineRule="exact"/>
        <w:ind w:firstLine="640" w:firstLineChars="200"/>
        <w:jc w:val="right"/>
        <w:rPr>
          <w:rFonts w:ascii="仿宋_GB2312" w:hAnsi="宋体" w:eastAsia="仿宋_GB2312"/>
          <w:sz w:val="32"/>
          <w:szCs w:val="32"/>
        </w:rPr>
      </w:pPr>
    </w:p>
    <w:p>
      <w:pPr>
        <w:wordWrap w:val="0"/>
        <w:spacing w:line="560" w:lineRule="exact"/>
        <w:ind w:firstLine="640" w:firstLineChars="200"/>
        <w:jc w:val="right"/>
        <w:rPr>
          <w:rFonts w:ascii="仿宋_GB2312" w:hAnsi="宋体" w:eastAsia="仿宋_GB2312"/>
          <w:sz w:val="32"/>
          <w:szCs w:val="32"/>
        </w:rPr>
      </w:pPr>
      <w:r>
        <w:rPr>
          <w:rFonts w:hint="eastAsia" w:ascii="仿宋_GB2312" w:hAnsi="宋体" w:eastAsia="仿宋_GB2312"/>
          <w:sz w:val="32"/>
          <w:szCs w:val="32"/>
        </w:rPr>
        <w:t>二○二一年十</w:t>
      </w:r>
      <w:r>
        <w:rPr>
          <w:rFonts w:hint="eastAsia" w:ascii="仿宋_GB2312" w:hAnsi="宋体" w:eastAsia="仿宋_GB2312"/>
          <w:sz w:val="32"/>
          <w:szCs w:val="32"/>
          <w:lang w:eastAsia="zh-CN"/>
        </w:rPr>
        <w:t>二</w:t>
      </w:r>
      <w:r>
        <w:rPr>
          <w:rFonts w:hint="eastAsia" w:ascii="仿宋_GB2312" w:hAnsi="宋体" w:eastAsia="仿宋_GB2312"/>
          <w:sz w:val="32"/>
          <w:szCs w:val="32"/>
        </w:rPr>
        <w:t>月十</w:t>
      </w:r>
      <w:r>
        <w:rPr>
          <w:rFonts w:hint="eastAsia" w:ascii="仿宋_GB2312" w:hAnsi="宋体" w:eastAsia="仿宋_GB2312"/>
          <w:sz w:val="32"/>
          <w:szCs w:val="32"/>
          <w:lang w:eastAsia="zh-CN"/>
        </w:rPr>
        <w:t>七</w:t>
      </w:r>
      <w:r>
        <w:rPr>
          <w:rFonts w:hint="eastAsia" w:ascii="仿宋_GB2312" w:hAnsi="宋体" w:eastAsia="仿宋_GB2312"/>
          <w:sz w:val="32"/>
          <w:szCs w:val="32"/>
        </w:rPr>
        <w:t>日</w:t>
      </w:r>
    </w:p>
    <w:p>
      <w:pPr>
        <w:spacing w:line="560" w:lineRule="exact"/>
        <w:ind w:firstLine="640" w:firstLineChars="200"/>
        <w:jc w:val="right"/>
        <w:rPr>
          <w:rFonts w:ascii="仿宋_GB2312" w:hAnsi="宋体" w:eastAsia="仿宋_GB2312"/>
          <w:sz w:val="32"/>
          <w:szCs w:val="32"/>
        </w:rPr>
      </w:pPr>
    </w:p>
    <w:p>
      <w:pPr>
        <w:spacing w:line="560" w:lineRule="exact"/>
        <w:ind w:firstLine="640" w:firstLineChars="200"/>
        <w:jc w:val="right"/>
        <w:rPr>
          <w:rFonts w:ascii="仿宋_GB2312" w:hAnsi="宋体" w:eastAsia="仿宋_GB2312"/>
          <w:sz w:val="32"/>
          <w:szCs w:val="32"/>
        </w:rPr>
      </w:pPr>
      <w:r>
        <w:rPr>
          <w:rFonts w:hint="eastAsia" w:ascii="仿宋_GB2312" w:hAnsi="宋体" w:eastAsia="仿宋_GB2312"/>
          <w:sz w:val="32"/>
          <w:szCs w:val="32"/>
        </w:rPr>
        <w:t xml:space="preserve">                    法  官  助  理      李  涵</w:t>
      </w:r>
    </w:p>
    <w:p>
      <w:pPr>
        <w:spacing w:line="560" w:lineRule="exact"/>
        <w:ind w:firstLine="640" w:firstLineChars="200"/>
        <w:jc w:val="right"/>
        <w:rPr>
          <w:rFonts w:ascii="仿宋_GB2312" w:hAnsi="宋体" w:eastAsia="仿宋_GB2312"/>
          <w:kern w:val="32"/>
          <w:sz w:val="32"/>
          <w:szCs w:val="32"/>
        </w:rPr>
      </w:pPr>
      <w:r>
        <w:rPr>
          <w:rFonts w:hint="eastAsia" w:ascii="仿宋_GB2312" w:hAnsi="宋体" w:eastAsia="仿宋_GB2312"/>
          <w:sz w:val="32"/>
          <w:szCs w:val="32"/>
        </w:rPr>
        <w:t>书　　记　　员　　　</w:t>
      </w:r>
      <w:r>
        <w:rPr>
          <w:rFonts w:hint="eastAsia" w:ascii="仿宋_GB2312" w:hAnsi="宋体" w:eastAsia="仿宋_GB2312"/>
          <w:kern w:val="32"/>
          <w:sz w:val="32"/>
          <w:szCs w:val="32"/>
        </w:rPr>
        <w:t>汪鹤群</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 w:name="国标宋体-超大字符集扩">
    <w:panose1 w:val="00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cs="Times New Roman"/>
      </w:rPr>
    </w:sdtEndPr>
    <w:sdtContent>
      <w:p>
        <w:pPr>
          <w:pStyle w:val="2"/>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w:t>
        </w:r>
        <w:r>
          <w:rPr>
            <w:rFonts w:ascii="Times New Roman" w:hAnsi="Times New Roman" w:cs="Times New Roma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A63"/>
    <w:rsid w:val="00001AA4"/>
    <w:rsid w:val="00001FB9"/>
    <w:rsid w:val="00004CD7"/>
    <w:rsid w:val="00011213"/>
    <w:rsid w:val="00011765"/>
    <w:rsid w:val="00031995"/>
    <w:rsid w:val="00033E5D"/>
    <w:rsid w:val="000419AD"/>
    <w:rsid w:val="00043FBA"/>
    <w:rsid w:val="000573D6"/>
    <w:rsid w:val="00062A39"/>
    <w:rsid w:val="000737E7"/>
    <w:rsid w:val="000751DE"/>
    <w:rsid w:val="00084026"/>
    <w:rsid w:val="0008794F"/>
    <w:rsid w:val="00094957"/>
    <w:rsid w:val="000955F1"/>
    <w:rsid w:val="0009713D"/>
    <w:rsid w:val="000A363E"/>
    <w:rsid w:val="000A5D72"/>
    <w:rsid w:val="000A64A7"/>
    <w:rsid w:val="000B1EE1"/>
    <w:rsid w:val="000B6BA9"/>
    <w:rsid w:val="000C4721"/>
    <w:rsid w:val="000C714E"/>
    <w:rsid w:val="000C7879"/>
    <w:rsid w:val="000D1502"/>
    <w:rsid w:val="000D6E50"/>
    <w:rsid w:val="000E2C28"/>
    <w:rsid w:val="000F0312"/>
    <w:rsid w:val="000F4E02"/>
    <w:rsid w:val="001035CD"/>
    <w:rsid w:val="0011319B"/>
    <w:rsid w:val="00126C10"/>
    <w:rsid w:val="00133647"/>
    <w:rsid w:val="00135B57"/>
    <w:rsid w:val="00141CBD"/>
    <w:rsid w:val="001464DA"/>
    <w:rsid w:val="00157FEC"/>
    <w:rsid w:val="00163D7B"/>
    <w:rsid w:val="001728DC"/>
    <w:rsid w:val="001A0609"/>
    <w:rsid w:val="001A7B34"/>
    <w:rsid w:val="001B2144"/>
    <w:rsid w:val="001B46F8"/>
    <w:rsid w:val="001B6FDD"/>
    <w:rsid w:val="001C419E"/>
    <w:rsid w:val="001D09CC"/>
    <w:rsid w:val="001D0C4A"/>
    <w:rsid w:val="001D404F"/>
    <w:rsid w:val="001E2D47"/>
    <w:rsid w:val="001E389B"/>
    <w:rsid w:val="001E45B6"/>
    <w:rsid w:val="001F2F9B"/>
    <w:rsid w:val="0020201B"/>
    <w:rsid w:val="00215FBE"/>
    <w:rsid w:val="00234AA8"/>
    <w:rsid w:val="00240E0E"/>
    <w:rsid w:val="0024141A"/>
    <w:rsid w:val="00245260"/>
    <w:rsid w:val="00264876"/>
    <w:rsid w:val="002707C0"/>
    <w:rsid w:val="002723BD"/>
    <w:rsid w:val="002762CD"/>
    <w:rsid w:val="00276A02"/>
    <w:rsid w:val="002812BC"/>
    <w:rsid w:val="00285848"/>
    <w:rsid w:val="00286832"/>
    <w:rsid w:val="002B5D2D"/>
    <w:rsid w:val="002D4EBD"/>
    <w:rsid w:val="002E52F3"/>
    <w:rsid w:val="002E60C6"/>
    <w:rsid w:val="002E61CB"/>
    <w:rsid w:val="002F2566"/>
    <w:rsid w:val="002F43FB"/>
    <w:rsid w:val="002F463A"/>
    <w:rsid w:val="00304135"/>
    <w:rsid w:val="00313CC0"/>
    <w:rsid w:val="0031738F"/>
    <w:rsid w:val="00321CD6"/>
    <w:rsid w:val="00342647"/>
    <w:rsid w:val="00343704"/>
    <w:rsid w:val="00353AC9"/>
    <w:rsid w:val="00354502"/>
    <w:rsid w:val="0036228E"/>
    <w:rsid w:val="00373A36"/>
    <w:rsid w:val="00374FC8"/>
    <w:rsid w:val="00380C8C"/>
    <w:rsid w:val="00382C8D"/>
    <w:rsid w:val="003920D3"/>
    <w:rsid w:val="003A4A77"/>
    <w:rsid w:val="003B5648"/>
    <w:rsid w:val="003B6220"/>
    <w:rsid w:val="003C2F7F"/>
    <w:rsid w:val="003C3E79"/>
    <w:rsid w:val="003D1B94"/>
    <w:rsid w:val="003D1D4A"/>
    <w:rsid w:val="003D4B69"/>
    <w:rsid w:val="003E4F4C"/>
    <w:rsid w:val="00401E64"/>
    <w:rsid w:val="004123A8"/>
    <w:rsid w:val="00413055"/>
    <w:rsid w:val="00421784"/>
    <w:rsid w:val="004230C1"/>
    <w:rsid w:val="00424417"/>
    <w:rsid w:val="00426699"/>
    <w:rsid w:val="0044071D"/>
    <w:rsid w:val="00445D69"/>
    <w:rsid w:val="00446B3C"/>
    <w:rsid w:val="00457768"/>
    <w:rsid w:val="00457CB2"/>
    <w:rsid w:val="00460774"/>
    <w:rsid w:val="00462774"/>
    <w:rsid w:val="004663BD"/>
    <w:rsid w:val="00476CD4"/>
    <w:rsid w:val="004806BD"/>
    <w:rsid w:val="004831ED"/>
    <w:rsid w:val="0048344F"/>
    <w:rsid w:val="0048489D"/>
    <w:rsid w:val="00495BDC"/>
    <w:rsid w:val="004B713D"/>
    <w:rsid w:val="004D11F9"/>
    <w:rsid w:val="004D1A39"/>
    <w:rsid w:val="004D1C7F"/>
    <w:rsid w:val="004E4FD0"/>
    <w:rsid w:val="00503208"/>
    <w:rsid w:val="005127AC"/>
    <w:rsid w:val="005130FD"/>
    <w:rsid w:val="0053539C"/>
    <w:rsid w:val="00544000"/>
    <w:rsid w:val="005474BE"/>
    <w:rsid w:val="00551942"/>
    <w:rsid w:val="00563BC9"/>
    <w:rsid w:val="00564431"/>
    <w:rsid w:val="005669FC"/>
    <w:rsid w:val="00566FC7"/>
    <w:rsid w:val="00587A38"/>
    <w:rsid w:val="005951F2"/>
    <w:rsid w:val="005A23D3"/>
    <w:rsid w:val="005A6266"/>
    <w:rsid w:val="005B366E"/>
    <w:rsid w:val="005D155B"/>
    <w:rsid w:val="005D1C3A"/>
    <w:rsid w:val="005E3844"/>
    <w:rsid w:val="005F60BE"/>
    <w:rsid w:val="00610527"/>
    <w:rsid w:val="0061288C"/>
    <w:rsid w:val="0061407A"/>
    <w:rsid w:val="006149A0"/>
    <w:rsid w:val="00633037"/>
    <w:rsid w:val="00635DB5"/>
    <w:rsid w:val="00650081"/>
    <w:rsid w:val="0065186A"/>
    <w:rsid w:val="00656958"/>
    <w:rsid w:val="006570BD"/>
    <w:rsid w:val="00657F82"/>
    <w:rsid w:val="00664207"/>
    <w:rsid w:val="00664A38"/>
    <w:rsid w:val="00686FA6"/>
    <w:rsid w:val="00692493"/>
    <w:rsid w:val="006B0235"/>
    <w:rsid w:val="006C07B0"/>
    <w:rsid w:val="006C6D82"/>
    <w:rsid w:val="006D5AE1"/>
    <w:rsid w:val="006E36DD"/>
    <w:rsid w:val="006E3E78"/>
    <w:rsid w:val="006F762F"/>
    <w:rsid w:val="0070020C"/>
    <w:rsid w:val="00702A09"/>
    <w:rsid w:val="007055DA"/>
    <w:rsid w:val="00707CB3"/>
    <w:rsid w:val="00720A81"/>
    <w:rsid w:val="00722A79"/>
    <w:rsid w:val="007669DF"/>
    <w:rsid w:val="007711DC"/>
    <w:rsid w:val="00793B35"/>
    <w:rsid w:val="007A2D04"/>
    <w:rsid w:val="007A6058"/>
    <w:rsid w:val="007D3B1B"/>
    <w:rsid w:val="007D3D11"/>
    <w:rsid w:val="007E4F9B"/>
    <w:rsid w:val="007E52E2"/>
    <w:rsid w:val="007F3384"/>
    <w:rsid w:val="007F77F7"/>
    <w:rsid w:val="008104BE"/>
    <w:rsid w:val="00810ABD"/>
    <w:rsid w:val="008122A0"/>
    <w:rsid w:val="00814F45"/>
    <w:rsid w:val="00814F4D"/>
    <w:rsid w:val="008244BE"/>
    <w:rsid w:val="008405B4"/>
    <w:rsid w:val="00844370"/>
    <w:rsid w:val="00846844"/>
    <w:rsid w:val="00850B38"/>
    <w:rsid w:val="00851CF4"/>
    <w:rsid w:val="008522A2"/>
    <w:rsid w:val="008538C1"/>
    <w:rsid w:val="00854A63"/>
    <w:rsid w:val="008632B9"/>
    <w:rsid w:val="00870EFF"/>
    <w:rsid w:val="008859F3"/>
    <w:rsid w:val="008A1407"/>
    <w:rsid w:val="008A2878"/>
    <w:rsid w:val="008B1AB0"/>
    <w:rsid w:val="008B6064"/>
    <w:rsid w:val="008B72BF"/>
    <w:rsid w:val="008C26EF"/>
    <w:rsid w:val="008C4BD5"/>
    <w:rsid w:val="008C7778"/>
    <w:rsid w:val="008D3AA8"/>
    <w:rsid w:val="008E0391"/>
    <w:rsid w:val="008F2C2B"/>
    <w:rsid w:val="009268CA"/>
    <w:rsid w:val="00927BEC"/>
    <w:rsid w:val="00930BB4"/>
    <w:rsid w:val="00935C35"/>
    <w:rsid w:val="00941F81"/>
    <w:rsid w:val="009424A5"/>
    <w:rsid w:val="0094367C"/>
    <w:rsid w:val="00945B56"/>
    <w:rsid w:val="0094624B"/>
    <w:rsid w:val="00953028"/>
    <w:rsid w:val="00957B43"/>
    <w:rsid w:val="00961566"/>
    <w:rsid w:val="009668EB"/>
    <w:rsid w:val="00980BA5"/>
    <w:rsid w:val="0099511F"/>
    <w:rsid w:val="009A00D1"/>
    <w:rsid w:val="009B2D5C"/>
    <w:rsid w:val="009C6F5A"/>
    <w:rsid w:val="009D0E6F"/>
    <w:rsid w:val="009D18B5"/>
    <w:rsid w:val="009D1D42"/>
    <w:rsid w:val="009D1F44"/>
    <w:rsid w:val="009D202E"/>
    <w:rsid w:val="009E2F53"/>
    <w:rsid w:val="009E5E14"/>
    <w:rsid w:val="00A2649F"/>
    <w:rsid w:val="00A32B40"/>
    <w:rsid w:val="00A34006"/>
    <w:rsid w:val="00A412E3"/>
    <w:rsid w:val="00A43180"/>
    <w:rsid w:val="00A60BDE"/>
    <w:rsid w:val="00A6603C"/>
    <w:rsid w:val="00A67A4E"/>
    <w:rsid w:val="00A70FD5"/>
    <w:rsid w:val="00A76B37"/>
    <w:rsid w:val="00A93CAD"/>
    <w:rsid w:val="00A96603"/>
    <w:rsid w:val="00AA068D"/>
    <w:rsid w:val="00AD1225"/>
    <w:rsid w:val="00AD3EA3"/>
    <w:rsid w:val="00AD5994"/>
    <w:rsid w:val="00AE137B"/>
    <w:rsid w:val="00AF2A4F"/>
    <w:rsid w:val="00AF40FA"/>
    <w:rsid w:val="00B05F6E"/>
    <w:rsid w:val="00B06766"/>
    <w:rsid w:val="00B106E2"/>
    <w:rsid w:val="00B1705B"/>
    <w:rsid w:val="00B21EAD"/>
    <w:rsid w:val="00B34D54"/>
    <w:rsid w:val="00B56A28"/>
    <w:rsid w:val="00B61BE0"/>
    <w:rsid w:val="00B64392"/>
    <w:rsid w:val="00B66E3E"/>
    <w:rsid w:val="00B80001"/>
    <w:rsid w:val="00B86676"/>
    <w:rsid w:val="00B9106F"/>
    <w:rsid w:val="00B92B51"/>
    <w:rsid w:val="00B977F5"/>
    <w:rsid w:val="00BC6582"/>
    <w:rsid w:val="00BD4595"/>
    <w:rsid w:val="00BD7FB2"/>
    <w:rsid w:val="00BE12D3"/>
    <w:rsid w:val="00BF0EC5"/>
    <w:rsid w:val="00C03740"/>
    <w:rsid w:val="00C0791F"/>
    <w:rsid w:val="00C10E90"/>
    <w:rsid w:val="00C12E52"/>
    <w:rsid w:val="00C15AE7"/>
    <w:rsid w:val="00C2060F"/>
    <w:rsid w:val="00C2151D"/>
    <w:rsid w:val="00C23585"/>
    <w:rsid w:val="00C33BED"/>
    <w:rsid w:val="00C518A4"/>
    <w:rsid w:val="00C539C5"/>
    <w:rsid w:val="00C65747"/>
    <w:rsid w:val="00C74EED"/>
    <w:rsid w:val="00C77F13"/>
    <w:rsid w:val="00C82457"/>
    <w:rsid w:val="00C94159"/>
    <w:rsid w:val="00CA5B95"/>
    <w:rsid w:val="00CA7349"/>
    <w:rsid w:val="00CB7405"/>
    <w:rsid w:val="00CC698C"/>
    <w:rsid w:val="00CD21E5"/>
    <w:rsid w:val="00CD29F7"/>
    <w:rsid w:val="00CD62A7"/>
    <w:rsid w:val="00CF2F6E"/>
    <w:rsid w:val="00CF46BC"/>
    <w:rsid w:val="00D0075D"/>
    <w:rsid w:val="00D11B4E"/>
    <w:rsid w:val="00D34F4F"/>
    <w:rsid w:val="00D62A2B"/>
    <w:rsid w:val="00D65A94"/>
    <w:rsid w:val="00D67437"/>
    <w:rsid w:val="00D73278"/>
    <w:rsid w:val="00D80BFE"/>
    <w:rsid w:val="00DB2ABF"/>
    <w:rsid w:val="00DB3553"/>
    <w:rsid w:val="00DB5551"/>
    <w:rsid w:val="00DC6CF8"/>
    <w:rsid w:val="00DE1256"/>
    <w:rsid w:val="00DE213F"/>
    <w:rsid w:val="00E2061D"/>
    <w:rsid w:val="00E26337"/>
    <w:rsid w:val="00E26BF0"/>
    <w:rsid w:val="00E367F6"/>
    <w:rsid w:val="00E4032A"/>
    <w:rsid w:val="00E52465"/>
    <w:rsid w:val="00E53B89"/>
    <w:rsid w:val="00E62849"/>
    <w:rsid w:val="00E7075A"/>
    <w:rsid w:val="00E71886"/>
    <w:rsid w:val="00E770F3"/>
    <w:rsid w:val="00E7770F"/>
    <w:rsid w:val="00E8597C"/>
    <w:rsid w:val="00E924E8"/>
    <w:rsid w:val="00E93489"/>
    <w:rsid w:val="00EA3807"/>
    <w:rsid w:val="00EB4806"/>
    <w:rsid w:val="00EE4C55"/>
    <w:rsid w:val="00F12C52"/>
    <w:rsid w:val="00F13FCD"/>
    <w:rsid w:val="00F20675"/>
    <w:rsid w:val="00F20B89"/>
    <w:rsid w:val="00F22DA3"/>
    <w:rsid w:val="00F24E7A"/>
    <w:rsid w:val="00F344D1"/>
    <w:rsid w:val="00F3790B"/>
    <w:rsid w:val="00F6442C"/>
    <w:rsid w:val="00F653B1"/>
    <w:rsid w:val="00F653C0"/>
    <w:rsid w:val="00F654BD"/>
    <w:rsid w:val="00F758E8"/>
    <w:rsid w:val="00F8358A"/>
    <w:rsid w:val="00F84871"/>
    <w:rsid w:val="00F879AA"/>
    <w:rsid w:val="00F87FDD"/>
    <w:rsid w:val="00F902C9"/>
    <w:rsid w:val="00F962F5"/>
    <w:rsid w:val="00FA3017"/>
    <w:rsid w:val="00FB14D3"/>
    <w:rsid w:val="00FB6A11"/>
    <w:rsid w:val="00FB77C9"/>
    <w:rsid w:val="00FD2693"/>
    <w:rsid w:val="00FF1BFB"/>
    <w:rsid w:val="00FF7938"/>
    <w:rsid w:val="7DB62CE1"/>
    <w:rsid w:val="9FFD5204"/>
    <w:rsid w:val="DFAFAAF5"/>
    <w:rsid w:val="E7F75DE6"/>
    <w:rsid w:val="EB75404F"/>
    <w:rsid w:val="EDFE124F"/>
    <w:rsid w:val="F5B631F3"/>
    <w:rsid w:val="FBF7CCFB"/>
    <w:rsid w:val="FD577710"/>
    <w:rsid w:val="FFEFAEFE"/>
    <w:rsid w:val="FFFBE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Micorosoft</Company>
  <Pages>10</Pages>
  <Words>684</Words>
  <Characters>3905</Characters>
  <Lines>32</Lines>
  <Paragraphs>9</Paragraphs>
  <TotalTime>3</TotalTime>
  <ScaleCrop>false</ScaleCrop>
  <LinksUpToDate>false</LinksUpToDate>
  <CharactersWithSpaces>4580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2021-04-24T18:42:00Z</dcterms:created>
  <dc:creator>李涵</dc:creator>
  <cp:lastModifiedBy>huawei</cp:lastModifiedBy>
  <cp:lastPrinted>2021-10-12T23:59:00Z</cp:lastPrinted>
  <dcterms:modified xsi:type="dcterms:W3CDTF">2026-05-26T14:55:29Z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B6635A45BF54287BCE41156A4DC2B9A8</vt:lpwstr>
  </property>
</Properties>
</file>