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ascii="fangsong" w:hAnsi="fangsong" w:eastAsia="fangsong" w:cs="fangsong"/>
          <w:i w:val="0"/>
          <w:caps w:val="0"/>
          <w:color w:val="333333"/>
          <w:spacing w:val="0"/>
          <w:sz w:val="32"/>
          <w:szCs w:val="32"/>
        </w:rPr>
      </w:pPr>
      <w:r>
        <w:rPr>
          <w:rFonts w:hint="eastAsia" w:ascii="宋体" w:hAnsi="宋体" w:eastAsia="宋体" w:cs="宋体"/>
          <w:i w:val="0"/>
          <w:caps w:val="0"/>
          <w:color w:val="333333"/>
          <w:spacing w:val="0"/>
          <w:kern w:val="0"/>
          <w:sz w:val="36"/>
          <w:szCs w:val="36"/>
          <w:shd w:val="clear" w:fill="FFFFFF"/>
          <w:lang w:val="en-US" w:eastAsia="zh-CN" w:bidi="ar"/>
        </w:rPr>
        <w:t>浙江省高级人民法院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default" w:ascii="fangsong" w:hAnsi="fangsong" w:eastAsia="fangsong" w:cs="fangsong"/>
          <w:i w:val="0"/>
          <w:caps w:val="0"/>
          <w:color w:val="333333"/>
          <w:spacing w:val="0"/>
          <w:sz w:val="32"/>
          <w:szCs w:val="32"/>
        </w:rPr>
      </w:pPr>
      <w:r>
        <w:rPr>
          <w:rFonts w:hint="eastAsia" w:ascii="宋体" w:hAnsi="宋体" w:eastAsia="宋体" w:cs="宋体"/>
          <w:i w:val="0"/>
          <w:caps w:val="0"/>
          <w:color w:val="333333"/>
          <w:spacing w:val="0"/>
          <w:kern w:val="0"/>
          <w:sz w:val="36"/>
          <w:szCs w:val="36"/>
          <w:shd w:val="clear" w:fill="FFFFFF"/>
          <w:lang w:val="en-US" w:eastAsia="zh-CN" w:bidi="ar"/>
        </w:rPr>
        <w:t>民事判决书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right"/>
        <w:rPr>
          <w:rFonts w:hint="default" w:ascii="fangsong" w:hAnsi="fangsong" w:eastAsia="fangsong" w:cs="fangsong"/>
          <w:i w:val="0"/>
          <w:caps w:val="0"/>
          <w:color w:val="333333"/>
          <w:spacing w:val="0"/>
          <w:sz w:val="32"/>
          <w:szCs w:val="32"/>
        </w:rPr>
      </w:pPr>
      <w:r>
        <w:rPr>
          <w:rFonts w:hint="eastAsia" w:ascii="宋体" w:hAnsi="宋体" w:eastAsia="宋体" w:cs="宋体"/>
          <w:i w:val="0"/>
          <w:caps w:val="0"/>
          <w:color w:val="333333"/>
          <w:spacing w:val="0"/>
          <w:kern w:val="0"/>
          <w:sz w:val="32"/>
          <w:szCs w:val="32"/>
          <w:shd w:val="clear" w:fill="FFFFFF"/>
          <w:lang w:val="en-US" w:eastAsia="zh-CN" w:bidi="ar"/>
        </w:rPr>
        <w:t>（2023）浙民终1158号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ascii="仿宋" w:hAnsi="仿宋" w:eastAsia="仿宋" w:cs="仿宋"/>
          <w:i w:val="0"/>
          <w:caps w:val="0"/>
          <w:color w:val="333333"/>
          <w:spacing w:val="0"/>
          <w:sz w:val="32"/>
          <w:szCs w:val="32"/>
          <w:shd w:val="clear" w:fill="FFFFFF"/>
        </w:rPr>
        <w:t>上诉人（原审原告）：中山市小榄镇火某工艺制品厂，住所地广东省中山市。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被上诉人（原审被告）：谢某，浙江省平阳县。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上诉人中山市小榄镇火某工艺制品厂（以下简称火某工艺制品厂）因与被上诉人谢某侵害外观设计专利权纠纷一案，不服浙江省温州市中级人民法院（2023）浙03民初343号民事判决，向本院提起上诉。本院于2023年9月21日立案后，依法组成合议庭进行了审理。本案现已审理终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火某工艺制品厂上诉请求：撤销一审判决，依法改判支持其一审全部诉讼请求。事实和理由：（一）一审法院认定事实错误。1．谢某提交的现有设计文件仅有主视图，不能展示现有设计的完整设计特征，无法用于比对，其应承担举证不能的责任。涉案专利产品为小型立体物品，并非布艺等平面产品，具有一定的长度、宽度和高度，且具有凹凸不平的形状和丰富多样的图案，故其正常使用时容易被直接观察到的部位至少还应包括后视图、左视图、右视图和俯视图所涉及的部位。2．一审法院未查明涉案专利相对于现有设计的区别设计特征。即使谢某提交的现有设计文件可用于比对，以其作为最接近的现有设计时，涉案专利与其相区别的设计特征体现了火某工艺制品厂对现有设计的创造性贡献。具体而言，二者在主板形状、主板和底座之间有无主板托盘、主板边缘隔离带内图案、主板正反面图案、底座设计等10处均有所不同，这些区别设计特征对外观设计产品的整体视觉效果具有显著影响，而一审法院对此未予查明，属于认定事实不清。3．关于被诉侵权设计与现有设计的相同和不同之处，一审法院存在多处错误认定。被诉侵权设计与现有设计存在10处区别，具体为：主板外轮廓形状及主板侧视图是否为扁平状，主板和底座之间有无主板托盘，主板边缘隔离带内图案，主板正面有无光圈、射线，主板正面财神排列及其头部光圈，主板背面有无沉台、凸起筋及遍布纹路，主板背面中部有无梵文，底座层数及是否系中空壳体，底座上下宽度变化，以及底座外表图案。一审法院遗漏认定二者在主板背面和底座宽度方面的区别点有误。且被诉侵权设计与现有设计在主板正面隔离带内图案和底座外表图案等方面存在较大差别，而非一审判决表述的图案形状仅存在略微不同。4．关于被诉侵权设计与现有设计的区别设计特征，在谢某没有提供任何证据的情况下，一审法院认定该些区别设计特征为惯常设计，属于认定事实错误。（二）一审法院适用法律错误。1．后视图、左视图、右视图和俯视图是被诉侵权产品正常使用时容易被直接观察到的部位，一审法院在比对被诉侵权设计与对比设计时忽略上述部位，明显违反“整体观察、综合判断”的比对原则。2．谢某的现有设计抗辩不能成立。在被诉侵权设计采用了涉案专利区别于现有设计的主要设计特征的情况下，被诉侵权设计在整体视觉效果上与涉案专利构成近似，与现有设计则存在实质性差异。五路财神属于惯常设计，是功能性为主、装饰性较弱的设计特征，对整体视觉效果的影响相对较小，不能因为被诉侵权设计采用了与现有设计相似的五路财神就认为二者构成近似。涉案产品为祭祀供奉类产品，其信徒施以一般注意力能够察觉到被诉侵权设计与现有设计之间存在的多处区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谢某辩称：（一）一审法院认定事实清楚。1．现有设计的主视图所展现的设计特征已足以用于比对。虽然现有设计未能完整展示出其六面视图，但是主视图已经清楚展现了其整体轮廓形状、面板上五位财神的分布排列方式以及底座、立体形状及主要设计特征，并可以合理推测出现有设计的整体外观，且涉案外观设计专利证书载明最能表明涉案专利设计要点的图片为主视图，故以其提供的图片所示的主视图作为本案现有设计比对的依据并无不当。2．被诉侵权设计与涉案专利不构成近似。被诉侵权设计背面布满不规则的花纹，而涉案专利不具有该设计；被诉侵权设计底座外形轮廓不同于涉案专利；被诉侵权设计的外形轮廓线条与涉案专利相比更为柔和；被诉侵权设计的莲花座不同于涉案专利；被诉侵权设计内轮廓有小圆珠设计，涉案专利不具有该设计；被诉侵权设计底排神像有光晕设计，涉案专利没有；被诉侵权设计的五座神像之间排布较为紧密，而涉案专利较为疏散。被诉侵权设计与涉案专利之间具有多处区别点，二者既不相同也不近似。3．被诉侵权设计与现有设计无实质性差别，其现有设计抗辩成立。（1）根据现有设计主视图以及五路财神工艺品的惯常设计方式可以合理推测主板为扁平状，且根据涉案专利权评价报告中的相关对比设计，主板上端尖顶设计属于本领域产品的常规设计。（2）托盘系为稳定连接主板与底座的功能性设计特征，不具有设计美感，在比对时不应予以考虑。（3）藻井纹图案、摩尼宝珠、神佛光晕等元素均属于佛教文化中惯常的装饰设计，且财神像对光晕和射线有遮挡，该些设计特征对整体视觉效果影响较小。（4）现有设计虽未体现背面的设计特征，但被诉侵权设计也未采用涉案专利在主板背面的设计特征。（5）根据《专利审查指南》，一般文字和数字的字型、字音、字义系外观设计不予保护的内容，故涉案专利背面的梵文“嗡阿吽”不能作为涉案专利的设计特征进行比对。（6）底座是否为中空壳体属于内部结构，对整体视觉效果不产生影响。综上，火某工艺制品厂所列出的区别点均属于细微差别，对整体视觉效果影响很小，被诉侵权设计与现有设计无实质性差异，其现有设计抗辩成立。（二）一审法院适用法律正确。被诉侵权设计与现有设计尽管存在一些区别，但是受限于该工艺品的使用环境为放置于台面上，出于信仰和敬畏之心，在正常使用状态下，消费者与产品保持一定的距离，一般消费者以整体观察、综合判断的方法进行对比，会产生相近似的视觉感受，因此二者并无实质性差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火某工艺制品厂向一审法院起诉，请求判令谢某：1．立即停止制造、销售、许诺销售侵害涉案专利号为ZL</w:t>
      </w:r>
      <w:bookmarkStart w:id="0" w:name="_GoBack"/>
      <w:bookmarkEnd w:id="0"/>
      <w:r>
        <w:rPr>
          <w:rFonts w:hint="eastAsia" w:ascii="仿宋" w:hAnsi="仿宋" w:eastAsia="仿宋" w:cs="仿宋"/>
          <w:i w:val="0"/>
          <w:caps w:val="0"/>
          <w:color w:val="333333"/>
          <w:spacing w:val="0"/>
          <w:sz w:val="32"/>
          <w:szCs w:val="32"/>
          <w:shd w:val="clear" w:fill="FFFFFF"/>
          <w:lang w:eastAsia="zh-CN"/>
        </w:rPr>
        <w:t>2019XXXX9304.8</w:t>
      </w:r>
      <w:r>
        <w:rPr>
          <w:rFonts w:hint="default" w:ascii="仿宋" w:hAnsi="仿宋" w:eastAsia="仿宋" w:cs="仿宋"/>
          <w:i w:val="0"/>
          <w:caps w:val="0"/>
          <w:color w:val="333333"/>
          <w:spacing w:val="0"/>
          <w:sz w:val="32"/>
          <w:szCs w:val="32"/>
          <w:shd w:val="clear" w:fill="FFFFFF"/>
        </w:rPr>
        <w:t>、名称为“工艺品”的外观设计专利权的产品的行为，并销毁专用模具和所有库存侵权产品；2．赔偿火某工艺制品厂经济损失及维权合理开支共计5万元；3．承担本案的诉讼费用。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一审法院认定事实：专利号为ZL</w:t>
      </w:r>
      <w:r>
        <w:rPr>
          <w:rFonts w:hint="eastAsia" w:ascii="仿宋" w:hAnsi="仿宋" w:eastAsia="仿宋" w:cs="仿宋"/>
          <w:i w:val="0"/>
          <w:caps w:val="0"/>
          <w:color w:val="333333"/>
          <w:spacing w:val="0"/>
          <w:sz w:val="32"/>
          <w:szCs w:val="32"/>
          <w:shd w:val="clear" w:fill="FFFFFF"/>
          <w:lang w:eastAsia="zh-CN"/>
        </w:rPr>
        <w:t>2019XXXX9304.8</w:t>
      </w:r>
      <w:r>
        <w:rPr>
          <w:rFonts w:hint="default" w:ascii="仿宋" w:hAnsi="仿宋" w:eastAsia="仿宋" w:cs="仿宋"/>
          <w:i w:val="0"/>
          <w:caps w:val="0"/>
          <w:color w:val="333333"/>
          <w:spacing w:val="0"/>
          <w:sz w:val="32"/>
          <w:szCs w:val="32"/>
          <w:shd w:val="clear" w:fill="FFFFFF"/>
        </w:rPr>
        <w:t>的“工艺品”外观设计专利的专利权人为赖某，申请日为2019年6月5日，授权公告日为2019年11月19日，该专利现在有效期内。专利文本的“简要说明”载明，本外观设计产品的用途是用于装饰摆设，设计要点在于形状，最能表明设计要点的图片或照片是主视图（详见附图）。2022年9月23日，国家知识产权局就涉案专利出具评价报告，结论为全部外观设计未发现存在不符合授予专利权条件的缺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2020年1月1日，赖某作为许可方与火某工艺制品厂作为被许可方签订《专利独占实施许可合同》，约定许可方授权被许可方在大陆区域内独占实施生产制造、销售、许诺销售、进出口及使用涉案专利权所及的专利产品；在许可合同有效期内，如发生第三方侵犯涉案专利所涉及的专利权及相关利益，许可方特别授权被许可方以其自身名义采取包括投诉、举报、公证、诉讼、海关备案等一切必要法律措施予以制止和索赔；许可期限自2020年1月1日至2029年6月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2022年10月24日，赖某向广东省深圳市先行公证处申请保全证据公证。2022年10月27日，公证员与申请人赖某的委托代理人莫某来到深圳市福田区金田路金地中心一楼蜂巢快递柜，莫某输入取件码后收取了快递单号为“JT3015889446824”的邮包，并交给公证员。经检查，包裹密封性完整，公证员将该邮包带回公证处。后公证员拆开该邮包，取出物品进行拍照，并重新封存，再进行拍照。封存、拍照结束后，上述封存物品由莫某取走保管。同日，莫某操作公证处电脑，进入“淘宝”，查看1711853041934734992订单详情。订单信息显示其于2022年10月23日在“淘宝”店铺“梵音缘”以117元购买链接名称为“藏式五路财神摆件佛像供碗水财神黄财神水供家居佛堂供水杯”的产品3个，规格分别为青古色、红铜色、金色，快递单号为极兔速递JT3015889446824。查看该产品链接页面，显示价格为78元、月销量18。2022年11月7日，广东省深圳市先行公证处就上述公证过程出具（2022）深先证字第56937号公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根据“淘宝”披露的信息，上述店铺的经营者为谢某。另，1711853041934734992订单货款的收款账户为谢某的支付宝账户。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根据2023年3月31日经可信时间戳认证的取证信息，涉案店铺链接页面在取证当日显示月销量18。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一审当庭拆封上述公证封存的包裹，内有三个相同形状、不同颜色的被诉侵权产品（外观详见附图）。被诉侵权产品系一种佛教工艺品，经比对，火某工艺制品厂主张被诉侵权设计与授权外观设计构成相同或整体近似，落入涉案专利权保护范围。谢某主张被诉侵权设计与授权外观设计在主板正面边缘花纹、主板正面中心图案、主板内轮廓、神像的莲花座及光晕、神像间的布局、主板背面花纹、底座外形轮廓等设计处均存在不同，两者既不相同也不近似，被诉侵权设计不落入涉案专利权保护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谢某主张现有设计抗辩，提供了2018年12月4日的营销性微信朋友圈图片作为现有设计的比对依据。谢某主张被诉侵权设计相较现有设计，整体视觉效果无实质性差异，差异之处属细微改变，且多是该类产品的惯常设计，不会对整体视觉效果产生显著影响，被诉侵权设计属现有设计。火某工艺制品厂主张被诉侵权设计与现有设计在主板与底座间的连接形状、主板顶部的形状、主板正面边缘的花纹形状、主板正面中部的图案及五个神像的布局、底座形状及底座四周花纹等设计特征处均存在区别，两者有实质性差异，谢某的现有设计抗辩不能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根据在案证据，涉案工艺品领域的主板尖顶设计、主板边缘四周的圆珠设计、主板上的发散光芒设计等设计特征在涉案专利申请日前已有存在。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火某工艺制品厂为本案诉讼支出公证费用2000元，并实际委托了律师出庭。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一审法院认为：根据各方意见，本案争议问题主要在于：一、被诉侵权设计是否落入涉案专利权保护范围；二、被诉侵权设计是否属于现有设计；三、谢某的责任应如何认定。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关于争议的第一个问题。《中华人民共和国专利法》第六十四条第二款规定，外观设计专利权的保护范围以表示在图片或者图片中的该产品的外观设计为准，简要说明可以用于解释图片或者图片所表示的该产品的外观设计。根据《最高人民法院关于审理侵犯专利权纠纷案件应用法律若干问题的解释》第八条、第十条、第十一条规定，在与外观设计专利产品相同或者相近种类产品上，采用与授权外观设计相同或者近似的外观设计的，人民法院应当认定被诉侵权设计落入外观设计专利权的保护范围；人民法院应当以外观设计专利产品的一般消费者的知识水平和认知能力，判断外观设计是否相同或者近似；人民法院认定外观设计是否相同或者近似时，应当根据授权外观设计、被诉侵权设计的设计特征，以外观设计的整体视觉效果进行综合判断；产品正常使用时容易被直接观察到的部位相对于其他部位、授权外观设计区别于现有设计的设计特征相对于授权外观设计的其他设计特征，通常对外观设计的整体视觉效果更具有影响；被诉侵权设计与授权外观设计在整体视觉效果上无差异的，人民法院应当认定两者相同；在整体视觉效果上无实质性差异的，应当认定两者近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本案中，被诉侵权产品与涉案专利产品均为佛教工艺品，属于相同种类产品。经比对，被诉侵权设计与授权外观设计在整体设计上无实质性差异，仅在主板背面的花纹设计、个别神像的形象等设计特征处存在不易被一般消费者观察到的细微差别。根据整体观察、综合判断的原则，两者在整体视觉效果上无实质性差异，被诉侵权设计落入涉案专利权的保护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关于争议的第二个问题。《中华人民共和国专利法》第二十三条第四款规定，本法所称现有设计，是指申请日以前在国内外为公众所知的设计。第六十七条规定，在专利侵权纠纷中，被控侵权人有证据证明其实施的技术或者设计属于现有技术或者现有设计的，不构成侵犯专利权。《最高人民法院关于审理侵犯专利权纠纷案件应用法律若干问题的解释》第十四条第二款规定，被诉侵权设计与一个现有设计相同或者无实质性差异的，人民法院应当认定被诉侵权人实施的设计属于专利法规定的现有设计。谢某提供了2018年12月4日的营销性微信朋友圈图片主张现有设计抗辩。经比对，被诉侵权设计与现有设计的相同或近似设计特征包括：整体分为上部的扁平主板和下部的长体底座，主板显著高于底座；主板轮廓呈现为自上而下逐渐变宽的三阶圆弧；主板正面外周设有内外两轮廓线，两轮廓线之间形成的区域内连续均匀地布设花纹；主板正面中部分三排突出设有五神像，排列顺位为第一排一个、第二排两个、第三排两个，五神像的形象基本一致；底座整体呈下大上小的长体状，底座四周均匀布设图案。两者的不同设计特征包括：被诉侵权设计主板顶部为向上冒尖的尖顶，现有设计为圆弧顶；两者的五神像中个别神像排列顺位及个别神像的细节形象特征存在不同；两者的主板正面边缘两轮廓线内的花纹形状存在略微不同，且被诉侵权设计在花纹内还设有圆珠，现有设计没有圆珠；被诉侵权设计的主板正面中间设有细小的同心圆圈线及沿最外圆周向外发散的多线条，似太阳光芒四射状，现有设计没有该设计；被诉侵权设计的底座为单层设计，现有设计为双层设计；被诉侵权设计的主板连接在底座上部长宽略微大于主板底部的一扁平长方形上，现有设计的主板连接在底座顶部长宽尺寸较大于主板底部的平台上；两者的底座四周的花纹形状存在略微不同。该院认为，被诉侵权设计相较现有设计，其相同或近似的设计特征容易被一般消费者在产品正常使用时直接观察到，对整体视觉效果影响较大；两者仅在一般消费者不容易直接观察到的部位存在细微差别，且被诉侵权设计不同于现有设计的设计特征诸多属本产品领域的惯常设计，差别设计特征对整体视觉效果影响较小。综上，被诉侵权设计与现有设计无实质性差异，该院对谢某的现有设计抗辩予以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关于争议的第三个问题。基于该院对第二个争议问题的认定，被诉侵权设计不构成对涉案专利权的侵害，该院对火某工艺制品厂的诉讼请求不予支持。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综上，一审法院依照《中华人民共和国专利法》第二十三条第四款、第六十四条第二款，《最高人民法院关于审理侵犯专利权纠纷案件应用法律若干问题的解释》第八条、第十条、第十一条、第十四条第二款，《中华人民共和国民事诉讼法》第六十七条第一款之规定，于2023年8月29日判决：驳回火某工艺制品厂的诉讼请求。一审案件受理费1050元，由火某工艺制品厂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本院二审期间，火某工艺制品厂向本院提交了藏传佛教五路财神百度百科简介截图及时间戳取证证书，拟证明涉案专利主板上的五路财神为惯常设计，也是具有特殊信仰功能的设计特征，故其对整体外观不具有显著影响，应着重考察涉案专利相对于现有设计的区别设计特征。谢某质证认为：对该证据的真实性、合法性无异议，对其关联性和证明目的有异议。本院经审查认为：该证据来源真实、合法，与本案具有关联性，予以认定，至于能否达到其证明目的，将结合争议焦点一并论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本院对一审判决认定的事实予以确认。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本院认为，对于被诉侵权设计与涉案专利是否近似的问题，谢某未提起上诉，本院对一审判决认定两者近似的意见予以确认。根据火某工艺制品厂的上诉请求和理由，以及谢某的答辩意见，本案二审的争议焦点在于：谢某的现有设计抗辩是否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首先，关于谢某在一审中提供的2018年12月4日的微信朋友圈图片能否用于现有设计抗辩比对的问题，火某工艺制品厂上诉认为该图片仅有正面视图，无法用于比对。对此，本院认为，涉案产品系佛像摆件，通过微信朋友圈展示的正面视图结合此类产品的通常设计方式，可合理推断该现有设计的部分外观，包括主板的扁平形状及莲花座的对称设计。此外，此类产品的主要设计特征集中体现于其正面视图，涉案外观设计专利证书中载明最能表明涉案专利设计要点的图片亦为主视图，且此类产品作为宗教用品主要用于佛堂供奉，正常使用时相关公众观察到的也是其正面视图，因此正面视图对此类产品的整体视觉效果起到决定性作用。谢某提供的营销性微信朋友圈图片展示时间早于涉案专利申请日，虽未展示主板背面具体设计，但并不影响其作为本案现有设计进行比对。火某工艺制品厂的此节上诉理由不能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其次，关于被诉侵权设计与现有设计的异同点比对问题，火某工艺制品厂上诉认为一审法院存在遗漏和不当之处。对此，本院认为，一审判决对被诉侵权设计与微信朋友圈图片展示的现有设计的异同之处进行了较为细致的比对和描述，并无遗漏和不当之处。两者的相同点包括：1．整体由上部扁平主板和下部长椭圆状底座组成，底座高度约占整体的五分之一；2．主板轮廓呈现自上而下逐渐变宽的三阶层圆弧，第三层底部与底座相连接，略窄于底座外沿；3．主板正面外缘设有内外两条轮廓线，两条轮廓线之间形成的隔离带内连续均匀地布设花纹；4．主板正面中部分三排布设五神像浮雕，排列分布为第一排一个、第二排两个、第三排两个，五神像的形象基本一致；5．底座整体呈上窄下宽的长条状，底座外表均匀重复布设图案。两者的不同点包括：1．主板顶部形状不同，被诉侵权设计为尖顶状，现有设计为圆弧顶状；2．五神像的形态细节略有不同，部分神像的排列位置及头部有无光圈不同；3．主板正面隔离带内的花纹形状不同，被诉侵权设计由藻井纹和圆珠组成，现有设计为旋转花纹；4．被诉侵权设计的主板正中设有同心圆及从最外圈圆周向外发散的佛光，现有设计无此设计；5．被诉侵权设计的底座由薄托盘和莲花座组成，现有设计的底部莲花座则为双层，底座表面花纹形状略有不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最后，关于被诉侵权设计与谢某主张的现有设计是否实质性相似的问题。从涉案外观设计专利权评价报告来看，佛像摆件往往由扁平高主板和低矮底座组成，莲花座、佛光、藻井纹等系其常见设计元素；但不同摆件主板和底座的比例和具体形状，外表面的图案，以及神像的数量、排列、大小、形态均各有不同，存在较大设计空间，在比对时应予重点考虑。本案中，谢某主张的现有设计与其他现有设计相比，在主板、底座和神像的具体设计及组合方面具有自身特点和设计美感。被诉侵权设计与之相比：1．两者主板和底座的比例和形状基本一致，虽然在主板有无尖顶和底座构成方面有所区别，但从摆件整体来看占比较小；2．两者的五个神像以基本相同的排布方式布设于主板之上，形态亦较为接近，虽然宗教上的五路财神有各自基本固定的特征，但在具体形态方面仍有很大设计空间，火某工艺制品厂关于五路财神系惯常设计的主张不能成立；3．两者的主板上均设有形态相同的隔离带，隔离带内的具体花纹虽有差异，但均是首尾相接的连贯花纹设计，不经仔细观察不易注意到差异之处；4．被诉侵权设计主板上虽无同心圆和佛光射线，但该设计元素在同类产品中较为常见，且系作为主板背景出现，因此对整体视觉效果并无显著影响。综上，以一般消费者的认识水平和认知能力判断，应认定被诉侵权设计与谢某主张的现有设计构成实质性相似，一审法院认定谢某的现有设计抗辩成立并无不当。被诉侵权行为未侵害火某工艺制品厂的涉案专利权，谢某无需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综上，火某工艺制品厂的上诉请求不能成立，应予驳回。一审判决认定事实清楚，适用法律正确，应予维持。依照《中华人民共和国民事诉讼法》第一百七十七条第一款第一项之规定，判决如下：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驳回上诉，维持原判。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二审案件受理费1050元，由中山市小榄镇火某工艺制品厂负担。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本判决为终审判决。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（此页无正文）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0"/>
        <w:jc w:val="right"/>
        <w:rPr>
          <w:rFonts w:hint="eastAsia" w:ascii="fangsong" w:hAnsi="fangsong" w:eastAsia="仿宋" w:cs="fangsong"/>
          <w:i w:val="0"/>
          <w:caps w:val="0"/>
          <w:color w:val="333333"/>
          <w:spacing w:val="0"/>
          <w:sz w:val="32"/>
          <w:szCs w:val="32"/>
          <w:lang w:eastAsia="zh-CN"/>
        </w:rPr>
      </w:pPr>
      <w:r>
        <w:rPr>
          <w:rFonts w:hint="eastAsia" w:ascii="仿宋" w:hAnsi="仿宋" w:eastAsia="仿宋" w:cs="仿宋"/>
          <w:i w:val="0"/>
          <w:caps w:val="0"/>
          <w:color w:val="333333"/>
          <w:spacing w:val="210"/>
          <w:sz w:val="32"/>
          <w:szCs w:val="32"/>
          <w:shd w:val="clear" w:fill="FFFFFF"/>
          <w:lang w:val="en-US" w:eastAsia="zh-CN"/>
        </w:rPr>
        <w:t xml:space="preserve">   </w:t>
      </w:r>
      <w:r>
        <w:rPr>
          <w:rFonts w:hint="default" w:ascii="仿宋" w:hAnsi="仿宋" w:eastAsia="仿宋" w:cs="仿宋"/>
          <w:i w:val="0"/>
          <w:caps w:val="0"/>
          <w:color w:val="333333"/>
          <w:spacing w:val="210"/>
          <w:sz w:val="32"/>
          <w:szCs w:val="32"/>
          <w:shd w:val="clear" w:fill="FFFFFF"/>
        </w:rPr>
        <w:t>审判</w:t>
      </w:r>
      <w:r>
        <w:rPr>
          <w:rFonts w:hint="eastAsia" w:ascii="仿宋" w:hAnsi="仿宋" w:eastAsia="仿宋" w:cs="仿宋"/>
          <w:i w:val="0"/>
          <w:caps w:val="0"/>
          <w:color w:val="333333"/>
          <w:spacing w:val="210"/>
          <w:sz w:val="32"/>
          <w:szCs w:val="32"/>
          <w:shd w:val="clear" w:fill="FFFFFF"/>
          <w:lang w:eastAsia="zh-CN"/>
        </w:rPr>
        <w:t>长</w:t>
      </w:r>
      <w:r>
        <w:rPr>
          <w:rFonts w:hint="eastAsia" w:ascii="仿宋" w:hAnsi="仿宋" w:eastAsia="仿宋" w:cs="仿宋"/>
          <w:i w:val="0"/>
          <w:caps w:val="0"/>
          <w:color w:val="333333"/>
          <w:spacing w:val="210"/>
          <w:sz w:val="32"/>
          <w:szCs w:val="32"/>
          <w:shd w:val="clear" w:fill="FFFFFF"/>
          <w:lang w:val="en-US" w:eastAsia="zh-CN"/>
        </w:rPr>
        <w:t xml:space="preserve"> </w:t>
      </w:r>
      <w:r>
        <w:rPr>
          <w:rFonts w:hint="eastAsia" w:ascii="仿宋" w:hAnsi="仿宋" w:eastAsia="仿宋" w:cs="仿宋"/>
          <w:i w:val="0"/>
          <w:caps w:val="0"/>
          <w:color w:val="333333"/>
          <w:spacing w:val="210"/>
          <w:sz w:val="32"/>
          <w:szCs w:val="32"/>
          <w:shd w:val="clear" w:fill="FFFFFF"/>
          <w:lang w:eastAsia="zh-CN"/>
        </w:rPr>
        <w:t>何</w:t>
      </w:r>
      <w:r>
        <w:rPr>
          <w:rFonts w:hint="eastAsia" w:ascii="仿宋" w:hAnsi="仿宋" w:eastAsia="仿宋" w:cs="仿宋"/>
          <w:i w:val="0"/>
          <w:caps w:val="0"/>
          <w:color w:val="333333"/>
          <w:spacing w:val="210"/>
          <w:sz w:val="32"/>
          <w:szCs w:val="32"/>
          <w:shd w:val="clear" w:fill="FFFFFF"/>
          <w:lang w:val="en-US" w:eastAsia="zh-CN"/>
        </w:rPr>
        <w:t xml:space="preserve"> </w:t>
      </w:r>
      <w:r>
        <w:rPr>
          <w:rFonts w:hint="eastAsia" w:ascii="仿宋" w:hAnsi="仿宋" w:eastAsia="仿宋" w:cs="仿宋"/>
          <w:i w:val="0"/>
          <w:caps w:val="0"/>
          <w:color w:val="333333"/>
          <w:spacing w:val="630"/>
          <w:sz w:val="32"/>
          <w:szCs w:val="32"/>
          <w:shd w:val="clear" w:fill="FFFFFF"/>
          <w:lang w:eastAsia="zh-CN"/>
        </w:rPr>
        <w:t>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0"/>
        <w:jc w:val="center"/>
        <w:rPr>
          <w:rFonts w:hint="default" w:ascii="fangsong" w:hAnsi="fangsong" w:eastAsia="fangsong" w:cs="fangsong"/>
          <w:i w:val="0"/>
          <w:caps w:val="0"/>
          <w:color w:val="333333"/>
          <w:spacing w:val="0"/>
          <w:sz w:val="32"/>
          <w:szCs w:val="32"/>
        </w:rPr>
      </w:pPr>
      <w:r>
        <w:rPr>
          <w:rFonts w:hint="eastAsia" w:ascii="仿宋" w:hAnsi="仿宋" w:eastAsia="仿宋" w:cs="仿宋"/>
          <w:i w:val="0"/>
          <w:caps w:val="0"/>
          <w:color w:val="333333"/>
          <w:spacing w:val="210"/>
          <w:sz w:val="32"/>
          <w:szCs w:val="32"/>
          <w:shd w:val="clear" w:fill="FFFFFF"/>
          <w:lang w:val="en-US" w:eastAsia="zh-CN"/>
        </w:rPr>
        <w:t xml:space="preserve">  </w:t>
      </w:r>
      <w:r>
        <w:rPr>
          <w:rFonts w:hint="default" w:ascii="仿宋" w:hAnsi="仿宋" w:eastAsia="仿宋" w:cs="仿宋"/>
          <w:i w:val="0"/>
          <w:caps w:val="0"/>
          <w:color w:val="333333"/>
          <w:spacing w:val="210"/>
          <w:sz w:val="32"/>
          <w:szCs w:val="32"/>
          <w:shd w:val="clear" w:fill="FFFFFF"/>
        </w:rPr>
        <w:t>审判员</w:t>
      </w:r>
      <w:r>
        <w:rPr>
          <w:rFonts w:hint="default" w:ascii="仿宋" w:hAnsi="仿宋" w:eastAsia="仿宋" w:cs="仿宋"/>
          <w:i w:val="0"/>
          <w:caps w:val="0"/>
          <w:color w:val="333333"/>
          <w:spacing w:val="0"/>
          <w:sz w:val="32"/>
          <w:szCs w:val="32"/>
          <w:shd w:val="clear" w:fill="FFFFFF"/>
        </w:rPr>
        <w:t>    </w:t>
      </w:r>
      <w:r>
        <w:rPr>
          <w:rFonts w:hint="default" w:ascii="仿宋" w:hAnsi="仿宋" w:eastAsia="仿宋" w:cs="仿宋"/>
          <w:i w:val="0"/>
          <w:caps w:val="0"/>
          <w:color w:val="333333"/>
          <w:spacing w:val="210"/>
          <w:sz w:val="32"/>
          <w:szCs w:val="32"/>
          <w:shd w:val="clear" w:fill="FFFFFF"/>
        </w:rPr>
        <w:t>刘建中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0"/>
        <w:jc w:val="right"/>
        <w:rPr>
          <w:rFonts w:hint="default" w:ascii="fangsong" w:hAnsi="fangsong" w:eastAsia="fangsong" w:cs="fangsong"/>
          <w:i w:val="0"/>
          <w:caps w:val="0"/>
          <w:color w:val="333333"/>
          <w:spacing w:val="0"/>
          <w:sz w:val="32"/>
          <w:szCs w:val="32"/>
        </w:rPr>
      </w:pPr>
      <w:r>
        <w:rPr>
          <w:rFonts w:hint="eastAsia" w:ascii="仿宋" w:hAnsi="仿宋" w:eastAsia="仿宋" w:cs="仿宋"/>
          <w:i w:val="0"/>
          <w:caps w:val="0"/>
          <w:color w:val="333333"/>
          <w:spacing w:val="210"/>
          <w:sz w:val="32"/>
          <w:szCs w:val="32"/>
          <w:shd w:val="clear" w:fill="FFFFFF"/>
          <w:lang w:val="en-US" w:eastAsia="zh-CN"/>
        </w:rPr>
        <w:t xml:space="preserve">  </w:t>
      </w:r>
      <w:r>
        <w:rPr>
          <w:rFonts w:hint="default" w:ascii="仿宋" w:hAnsi="仿宋" w:eastAsia="仿宋" w:cs="仿宋"/>
          <w:i w:val="0"/>
          <w:caps w:val="0"/>
          <w:color w:val="333333"/>
          <w:spacing w:val="210"/>
          <w:sz w:val="32"/>
          <w:szCs w:val="32"/>
          <w:shd w:val="clear" w:fill="FFFFFF"/>
        </w:rPr>
        <w:t>审判员</w:t>
      </w:r>
      <w:r>
        <w:rPr>
          <w:rFonts w:hint="default" w:ascii="仿宋" w:hAnsi="仿宋" w:eastAsia="仿宋" w:cs="仿宋"/>
          <w:i w:val="0"/>
          <w:caps w:val="0"/>
          <w:color w:val="333333"/>
          <w:spacing w:val="0"/>
          <w:sz w:val="32"/>
          <w:szCs w:val="32"/>
          <w:shd w:val="clear" w:fill="FFFFFF"/>
        </w:rPr>
        <w:t>    </w:t>
      </w:r>
      <w:r>
        <w:rPr>
          <w:rFonts w:hint="default" w:ascii="仿宋" w:hAnsi="仿宋" w:eastAsia="仿宋" w:cs="仿宋"/>
          <w:i w:val="0"/>
          <w:caps w:val="0"/>
          <w:color w:val="333333"/>
          <w:spacing w:val="630"/>
          <w:sz w:val="32"/>
          <w:szCs w:val="32"/>
          <w:shd w:val="clear" w:fill="FFFFFF"/>
        </w:rPr>
        <w:t>李臻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919"/>
        <w:jc w:val="right"/>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0"/>
          <w:sz w:val="32"/>
          <w:szCs w:val="32"/>
          <w:shd w:val="clear" w:fill="FFFFFF"/>
        </w:rPr>
        <w:t>二○二三年十一月十三日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0"/>
        <w:jc w:val="right"/>
        <w:rPr>
          <w:rFonts w:hint="default" w:ascii="fangsong" w:hAnsi="fangsong" w:eastAsia="fangsong" w:cs="fangsong"/>
          <w:i w:val="0"/>
          <w:caps w:val="0"/>
          <w:color w:val="333333"/>
          <w:spacing w:val="0"/>
          <w:sz w:val="32"/>
          <w:szCs w:val="32"/>
        </w:rPr>
      </w:pPr>
      <w:r>
        <w:rPr>
          <w:rFonts w:hint="default" w:ascii="仿宋" w:hAnsi="仿宋" w:eastAsia="仿宋" w:cs="仿宋"/>
          <w:i w:val="0"/>
          <w:caps w:val="0"/>
          <w:color w:val="333333"/>
          <w:spacing w:val="210"/>
          <w:sz w:val="32"/>
          <w:szCs w:val="32"/>
          <w:shd w:val="clear" w:fill="FFFFFF"/>
        </w:rPr>
        <w:t>书记员</w:t>
      </w:r>
      <w:r>
        <w:rPr>
          <w:rFonts w:hint="default" w:ascii="仿宋" w:hAnsi="仿宋" w:eastAsia="仿宋" w:cs="仿宋"/>
          <w:i w:val="0"/>
          <w:caps w:val="0"/>
          <w:color w:val="333333"/>
          <w:spacing w:val="0"/>
          <w:sz w:val="32"/>
          <w:szCs w:val="32"/>
          <w:shd w:val="clear" w:fill="FFFFFF"/>
        </w:rPr>
        <w:t>    </w:t>
      </w:r>
      <w:r>
        <w:rPr>
          <w:rFonts w:hint="default" w:ascii="仿宋" w:hAnsi="仿宋" w:eastAsia="仿宋" w:cs="仿宋"/>
          <w:i w:val="0"/>
          <w:caps w:val="0"/>
          <w:color w:val="333333"/>
          <w:spacing w:val="210"/>
          <w:sz w:val="32"/>
          <w:szCs w:val="32"/>
          <w:shd w:val="clear" w:fill="FFFFFF"/>
        </w:rPr>
        <w:t>刘雨潇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fangsong">
    <w:altName w:val="汉仪仿宋S"/>
    <w:panose1 w:val="00000000000000000000"/>
    <w:charset w:val="00"/>
    <w:family w:val="auto"/>
    <w:pitch w:val="default"/>
    <w:sig w:usb0="00000000" w:usb1="00000000" w:usb2="00000000" w:usb3="00000000" w:csb0="00000000" w:csb1="00000000"/>
  </w:font>
  <w:font w:name="仿宋">
    <w:altName w:val="方正仿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FBBE6"/>
    <w:rsid w:val="B9FE979E"/>
    <w:rsid w:val="FFEFB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2026-06-25T18:16:00Z</dcterms:created>
  <dc:creator>王莉莉</dc:creator>
  <cp:lastModifiedBy>曾梦倩</cp:lastModifiedBy>
  <dcterms:modified xsi:type="dcterms:W3CDTF">2026-07-01T09:05:25Z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