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40" w:lineRule="exact"/>
        <w:jc w:val="center"/>
        <w:rPr>
          <w:rFonts w:eastAsia="华文中宋"/>
          <w:spacing w:val="20"/>
          <w:sz w:val="52"/>
        </w:rPr>
      </w:pPr>
      <w:r>
        <w:rPr>
          <w:rFonts w:hAnsi="华文中宋" w:eastAsia="华文中宋"/>
          <w:spacing w:val="20"/>
          <w:sz w:val="44"/>
        </w:rPr>
        <w:t>浙江省高级人民法院</w:t>
      </w:r>
    </w:p>
    <w:p>
      <w:pPr>
        <w:spacing w:line="840" w:lineRule="exact"/>
        <w:jc w:val="center"/>
        <w:rPr>
          <w:rFonts w:eastAsia="华文中宋"/>
          <w:sz w:val="52"/>
        </w:rPr>
      </w:pPr>
      <w:r>
        <w:rPr>
          <w:rFonts w:hAnsi="华文中宋" w:eastAsia="华文中宋"/>
          <w:spacing w:val="240"/>
          <w:sz w:val="52"/>
        </w:rPr>
        <w:t>民事判决</w:t>
      </w:r>
      <w:r>
        <w:rPr>
          <w:rFonts w:hAnsi="华文中宋" w:eastAsia="华文中宋"/>
          <w:sz w:val="52"/>
        </w:rPr>
        <w:t>书</w:t>
      </w:r>
    </w:p>
    <w:p>
      <w:pPr>
        <w:spacing w:line="780" w:lineRule="exact"/>
        <w:rPr>
          <w:sz w:val="32"/>
        </w:rPr>
      </w:pPr>
    </w:p>
    <w:p>
      <w:pPr>
        <w:wordWrap w:val="0"/>
        <w:spacing w:line="360" w:lineRule="exact"/>
        <w:ind w:firstLine="573"/>
        <w:jc w:val="right"/>
        <w:rPr>
          <w:sz w:val="32"/>
        </w:rPr>
      </w:pPr>
      <w:r>
        <w:rPr>
          <w:sz w:val="32"/>
          <w:szCs w:val="32"/>
        </w:rPr>
        <w:t>(2018)浙民终551号</w:t>
      </w:r>
    </w:p>
    <w:p>
      <w:pPr>
        <w:spacing w:line="340" w:lineRule="exact"/>
        <w:ind w:firstLine="539" w:firstLineChars="174"/>
        <w:rPr>
          <w:sz w:val="32"/>
        </w:rPr>
      </w:pPr>
    </w:p>
    <w:p>
      <w:pPr>
        <w:autoSpaceDE w:val="0"/>
        <w:autoSpaceDN w:val="0"/>
        <w:adjustRightInd w:val="0"/>
        <w:spacing w:line="560" w:lineRule="exact"/>
        <w:ind w:firstLine="620" w:firstLineChars="200"/>
        <w:outlineLvl w:val="0"/>
        <w:rPr>
          <w:kern w:val="0"/>
          <w:sz w:val="32"/>
          <w:szCs w:val="32"/>
          <w:lang w:val="zh-CN"/>
        </w:rPr>
      </w:pPr>
      <w:r>
        <w:rPr>
          <w:kern w:val="0"/>
          <w:sz w:val="32"/>
          <w:szCs w:val="32"/>
          <w:lang w:val="zh-CN"/>
        </w:rPr>
        <w:t>上诉人（原审原告）</w:t>
      </w:r>
      <w:r>
        <w:rPr>
          <w:rFonts w:hint="eastAsia"/>
          <w:kern w:val="0"/>
          <w:sz w:val="32"/>
          <w:szCs w:val="32"/>
          <w:lang w:val="zh-CN"/>
        </w:rPr>
        <w:t>：罗某</w:t>
      </w:r>
      <w:r>
        <w:rPr>
          <w:kern w:val="0"/>
          <w:sz w:val="32"/>
          <w:szCs w:val="32"/>
          <w:lang w:val="zh-CN"/>
        </w:rPr>
        <w:t>，住安徽省长丰县。</w:t>
      </w:r>
    </w:p>
    <w:p>
      <w:pPr>
        <w:autoSpaceDE w:val="0"/>
        <w:autoSpaceDN w:val="0"/>
        <w:adjustRightInd w:val="0"/>
        <w:spacing w:line="560" w:lineRule="exact"/>
        <w:ind w:firstLine="620" w:firstLineChars="200"/>
        <w:rPr>
          <w:kern w:val="0"/>
          <w:sz w:val="32"/>
          <w:szCs w:val="32"/>
          <w:lang w:val="zh-CN"/>
        </w:rPr>
      </w:pPr>
      <w:r>
        <w:rPr>
          <w:kern w:val="0"/>
          <w:sz w:val="32"/>
          <w:szCs w:val="32"/>
          <w:lang w:val="zh-CN"/>
        </w:rPr>
        <w:t>被上诉人（原审被告）：</w:t>
      </w:r>
      <w:r>
        <w:rPr>
          <w:rFonts w:hint="eastAsia"/>
          <w:kern w:val="0"/>
          <w:sz w:val="32"/>
          <w:szCs w:val="32"/>
          <w:lang w:val="zh-CN"/>
        </w:rPr>
        <w:t>永康市兴某五金制造厂</w:t>
      </w:r>
      <w:r>
        <w:rPr>
          <w:kern w:val="0"/>
          <w:sz w:val="32"/>
          <w:szCs w:val="32"/>
          <w:lang w:val="zh-CN"/>
        </w:rPr>
        <w:t>，住所地浙江省永康市</w:t>
      </w:r>
      <w:r>
        <w:rPr>
          <w:rFonts w:hint="eastAsia"/>
          <w:kern w:val="0"/>
          <w:sz w:val="32"/>
          <w:szCs w:val="32"/>
          <w:lang w:val="zh-CN"/>
        </w:rPr>
        <w:t>。</w:t>
      </w:r>
    </w:p>
    <w:p>
      <w:pPr>
        <w:autoSpaceDE w:val="0"/>
        <w:autoSpaceDN w:val="0"/>
        <w:adjustRightInd w:val="0"/>
        <w:spacing w:line="560" w:lineRule="exact"/>
        <w:ind w:firstLine="620" w:firstLineChars="200"/>
        <w:rPr>
          <w:kern w:val="0"/>
          <w:sz w:val="32"/>
          <w:szCs w:val="32"/>
          <w:lang w:val="zh-CN"/>
        </w:rPr>
      </w:pPr>
      <w:r>
        <w:rPr>
          <w:kern w:val="0"/>
          <w:sz w:val="32"/>
          <w:szCs w:val="32"/>
          <w:lang w:val="zh-CN"/>
        </w:rPr>
        <w:t>被上诉人（原审被告）：</w:t>
      </w:r>
      <w:r>
        <w:rPr>
          <w:rFonts w:hint="eastAsia"/>
          <w:kern w:val="0"/>
          <w:sz w:val="32"/>
          <w:szCs w:val="32"/>
          <w:lang w:val="zh-CN"/>
        </w:rPr>
        <w:t>浙江司某工贸有限公司</w:t>
      </w:r>
      <w:r>
        <w:rPr>
          <w:kern w:val="0"/>
          <w:sz w:val="32"/>
          <w:szCs w:val="32"/>
          <w:lang w:val="zh-CN"/>
        </w:rPr>
        <w:t>，住所地浙江省永康市西城玉桂路67号第一层至二层东侧和第三层。</w:t>
      </w:r>
    </w:p>
    <w:p>
      <w:pPr>
        <w:autoSpaceDE w:val="0"/>
        <w:autoSpaceDN w:val="0"/>
        <w:adjustRightInd w:val="0"/>
        <w:spacing w:line="560" w:lineRule="exact"/>
        <w:ind w:firstLine="620" w:firstLineChars="200"/>
        <w:rPr>
          <w:kern w:val="0"/>
          <w:sz w:val="32"/>
          <w:szCs w:val="32"/>
          <w:lang w:val="zh-CN"/>
        </w:rPr>
      </w:pPr>
      <w:r>
        <w:rPr>
          <w:kern w:val="0"/>
          <w:sz w:val="32"/>
          <w:szCs w:val="32"/>
          <w:lang w:val="zh-CN"/>
        </w:rPr>
        <w:t>法定代表人：施志广，总经理。</w:t>
      </w:r>
    </w:p>
    <w:p>
      <w:pPr>
        <w:autoSpaceDE w:val="0"/>
        <w:autoSpaceDN w:val="0"/>
        <w:adjustRightInd w:val="0"/>
        <w:spacing w:line="560" w:lineRule="exact"/>
        <w:ind w:firstLine="620" w:firstLineChars="200"/>
        <w:rPr>
          <w:kern w:val="0"/>
          <w:sz w:val="32"/>
          <w:szCs w:val="32"/>
          <w:lang w:val="zh-CN"/>
        </w:rPr>
      </w:pPr>
      <w:r>
        <w:rPr>
          <w:kern w:val="0"/>
          <w:sz w:val="32"/>
          <w:szCs w:val="32"/>
          <w:lang w:val="zh-CN"/>
        </w:rPr>
        <w:t>上诉人</w:t>
      </w:r>
      <w:r>
        <w:rPr>
          <w:rFonts w:hint="eastAsia"/>
          <w:kern w:val="0"/>
          <w:sz w:val="32"/>
          <w:szCs w:val="32"/>
          <w:lang w:val="zh-CN"/>
        </w:rPr>
        <w:t>罗某</w:t>
      </w:r>
      <w:r>
        <w:rPr>
          <w:kern w:val="0"/>
          <w:sz w:val="32"/>
          <w:szCs w:val="32"/>
          <w:lang w:val="zh-CN"/>
        </w:rPr>
        <w:t>因与被上诉人</w:t>
      </w:r>
      <w:r>
        <w:rPr>
          <w:rFonts w:hint="eastAsia"/>
          <w:kern w:val="0"/>
          <w:sz w:val="32"/>
          <w:szCs w:val="32"/>
          <w:lang w:val="zh-CN"/>
        </w:rPr>
        <w:t>永康市兴某五金制造厂</w:t>
      </w:r>
      <w:r>
        <w:rPr>
          <w:kern w:val="0"/>
          <w:sz w:val="32"/>
          <w:szCs w:val="32"/>
          <w:lang w:val="zh-CN"/>
        </w:rPr>
        <w:t>（以下简称</w:t>
      </w:r>
      <w:r>
        <w:rPr>
          <w:rFonts w:hint="eastAsia"/>
          <w:kern w:val="0"/>
          <w:sz w:val="32"/>
          <w:szCs w:val="32"/>
          <w:lang w:val="zh-CN"/>
        </w:rPr>
        <w:t>兴某厂</w:t>
      </w:r>
      <w:r>
        <w:rPr>
          <w:kern w:val="0"/>
          <w:sz w:val="32"/>
          <w:szCs w:val="32"/>
          <w:lang w:val="zh-CN"/>
        </w:rPr>
        <w:t>）、</w:t>
      </w:r>
      <w:r>
        <w:rPr>
          <w:rFonts w:hint="eastAsia"/>
          <w:kern w:val="0"/>
          <w:sz w:val="32"/>
          <w:szCs w:val="32"/>
          <w:lang w:val="zh-CN"/>
        </w:rPr>
        <w:t>浙江司某工贸有限公司</w:t>
      </w:r>
      <w:r>
        <w:rPr>
          <w:kern w:val="0"/>
          <w:sz w:val="32"/>
          <w:szCs w:val="32"/>
          <w:lang w:val="zh-CN"/>
        </w:rPr>
        <w:t>（以下简称</w:t>
      </w:r>
      <w:r>
        <w:rPr>
          <w:rFonts w:hint="eastAsia"/>
          <w:kern w:val="0"/>
          <w:sz w:val="32"/>
          <w:szCs w:val="32"/>
          <w:lang w:val="zh-CN"/>
        </w:rPr>
        <w:t>司某公司</w:t>
      </w:r>
      <w:r>
        <w:rPr>
          <w:kern w:val="0"/>
          <w:sz w:val="32"/>
          <w:szCs w:val="32"/>
          <w:lang w:val="zh-CN"/>
        </w:rPr>
        <w:t>）侵害外观设计专利权纠纷一案，不服浙江省杭州市中级人民法院（2017）浙01民初1795号民事判决，向本院提出上诉。本院于2018年7月17日立案后，依法组成合议庭，并于2018年9月18日公开开庭进行了审理。上诉人</w:t>
      </w:r>
      <w:r>
        <w:rPr>
          <w:rFonts w:hint="eastAsia"/>
          <w:kern w:val="0"/>
          <w:sz w:val="32"/>
          <w:szCs w:val="32"/>
          <w:lang w:val="zh-CN"/>
        </w:rPr>
        <w:t>罗某</w:t>
      </w:r>
      <w:r>
        <w:rPr>
          <w:kern w:val="0"/>
          <w:sz w:val="32"/>
          <w:szCs w:val="32"/>
          <w:lang w:val="zh-CN"/>
        </w:rPr>
        <w:t>的委托诉讼代理人</w:t>
      </w:r>
      <w:r>
        <w:rPr>
          <w:rFonts w:hint="eastAsia"/>
          <w:kern w:val="0"/>
          <w:sz w:val="32"/>
          <w:szCs w:val="32"/>
          <w:lang w:val="zh-CN"/>
        </w:rPr>
        <w:t>徐某</w:t>
      </w:r>
      <w:r>
        <w:rPr>
          <w:kern w:val="0"/>
          <w:sz w:val="32"/>
          <w:szCs w:val="32"/>
          <w:lang w:val="zh-CN"/>
        </w:rPr>
        <w:t>，被上诉人</w:t>
      </w:r>
      <w:r>
        <w:rPr>
          <w:rFonts w:hint="eastAsia"/>
          <w:kern w:val="0"/>
          <w:sz w:val="32"/>
          <w:szCs w:val="32"/>
          <w:lang w:val="zh-CN"/>
        </w:rPr>
        <w:t>兴某厂</w:t>
      </w:r>
      <w:r>
        <w:rPr>
          <w:kern w:val="0"/>
          <w:sz w:val="32"/>
          <w:szCs w:val="32"/>
          <w:lang w:val="zh-CN"/>
        </w:rPr>
        <w:t>的委托诉讼代理人</w:t>
      </w:r>
      <w:r>
        <w:rPr>
          <w:rFonts w:hint="eastAsia"/>
          <w:kern w:val="0"/>
          <w:sz w:val="32"/>
          <w:szCs w:val="32"/>
          <w:lang w:val="zh-CN"/>
        </w:rPr>
        <w:t>王某</w:t>
      </w:r>
      <w:r>
        <w:rPr>
          <w:kern w:val="0"/>
          <w:sz w:val="32"/>
          <w:szCs w:val="32"/>
          <w:lang w:val="zh-CN"/>
        </w:rPr>
        <w:t>到庭参加诉讼。原审被告</w:t>
      </w:r>
      <w:r>
        <w:rPr>
          <w:rFonts w:hint="eastAsia"/>
          <w:kern w:val="0"/>
          <w:sz w:val="32"/>
          <w:szCs w:val="32"/>
          <w:lang w:val="zh-CN"/>
        </w:rPr>
        <w:t>司某公司</w:t>
      </w:r>
      <w:r>
        <w:rPr>
          <w:kern w:val="0"/>
          <w:sz w:val="32"/>
          <w:szCs w:val="32"/>
          <w:lang w:val="zh-CN"/>
        </w:rPr>
        <w:t>经本院合法传唤未到庭，</w:t>
      </w:r>
      <w:r>
        <w:rPr>
          <w:rFonts w:hint="eastAsia"/>
          <w:kern w:val="0"/>
          <w:sz w:val="32"/>
          <w:szCs w:val="32"/>
          <w:lang w:val="zh-CN"/>
        </w:rPr>
        <w:t>依法缺席</w:t>
      </w:r>
      <w:r>
        <w:rPr>
          <w:kern w:val="0"/>
          <w:sz w:val="32"/>
          <w:szCs w:val="32"/>
          <w:lang w:val="zh-CN"/>
        </w:rPr>
        <w:t>审理。本案现已审理终结。</w:t>
      </w:r>
    </w:p>
    <w:p>
      <w:pPr>
        <w:autoSpaceDE w:val="0"/>
        <w:autoSpaceDN w:val="0"/>
        <w:adjustRightInd w:val="0"/>
        <w:spacing w:line="560" w:lineRule="exact"/>
        <w:ind w:firstLine="620" w:firstLineChars="200"/>
        <w:rPr>
          <w:kern w:val="0"/>
          <w:sz w:val="32"/>
          <w:szCs w:val="32"/>
          <w:lang w:val="zh-CN"/>
        </w:rPr>
      </w:pPr>
      <w:r>
        <w:rPr>
          <w:rFonts w:hint="eastAsia"/>
          <w:kern w:val="0"/>
          <w:sz w:val="32"/>
          <w:szCs w:val="32"/>
          <w:lang w:val="zh-CN"/>
        </w:rPr>
        <w:t>罗某</w:t>
      </w:r>
      <w:r>
        <w:rPr>
          <w:kern w:val="0"/>
          <w:sz w:val="32"/>
          <w:szCs w:val="32"/>
          <w:lang w:val="zh-CN"/>
        </w:rPr>
        <w:t>上诉请求：撤销一审判决，依法改判支持</w:t>
      </w:r>
      <w:r>
        <w:rPr>
          <w:rFonts w:hint="eastAsia"/>
          <w:kern w:val="0"/>
          <w:sz w:val="32"/>
          <w:szCs w:val="32"/>
          <w:lang w:val="zh-CN"/>
        </w:rPr>
        <w:t>罗某</w:t>
      </w:r>
      <w:r>
        <w:rPr>
          <w:kern w:val="0"/>
          <w:sz w:val="32"/>
          <w:szCs w:val="32"/>
          <w:lang w:val="zh-CN"/>
        </w:rPr>
        <w:t>一审的诉讼请求。事实和理由：原审法院认定“微信朋友圈发布的图片构成现有设计</w:t>
      </w:r>
      <w:r>
        <w:rPr>
          <w:rFonts w:hint="eastAsia"/>
          <w:kern w:val="0"/>
          <w:sz w:val="32"/>
          <w:szCs w:val="32"/>
          <w:lang w:val="zh-CN"/>
        </w:rPr>
        <w:t>”</w:t>
      </w:r>
      <w:r>
        <w:rPr>
          <w:kern w:val="0"/>
          <w:sz w:val="32"/>
          <w:szCs w:val="32"/>
          <w:lang w:val="zh-CN"/>
        </w:rPr>
        <w:t>错误。微信朋友圈是具有一定私密性的社交媒体，在微信朋友圈发布的信息内容未达到对不特定公众公开的结果，</w:t>
      </w:r>
    </w:p>
    <w:p>
      <w:pPr>
        <w:autoSpaceDE w:val="0"/>
        <w:autoSpaceDN w:val="0"/>
        <w:adjustRightInd w:val="0"/>
        <w:spacing w:line="560" w:lineRule="exact"/>
        <w:rPr>
          <w:kern w:val="0"/>
          <w:sz w:val="32"/>
          <w:szCs w:val="32"/>
          <w:lang w:val="zh-CN"/>
        </w:rPr>
      </w:pPr>
      <w:r>
        <w:rPr>
          <w:kern w:val="0"/>
          <w:sz w:val="32"/>
          <w:szCs w:val="32"/>
          <w:lang w:val="zh-CN"/>
        </w:rPr>
        <w:t>微信朋友圈的内容也不存在被不特定公众所知的可能性；即使有人在微信朋友圈发布了销售涉案专利产品的信息，也不代表涉案专利产品已经投入市场销售，不能以此认定涉案专利已经公开。被上诉人提供的证据不足以证明被诉侵权产品使用的是现有设计，原审判决认定事实错误。</w:t>
      </w:r>
    </w:p>
    <w:p>
      <w:pPr>
        <w:adjustRightInd w:val="0"/>
        <w:snapToGrid w:val="0"/>
        <w:spacing w:line="560" w:lineRule="exact"/>
        <w:ind w:firstLine="620" w:firstLineChars="200"/>
        <w:rPr>
          <w:kern w:val="0"/>
          <w:sz w:val="32"/>
          <w:szCs w:val="32"/>
        </w:rPr>
      </w:pPr>
      <w:r>
        <w:rPr>
          <w:rFonts w:hint="eastAsia"/>
          <w:kern w:val="0"/>
          <w:sz w:val="32"/>
          <w:szCs w:val="32"/>
          <w:lang w:val="zh-CN"/>
        </w:rPr>
        <w:t>兴某厂</w:t>
      </w:r>
      <w:r>
        <w:rPr>
          <w:kern w:val="0"/>
          <w:sz w:val="32"/>
          <w:szCs w:val="32"/>
          <w:lang w:val="zh-CN"/>
        </w:rPr>
        <w:t>答辩称</w:t>
      </w:r>
      <w:r>
        <w:rPr>
          <w:sz w:val="32"/>
          <w:szCs w:val="32"/>
        </w:rPr>
        <w:t>：</w:t>
      </w:r>
      <w:r>
        <w:rPr>
          <w:rFonts w:hint="eastAsia"/>
          <w:sz w:val="32"/>
          <w:szCs w:val="32"/>
          <w:lang w:eastAsia="zh-CN"/>
        </w:rPr>
        <w:t>兴某厂</w:t>
      </w:r>
      <w:r>
        <w:rPr>
          <w:sz w:val="32"/>
          <w:szCs w:val="32"/>
        </w:rPr>
        <w:t>的业务是生产门面、门框，</w:t>
      </w:r>
      <w:r>
        <w:rPr>
          <w:rFonts w:hint="eastAsia"/>
          <w:sz w:val="32"/>
          <w:szCs w:val="32"/>
          <w:lang w:eastAsia="zh-CN"/>
        </w:rPr>
        <w:t>司某公司</w:t>
      </w:r>
      <w:r>
        <w:rPr>
          <w:sz w:val="32"/>
          <w:szCs w:val="32"/>
        </w:rPr>
        <w:t>的业务是生产防盗门，</w:t>
      </w:r>
      <w:r>
        <w:rPr>
          <w:rFonts w:hint="eastAsia"/>
          <w:sz w:val="32"/>
          <w:szCs w:val="32"/>
          <w:lang w:eastAsia="zh-CN"/>
        </w:rPr>
        <w:t>罗某</w:t>
      </w:r>
      <w:r>
        <w:rPr>
          <w:sz w:val="32"/>
          <w:szCs w:val="32"/>
        </w:rPr>
        <w:t>指控被诉侵权产品由</w:t>
      </w:r>
      <w:r>
        <w:rPr>
          <w:rFonts w:hint="eastAsia"/>
          <w:sz w:val="32"/>
          <w:szCs w:val="32"/>
          <w:lang w:eastAsia="zh-CN"/>
        </w:rPr>
        <w:t>兴某厂</w:t>
      </w:r>
      <w:r>
        <w:rPr>
          <w:sz w:val="32"/>
          <w:szCs w:val="32"/>
        </w:rPr>
        <w:t>、</w:t>
      </w:r>
      <w:r>
        <w:rPr>
          <w:rFonts w:hint="eastAsia"/>
          <w:sz w:val="32"/>
          <w:szCs w:val="32"/>
          <w:lang w:eastAsia="zh-CN"/>
        </w:rPr>
        <w:t>司某公司</w:t>
      </w:r>
      <w:r>
        <w:rPr>
          <w:sz w:val="32"/>
          <w:szCs w:val="32"/>
        </w:rPr>
        <w:t>制造无事实依据。涉案专利不符合专利法规定，不应被授权，被诉侵权产品也未落入涉案专利权保护范围。被诉侵权产品所使用的是现有设计。即使侵权成立，</w:t>
      </w:r>
      <w:r>
        <w:rPr>
          <w:rFonts w:hint="eastAsia"/>
          <w:sz w:val="32"/>
          <w:szCs w:val="32"/>
          <w:lang w:eastAsia="zh-CN"/>
        </w:rPr>
        <w:t>罗某</w:t>
      </w:r>
      <w:r>
        <w:rPr>
          <w:sz w:val="32"/>
          <w:szCs w:val="32"/>
        </w:rPr>
        <w:t>所主张的赔偿金额也过高。综上，请求驳回</w:t>
      </w:r>
      <w:r>
        <w:rPr>
          <w:rFonts w:hint="eastAsia"/>
          <w:sz w:val="32"/>
          <w:szCs w:val="32"/>
          <w:lang w:eastAsia="zh-CN"/>
        </w:rPr>
        <w:t>罗某</w:t>
      </w:r>
      <w:r>
        <w:rPr>
          <w:sz w:val="32"/>
          <w:szCs w:val="32"/>
        </w:rPr>
        <w:t>的上诉，维持原判。</w:t>
      </w:r>
    </w:p>
    <w:p>
      <w:pPr>
        <w:autoSpaceDE w:val="0"/>
        <w:autoSpaceDN w:val="0"/>
        <w:adjustRightInd w:val="0"/>
        <w:spacing w:line="560" w:lineRule="exact"/>
        <w:ind w:firstLine="620" w:firstLineChars="200"/>
        <w:rPr>
          <w:kern w:val="0"/>
          <w:sz w:val="32"/>
          <w:szCs w:val="32"/>
          <w:lang w:val="zh-CN"/>
        </w:rPr>
      </w:pPr>
      <w:r>
        <w:rPr>
          <w:rFonts w:hint="eastAsia"/>
          <w:kern w:val="0"/>
          <w:sz w:val="32"/>
          <w:szCs w:val="32"/>
          <w:lang w:val="zh-CN"/>
        </w:rPr>
        <w:t>罗某</w:t>
      </w:r>
      <w:r>
        <w:rPr>
          <w:kern w:val="0"/>
          <w:sz w:val="32"/>
          <w:szCs w:val="32"/>
          <w:lang w:val="zh-CN"/>
        </w:rPr>
        <w:t>向一审法院提出如下诉讼请求：1．判令</w:t>
      </w:r>
      <w:r>
        <w:rPr>
          <w:rFonts w:hint="eastAsia"/>
          <w:kern w:val="0"/>
          <w:sz w:val="32"/>
          <w:szCs w:val="32"/>
          <w:lang w:val="zh-CN"/>
        </w:rPr>
        <w:t>兴某厂</w:t>
      </w:r>
      <w:r>
        <w:rPr>
          <w:kern w:val="0"/>
          <w:sz w:val="32"/>
          <w:szCs w:val="32"/>
          <w:lang w:val="zh-CN"/>
        </w:rPr>
        <w:t>、</w:t>
      </w:r>
      <w:r>
        <w:rPr>
          <w:rFonts w:hint="eastAsia"/>
          <w:kern w:val="0"/>
          <w:sz w:val="32"/>
          <w:szCs w:val="32"/>
          <w:lang w:val="zh-CN"/>
        </w:rPr>
        <w:t>司某公司</w:t>
      </w:r>
      <w:r>
        <w:rPr>
          <w:kern w:val="0"/>
          <w:sz w:val="32"/>
          <w:szCs w:val="32"/>
          <w:lang w:val="zh-CN"/>
        </w:rPr>
        <w:t>停止侵害专利号为</w:t>
      </w:r>
      <w:r>
        <w:rPr>
          <w:rFonts w:hint="eastAsia"/>
          <w:kern w:val="0"/>
          <w:sz w:val="32"/>
          <w:szCs w:val="32"/>
          <w:lang w:val="zh-CN"/>
        </w:rPr>
        <w:t>ZL2016xxxx7806.0</w:t>
      </w:r>
      <w:r>
        <w:rPr>
          <w:kern w:val="0"/>
          <w:sz w:val="32"/>
          <w:szCs w:val="32"/>
          <w:lang w:val="zh-CN"/>
        </w:rPr>
        <w:t>，名称为“门花（铸铝艺术-2）”的外观设计专利权，包括停止制造、销售、许诺销售侵权产品，并销毁库存侵权产品和用于生产侵权产品的专用设备、模具；2．共同赔偿</w:t>
      </w:r>
      <w:r>
        <w:rPr>
          <w:rFonts w:hint="eastAsia"/>
          <w:kern w:val="0"/>
          <w:sz w:val="32"/>
          <w:szCs w:val="32"/>
          <w:lang w:val="zh-CN"/>
        </w:rPr>
        <w:t>罗某</w:t>
      </w:r>
      <w:r>
        <w:rPr>
          <w:kern w:val="0"/>
          <w:sz w:val="32"/>
          <w:szCs w:val="32"/>
          <w:lang w:val="zh-CN"/>
        </w:rPr>
        <w:t>经济损失5万元（包括</w:t>
      </w:r>
      <w:r>
        <w:rPr>
          <w:rFonts w:hint="eastAsia"/>
          <w:kern w:val="0"/>
          <w:sz w:val="32"/>
          <w:szCs w:val="32"/>
          <w:lang w:val="zh-CN"/>
        </w:rPr>
        <w:t>罗某</w:t>
      </w:r>
      <w:r>
        <w:rPr>
          <w:kern w:val="0"/>
          <w:sz w:val="32"/>
          <w:szCs w:val="32"/>
          <w:lang w:val="zh-CN"/>
        </w:rPr>
        <w:t>为制止侵权行为所支付的合理费用）；3．承担本案诉讼费用。</w:t>
      </w:r>
    </w:p>
    <w:p>
      <w:pPr>
        <w:adjustRightInd w:val="0"/>
        <w:snapToGrid w:val="0"/>
        <w:spacing w:line="560" w:lineRule="exact"/>
        <w:ind w:firstLine="620" w:firstLineChars="200"/>
        <w:rPr>
          <w:sz w:val="32"/>
          <w:szCs w:val="32"/>
        </w:rPr>
      </w:pPr>
      <w:r>
        <w:rPr>
          <w:sz w:val="32"/>
          <w:szCs w:val="32"/>
        </w:rPr>
        <w:t>一审法院认定事实：</w:t>
      </w:r>
      <w:r>
        <w:rPr>
          <w:rFonts w:hint="eastAsia"/>
          <w:kern w:val="0"/>
          <w:sz w:val="32"/>
          <w:szCs w:val="32"/>
          <w:lang w:val="zh-CN"/>
        </w:rPr>
        <w:t>罗某</w:t>
      </w:r>
      <w:r>
        <w:rPr>
          <w:kern w:val="0"/>
          <w:sz w:val="32"/>
          <w:szCs w:val="32"/>
          <w:lang w:val="zh-CN"/>
        </w:rPr>
        <w:t>是专利号为</w:t>
      </w:r>
      <w:r>
        <w:rPr>
          <w:rFonts w:hint="eastAsia"/>
          <w:kern w:val="0"/>
          <w:sz w:val="32"/>
          <w:szCs w:val="32"/>
          <w:lang w:val="zh-CN"/>
        </w:rPr>
        <w:t>ZL2016xxxx7806.0</w:t>
      </w:r>
      <w:r>
        <w:rPr>
          <w:kern w:val="0"/>
          <w:sz w:val="32"/>
          <w:szCs w:val="32"/>
          <w:lang w:val="zh-CN"/>
        </w:rPr>
        <w:t>，名称为“门花（铸铝艺术-2）”的外观设计专利权人，该专利的申请日为2016年6月16日，授权公告日为</w:t>
      </w:r>
      <w:r>
        <w:rPr>
          <w:rFonts w:hint="eastAsia"/>
          <w:kern w:val="0"/>
          <w:sz w:val="32"/>
          <w:szCs w:val="32"/>
          <w:lang w:val="zh-CN"/>
        </w:rPr>
        <w:t>同</w:t>
      </w:r>
      <w:r>
        <w:rPr>
          <w:kern w:val="0"/>
          <w:sz w:val="32"/>
          <w:szCs w:val="32"/>
          <w:lang w:val="zh-CN"/>
        </w:rPr>
        <w:t>年9月14日。</w:t>
      </w:r>
      <w:r>
        <w:rPr>
          <w:sz w:val="32"/>
          <w:szCs w:val="32"/>
        </w:rPr>
        <w:t>该专利目前处于有效状态。</w:t>
      </w:r>
    </w:p>
    <w:p>
      <w:pPr>
        <w:adjustRightInd w:val="0"/>
        <w:snapToGrid w:val="0"/>
        <w:spacing w:line="560" w:lineRule="exact"/>
        <w:ind w:firstLine="620" w:firstLineChars="200"/>
        <w:rPr>
          <w:sz w:val="32"/>
          <w:szCs w:val="32"/>
        </w:rPr>
      </w:pPr>
      <w:r>
        <w:rPr>
          <w:sz w:val="32"/>
          <w:szCs w:val="32"/>
        </w:rPr>
        <w:t>据浙江省台州市正立公证处（2017）浙台正证字第4247号公证书记载，卢洋辉于2017年10月16日到该公证处称，其受</w:t>
      </w:r>
      <w:r>
        <w:rPr>
          <w:rFonts w:hint="eastAsia"/>
          <w:sz w:val="32"/>
          <w:szCs w:val="32"/>
          <w:lang w:eastAsia="zh-CN"/>
        </w:rPr>
        <w:t>罗某</w:t>
      </w:r>
      <w:r>
        <w:rPr>
          <w:sz w:val="32"/>
          <w:szCs w:val="32"/>
        </w:rPr>
        <w:t>委托，对涉嫌侵害</w:t>
      </w:r>
      <w:r>
        <w:rPr>
          <w:rFonts w:hint="eastAsia"/>
          <w:sz w:val="32"/>
          <w:szCs w:val="32"/>
          <w:lang w:eastAsia="zh-CN"/>
        </w:rPr>
        <w:t>罗某</w:t>
      </w:r>
      <w:r>
        <w:rPr>
          <w:sz w:val="32"/>
          <w:szCs w:val="32"/>
        </w:rPr>
        <w:t>专利权的门花商品进行调查取证。当日，卢洋辉在公证人员的见证下，来到浙江省永康市五金城五金八街与五金西路路口，门面标有“司贝宁安全门兴宇门面门框”的店面，购买铝门花三箱</w:t>
      </w:r>
      <w:r>
        <w:rPr>
          <w:color w:val="000000" w:themeColor="text1"/>
          <w:sz w:val="32"/>
          <w:szCs w:val="32"/>
        </w:rPr>
        <w:t>（均非本案被诉侵权产品）</w:t>
      </w:r>
      <w:r>
        <w:rPr>
          <w:sz w:val="32"/>
          <w:szCs w:val="32"/>
        </w:rPr>
        <w:t>，取得“收款收据”和名片各一张，产品宣传册二本。其中，名片上印有“兴宇·门面·门框浙江永康兴宇五金制造厂兴宇门面门市部地址：永康五金西路87号”等字样。宣传册封面醒目位置大字体印有“锦致”字样，内页展示有多款门花产品式样，本案被诉侵权产品式样亦在列，宣传册封底留有厂家地址和联系方式，地址、电话、传真、手机号码与被诉侵权产品包装箱上所留一致。</w:t>
      </w:r>
    </w:p>
    <w:p>
      <w:pPr>
        <w:adjustRightInd w:val="0"/>
        <w:snapToGrid w:val="0"/>
        <w:spacing w:line="560" w:lineRule="exact"/>
        <w:ind w:firstLine="620" w:firstLineChars="200"/>
        <w:rPr>
          <w:sz w:val="32"/>
          <w:szCs w:val="32"/>
        </w:rPr>
      </w:pPr>
      <w:r>
        <w:rPr>
          <w:sz w:val="32"/>
          <w:szCs w:val="32"/>
        </w:rPr>
        <w:t>据浙江省金华市公信公证处（2018）浙金公证民字第82号公证书的记载，</w:t>
      </w:r>
      <w:r>
        <w:rPr>
          <w:rFonts w:hint="eastAsia"/>
          <w:sz w:val="32"/>
          <w:szCs w:val="32"/>
          <w:lang w:eastAsia="zh-CN"/>
        </w:rPr>
        <w:t>兴某厂</w:t>
      </w:r>
      <w:r>
        <w:rPr>
          <w:sz w:val="32"/>
          <w:szCs w:val="32"/>
        </w:rPr>
        <w:t>的投资人施惠如和其委托代理人</w:t>
      </w:r>
      <w:r>
        <w:rPr>
          <w:rFonts w:hint="eastAsia"/>
          <w:sz w:val="32"/>
          <w:szCs w:val="32"/>
          <w:lang w:eastAsia="zh-CN"/>
        </w:rPr>
        <w:t>王某</w:t>
      </w:r>
      <w:r>
        <w:rPr>
          <w:sz w:val="32"/>
          <w:szCs w:val="32"/>
        </w:rPr>
        <w:t>于2018年1月8日来到该公证处。施惠如使用一部iphone手机，先通过拨打该公证处座机的形式验证其电话号码为139****1009，并提交了由浙江移动永康分公司出具的“证明”证明该号码由施惠如使用。</w:t>
      </w:r>
      <w:r>
        <w:rPr>
          <w:rFonts w:hint="eastAsia"/>
          <w:sz w:val="32"/>
          <w:szCs w:val="32"/>
          <w:lang w:eastAsia="zh-CN"/>
        </w:rPr>
        <w:t>王某</w:t>
      </w:r>
      <w:r>
        <w:rPr>
          <w:sz w:val="32"/>
          <w:szCs w:val="32"/>
        </w:rPr>
        <w:t>随后用该手机登陆139****1009微信账号，在通讯录中找到一昵称为“金金铸铝门花罗玲182****1998”的微信好友，其“社交资料”内容有：个性签名：“精品铸铝门花，追求艺术品味。欢迎选购，抢购电话182****1998”。</w:t>
      </w:r>
      <w:r>
        <w:rPr>
          <w:rFonts w:hint="eastAsia"/>
          <w:sz w:val="32"/>
          <w:szCs w:val="32"/>
          <w:lang w:eastAsia="zh-CN"/>
        </w:rPr>
        <w:t>王某</w:t>
      </w:r>
      <w:r>
        <w:rPr>
          <w:sz w:val="32"/>
          <w:szCs w:val="32"/>
        </w:rPr>
        <w:t>随后查看了该微信账号的“个人相册”，查看其于2016年6月16日上午10：12和10：13、</w:t>
      </w:r>
      <w:r>
        <w:rPr>
          <w:rFonts w:hint="eastAsia"/>
          <w:sz w:val="32"/>
          <w:szCs w:val="32"/>
        </w:rPr>
        <w:t>同</w:t>
      </w:r>
      <w:r>
        <w:rPr>
          <w:sz w:val="32"/>
          <w:szCs w:val="32"/>
        </w:rPr>
        <w:t>年3月10日15：53、</w:t>
      </w:r>
      <w:r>
        <w:rPr>
          <w:rFonts w:hint="eastAsia"/>
          <w:sz w:val="32"/>
          <w:szCs w:val="32"/>
        </w:rPr>
        <w:t>同</w:t>
      </w:r>
      <w:r>
        <w:rPr>
          <w:sz w:val="32"/>
          <w:szCs w:val="32"/>
        </w:rPr>
        <w:t>年3月12日15：38，以及</w:t>
      </w:r>
      <w:r>
        <w:rPr>
          <w:rFonts w:hint="eastAsia"/>
          <w:sz w:val="32"/>
          <w:szCs w:val="32"/>
        </w:rPr>
        <w:t>同</w:t>
      </w:r>
      <w:r>
        <w:rPr>
          <w:sz w:val="32"/>
          <w:szCs w:val="32"/>
        </w:rPr>
        <w:t>年3月22日9：31发布的朋友圈，浏览所发布的图片，并通过微信网页版中的文件传输助手功能将图片传送至公证处的计算机中。随后</w:t>
      </w:r>
      <w:r>
        <w:rPr>
          <w:rFonts w:hint="eastAsia"/>
          <w:sz w:val="32"/>
          <w:szCs w:val="32"/>
          <w:lang w:eastAsia="zh-CN"/>
        </w:rPr>
        <w:t>王某</w:t>
      </w:r>
      <w:r>
        <w:rPr>
          <w:sz w:val="32"/>
          <w:szCs w:val="32"/>
        </w:rPr>
        <w:t>又通过微信通讯录找到“飞宇公司，陈139****8756”的微信用户，查看其个人相册中2015年9月16日20：56发布的朋友圈内容，浏览其链接内容，截屏后发送至公证处计算机中。据公证书的记载，前述朋友圈的内容中均有涉及到门的图片。</w:t>
      </w:r>
    </w:p>
    <w:p>
      <w:pPr>
        <w:adjustRightInd w:val="0"/>
        <w:snapToGrid w:val="0"/>
        <w:spacing w:line="560" w:lineRule="exact"/>
        <w:ind w:firstLine="620" w:firstLineChars="200"/>
        <w:rPr>
          <w:color w:val="000000" w:themeColor="text1"/>
          <w:sz w:val="32"/>
          <w:szCs w:val="32"/>
        </w:rPr>
      </w:pPr>
      <w:r>
        <w:rPr>
          <w:color w:val="000000" w:themeColor="text1"/>
          <w:sz w:val="32"/>
          <w:szCs w:val="32"/>
        </w:rPr>
        <w:t>一审庭审过程中，</w:t>
      </w:r>
      <w:r>
        <w:rPr>
          <w:rFonts w:hint="eastAsia"/>
          <w:color w:val="000000" w:themeColor="text1"/>
          <w:sz w:val="32"/>
          <w:szCs w:val="32"/>
          <w:lang w:eastAsia="zh-CN"/>
        </w:rPr>
        <w:t>罗某</w:t>
      </w:r>
      <w:r>
        <w:rPr>
          <w:color w:val="000000" w:themeColor="text1"/>
          <w:sz w:val="32"/>
          <w:szCs w:val="32"/>
        </w:rPr>
        <w:t>明确以前述宣传册中第10页编号为JZ-16（16-1、16-2）的产品作为比对对象。</w:t>
      </w:r>
    </w:p>
    <w:p>
      <w:pPr>
        <w:adjustRightInd w:val="0"/>
        <w:snapToGrid w:val="0"/>
        <w:spacing w:line="560" w:lineRule="exact"/>
        <w:ind w:firstLine="620" w:firstLineChars="200"/>
        <w:rPr>
          <w:kern w:val="0"/>
          <w:sz w:val="32"/>
          <w:szCs w:val="32"/>
          <w:lang w:val="zh-CN"/>
        </w:rPr>
      </w:pPr>
      <w:r>
        <w:rPr>
          <w:kern w:val="0"/>
          <w:sz w:val="32"/>
          <w:szCs w:val="32"/>
        </w:rPr>
        <w:t>一审法院</w:t>
      </w:r>
      <w:r>
        <w:rPr>
          <w:kern w:val="0"/>
          <w:sz w:val="32"/>
          <w:szCs w:val="32"/>
          <w:lang w:val="zh-CN"/>
        </w:rPr>
        <w:t>认为，涉案专利在有效期限内，法律状态稳定，其权利人已履行了缴纳专利年费的义务，故该专利为有效专利，应受国家法律保护。</w:t>
      </w:r>
      <w:r>
        <w:rPr>
          <w:rFonts w:hint="eastAsia"/>
          <w:kern w:val="0"/>
          <w:sz w:val="32"/>
          <w:szCs w:val="32"/>
          <w:lang w:val="zh-CN"/>
        </w:rPr>
        <w:t>罗某</w:t>
      </w:r>
      <w:r>
        <w:rPr>
          <w:kern w:val="0"/>
          <w:sz w:val="32"/>
          <w:szCs w:val="32"/>
          <w:lang w:val="zh-CN"/>
        </w:rPr>
        <w:t>作为专利权人享有对侵犯涉案专利行为之诉权。本案争议焦点在于：（一）被诉侵权设计与授权外观设计是否构成相同或近似；（二）</w:t>
      </w:r>
      <w:r>
        <w:rPr>
          <w:rFonts w:hint="eastAsia"/>
          <w:kern w:val="0"/>
          <w:sz w:val="32"/>
          <w:szCs w:val="32"/>
          <w:lang w:val="zh-CN"/>
        </w:rPr>
        <w:t>兴某厂</w:t>
      </w:r>
      <w:r>
        <w:rPr>
          <w:kern w:val="0"/>
          <w:sz w:val="32"/>
          <w:szCs w:val="32"/>
          <w:lang w:val="zh-CN"/>
        </w:rPr>
        <w:t>和</w:t>
      </w:r>
      <w:r>
        <w:rPr>
          <w:rFonts w:hint="eastAsia"/>
          <w:kern w:val="0"/>
          <w:sz w:val="32"/>
          <w:szCs w:val="32"/>
          <w:lang w:val="zh-CN"/>
        </w:rPr>
        <w:t>司某公司</w:t>
      </w:r>
      <w:r>
        <w:rPr>
          <w:kern w:val="0"/>
          <w:sz w:val="32"/>
          <w:szCs w:val="32"/>
          <w:lang w:val="zh-CN"/>
        </w:rPr>
        <w:t>所主张的现有设计抗辩是否成立；（三）在案证据是否足以认定</w:t>
      </w:r>
      <w:r>
        <w:rPr>
          <w:rFonts w:hint="eastAsia"/>
          <w:kern w:val="0"/>
          <w:sz w:val="32"/>
          <w:szCs w:val="32"/>
          <w:lang w:val="zh-CN"/>
        </w:rPr>
        <w:t>兴某厂</w:t>
      </w:r>
      <w:r>
        <w:rPr>
          <w:kern w:val="0"/>
          <w:sz w:val="32"/>
          <w:szCs w:val="32"/>
          <w:lang w:val="zh-CN"/>
        </w:rPr>
        <w:t>和</w:t>
      </w:r>
      <w:r>
        <w:rPr>
          <w:rFonts w:hint="eastAsia"/>
          <w:kern w:val="0"/>
          <w:sz w:val="32"/>
          <w:szCs w:val="32"/>
          <w:lang w:val="zh-CN"/>
        </w:rPr>
        <w:t>司某公司</w:t>
      </w:r>
      <w:r>
        <w:rPr>
          <w:kern w:val="0"/>
          <w:sz w:val="32"/>
          <w:szCs w:val="32"/>
          <w:lang w:val="zh-CN"/>
        </w:rPr>
        <w:t>实施了制造侵权产品的行为，</w:t>
      </w:r>
      <w:r>
        <w:rPr>
          <w:rFonts w:hint="eastAsia"/>
          <w:kern w:val="0"/>
          <w:sz w:val="32"/>
          <w:szCs w:val="32"/>
          <w:lang w:val="zh-CN"/>
        </w:rPr>
        <w:t>罗某</w:t>
      </w:r>
      <w:r>
        <w:rPr>
          <w:kern w:val="0"/>
          <w:sz w:val="32"/>
          <w:szCs w:val="32"/>
          <w:lang w:val="zh-CN"/>
        </w:rPr>
        <w:t>所主张的侵权责任是否合理。</w:t>
      </w:r>
    </w:p>
    <w:p>
      <w:pPr>
        <w:adjustRightInd w:val="0"/>
        <w:snapToGrid w:val="0"/>
        <w:spacing w:line="560" w:lineRule="exact"/>
        <w:ind w:firstLine="620" w:firstLineChars="200"/>
        <w:rPr>
          <w:kern w:val="0"/>
          <w:sz w:val="32"/>
          <w:szCs w:val="32"/>
          <w:lang w:val="zh-CN"/>
        </w:rPr>
      </w:pPr>
      <w:r>
        <w:rPr>
          <w:kern w:val="0"/>
          <w:sz w:val="32"/>
          <w:szCs w:val="32"/>
          <w:lang w:val="zh-CN"/>
        </w:rPr>
        <w:t>关于争议焦点（一），</w:t>
      </w:r>
      <w:r>
        <w:rPr>
          <w:rFonts w:hint="eastAsia"/>
          <w:kern w:val="0"/>
          <w:sz w:val="32"/>
          <w:szCs w:val="32"/>
          <w:lang w:val="zh-CN"/>
        </w:rPr>
        <w:t>兴某厂</w:t>
      </w:r>
      <w:r>
        <w:rPr>
          <w:kern w:val="0"/>
          <w:sz w:val="32"/>
          <w:szCs w:val="32"/>
          <w:lang w:val="zh-CN"/>
        </w:rPr>
        <w:t>和</w:t>
      </w:r>
      <w:r>
        <w:rPr>
          <w:rFonts w:hint="eastAsia"/>
          <w:kern w:val="0"/>
          <w:sz w:val="32"/>
          <w:szCs w:val="32"/>
          <w:lang w:val="zh-CN"/>
        </w:rPr>
        <w:t>司某公司</w:t>
      </w:r>
      <w:r>
        <w:rPr>
          <w:kern w:val="0"/>
          <w:sz w:val="32"/>
          <w:szCs w:val="32"/>
          <w:lang w:val="zh-CN"/>
        </w:rPr>
        <w:t>主张被诉侵权设计与授权外观设计相比，二者在中间螺纹上存在不同。</w:t>
      </w:r>
    </w:p>
    <w:p>
      <w:pPr>
        <w:adjustRightInd w:val="0"/>
        <w:snapToGrid w:val="0"/>
        <w:spacing w:line="560" w:lineRule="exact"/>
        <w:ind w:firstLine="620" w:firstLineChars="200"/>
        <w:rPr>
          <w:kern w:val="0"/>
          <w:sz w:val="32"/>
          <w:szCs w:val="32"/>
          <w:lang w:val="zh-CN"/>
        </w:rPr>
      </w:pPr>
      <w:r>
        <w:rPr>
          <w:kern w:val="0"/>
          <w:sz w:val="32"/>
          <w:szCs w:val="32"/>
          <w:lang w:val="zh-CN"/>
        </w:rPr>
        <w:t>该院经审查后认为，《最高人民法院关于审理侵犯专利权纠纷案件应用法律若干问题的解释》第十条规定：“人民法院应当以外观设计专利产品的一般消费者的知识水平和认知能力，判断外观设计是否相同或者近似。”第十一条规定：“人民法院认定外观设计是否相同或者近似时，应当根据授权外观设计、被诉侵权设计的设计特征，以外观设计的整体视觉效果进行综合判断；对于主要由技术功能决定的设计特征以及对整体视觉效果不产生影响的产品的材料、内部结构等特征，应当不予考虑。下列情形，通常对外观设计的整体视觉效果更具有影响：（一）产品正常使用时容易被直接观察到的部位相对于其他部位；（二）授权外观设计区别于现有设计的设计特征相对于授权外观设计的其他设计特征。被诉侵权设计与授权外观设计在整体视觉效果上无差异的，人民法院应当认定两者相同；在整体视觉效果上无实质性差异的，应当认定两者近似。”</w:t>
      </w:r>
    </w:p>
    <w:p>
      <w:pPr>
        <w:adjustRightInd w:val="0"/>
        <w:snapToGrid w:val="0"/>
        <w:spacing w:line="560" w:lineRule="exact"/>
        <w:ind w:firstLine="620" w:firstLineChars="200"/>
        <w:rPr>
          <w:kern w:val="0"/>
          <w:sz w:val="32"/>
          <w:szCs w:val="32"/>
          <w:lang w:val="zh-CN"/>
        </w:rPr>
      </w:pPr>
      <w:r>
        <w:rPr>
          <w:kern w:val="0"/>
          <w:sz w:val="32"/>
          <w:szCs w:val="32"/>
          <w:lang w:val="zh-CN"/>
        </w:rPr>
        <w:t>根据前述司法解释中确定的判定标准，该院认为，被诉侵权设计与授权外观设计间虽然存在区别，但均属细节上的差异，除上述区别外，二者在其他方面均为基本一致。以本领域一般消费者的知识水平和认知能力来看，二者在整体视觉效果上无实质性差异。故应认定被诉侵权设计与授权外观设计构成近似。</w:t>
      </w:r>
    </w:p>
    <w:p>
      <w:pPr>
        <w:adjustRightInd w:val="0"/>
        <w:snapToGrid w:val="0"/>
        <w:spacing w:line="560" w:lineRule="exact"/>
        <w:ind w:firstLine="620" w:firstLineChars="200"/>
        <w:rPr>
          <w:sz w:val="32"/>
          <w:szCs w:val="32"/>
        </w:rPr>
      </w:pPr>
      <w:r>
        <w:rPr>
          <w:kern w:val="0"/>
          <w:sz w:val="32"/>
          <w:szCs w:val="32"/>
          <w:lang w:val="zh-CN"/>
        </w:rPr>
        <w:t>关于争议焦点（二），</w:t>
      </w:r>
      <w:r>
        <w:rPr>
          <w:rFonts w:hint="eastAsia"/>
          <w:kern w:val="0"/>
          <w:sz w:val="32"/>
          <w:szCs w:val="32"/>
          <w:lang w:val="zh-CN"/>
        </w:rPr>
        <w:t>兴某厂</w:t>
      </w:r>
      <w:r>
        <w:rPr>
          <w:kern w:val="0"/>
          <w:sz w:val="32"/>
          <w:szCs w:val="32"/>
          <w:lang w:val="zh-CN"/>
        </w:rPr>
        <w:t>和</w:t>
      </w:r>
      <w:r>
        <w:rPr>
          <w:rFonts w:hint="eastAsia"/>
          <w:kern w:val="0"/>
          <w:sz w:val="32"/>
          <w:szCs w:val="32"/>
          <w:lang w:val="zh-CN"/>
        </w:rPr>
        <w:t>司某公司</w:t>
      </w:r>
      <w:r>
        <w:rPr>
          <w:kern w:val="0"/>
          <w:sz w:val="32"/>
          <w:szCs w:val="32"/>
          <w:lang w:val="zh-CN"/>
        </w:rPr>
        <w:t>以</w:t>
      </w:r>
      <w:r>
        <w:rPr>
          <w:sz w:val="32"/>
          <w:szCs w:val="32"/>
        </w:rPr>
        <w:t>微信朋友圈中发布的内容作为依据提出现有设计抗辩，</w:t>
      </w:r>
      <w:r>
        <w:rPr>
          <w:rFonts w:hint="eastAsia"/>
          <w:sz w:val="32"/>
          <w:szCs w:val="32"/>
          <w:lang w:eastAsia="zh-CN"/>
        </w:rPr>
        <w:t>罗某</w:t>
      </w:r>
      <w:r>
        <w:rPr>
          <w:sz w:val="32"/>
          <w:szCs w:val="32"/>
        </w:rPr>
        <w:t>主张朋友圈中内容仅对好友可见，不属于专利法意义上的现有设计，不可用于现有设计比对。</w:t>
      </w:r>
    </w:p>
    <w:p>
      <w:pPr>
        <w:adjustRightInd w:val="0"/>
        <w:snapToGrid w:val="0"/>
        <w:spacing w:line="560" w:lineRule="exact"/>
        <w:ind w:firstLine="620" w:firstLineChars="200"/>
        <w:rPr>
          <w:sz w:val="32"/>
          <w:szCs w:val="32"/>
        </w:rPr>
      </w:pPr>
      <w:r>
        <w:rPr>
          <w:sz w:val="32"/>
          <w:szCs w:val="32"/>
        </w:rPr>
        <w:t>该院经审查后认为，《中华人民共和国专利法》第二十三条第四款规定：“本法所称现有设计，是指申请日以前在国内外为公众所知的设计。”实际上，任何一项设计都不可能已经被国内外所有公众实际知悉，专利法中规定的现有设计应当是指该设计在专利申请日前已经处于能够为公众获得的状态，具有被获知的可能性。本案中，首先，微信朋友圈并不是一种具有高度私密性的社交媒体，相反却具有较强的开放性。微信用户对于发布在朋友圈的内容在主观目的上也是为了公开与共享，而非隐藏与保密。就微信朋友圈中发布的内容而言，确实存在“仅好友可见”“所有人可见”等情形，甚至对于好友也可设置为不可见。但即使微信用户将其朋友圈权限设置为仅对部分好友可见，该部分好友对该微信用户的朋友圈内容并不负有保密义务，而是可以提供给他人查看，或进行下载、转发或用于其他公开用途。对于尚未成为特定微信用户好友的普通社会公众而言，也均存在将其添加为好友进而可获知其朋友圈内容的可能性；甚至有部分微信用户可能会允许任何人将其添加为好友，使得其朋友圈内容实际上处于对任何微信用户开放的状态。由此可见，发布在朋友圈的内容存在被不特定公众所知的可能。其次，在涉案的朋友圈中，其发布者的微信昵称为“金金铸铝门花罗玲182****1998”，个性签名内容为“精品铸铝门花，追求艺术品味。欢迎选购，抢购电话182****1998”。可见，该微信用户系通过微信朋友圈推销其产品，朋友圈中所发布的产品已经在售，公众已经可以购买并使用。作为门花的设计，一旦公开销售或使用即已经为不特定公众所知。因而，结合涉案朋友圈发布的时间早于涉案专利申请日的事实，该院认为其中内容可以作为现有设计抗辩的依据。</w:t>
      </w:r>
    </w:p>
    <w:p>
      <w:pPr>
        <w:adjustRightInd w:val="0"/>
        <w:snapToGrid w:val="0"/>
        <w:spacing w:line="560" w:lineRule="exact"/>
        <w:ind w:firstLine="620" w:firstLineChars="200"/>
        <w:rPr>
          <w:sz w:val="32"/>
          <w:szCs w:val="32"/>
        </w:rPr>
      </w:pPr>
      <w:r>
        <w:rPr>
          <w:sz w:val="32"/>
          <w:szCs w:val="32"/>
        </w:rPr>
        <w:t>经比对，</w:t>
      </w:r>
      <w:r>
        <w:rPr>
          <w:rFonts w:hint="eastAsia"/>
          <w:sz w:val="32"/>
          <w:szCs w:val="32"/>
          <w:lang w:eastAsia="zh-CN"/>
        </w:rPr>
        <w:t>罗某</w:t>
      </w:r>
      <w:r>
        <w:rPr>
          <w:sz w:val="32"/>
          <w:szCs w:val="32"/>
        </w:rPr>
        <w:t>认可被诉侵权</w:t>
      </w:r>
      <w:r>
        <w:rPr>
          <w:rFonts w:hint="eastAsia"/>
          <w:sz w:val="32"/>
          <w:szCs w:val="32"/>
        </w:rPr>
        <w:t>设计</w:t>
      </w:r>
      <w:r>
        <w:rPr>
          <w:sz w:val="32"/>
          <w:szCs w:val="32"/>
        </w:rPr>
        <w:t>与前述朋友圈中发布的图片所载设计构成近似。该院经审查后认为被诉侵权设计与现有设计无实质性差异，</w:t>
      </w:r>
      <w:r>
        <w:rPr>
          <w:rFonts w:hint="eastAsia"/>
          <w:sz w:val="32"/>
          <w:szCs w:val="32"/>
          <w:lang w:eastAsia="zh-CN"/>
        </w:rPr>
        <w:t>兴某厂</w:t>
      </w:r>
      <w:r>
        <w:rPr>
          <w:sz w:val="32"/>
          <w:szCs w:val="32"/>
        </w:rPr>
        <w:t>和</w:t>
      </w:r>
      <w:r>
        <w:rPr>
          <w:rFonts w:hint="eastAsia"/>
          <w:sz w:val="32"/>
          <w:szCs w:val="32"/>
          <w:lang w:eastAsia="zh-CN"/>
        </w:rPr>
        <w:t>司某公司</w:t>
      </w:r>
      <w:r>
        <w:rPr>
          <w:sz w:val="32"/>
          <w:szCs w:val="32"/>
        </w:rPr>
        <w:t>所作现有设计抗辩成立，</w:t>
      </w:r>
      <w:r>
        <w:rPr>
          <w:rFonts w:hint="eastAsia"/>
          <w:sz w:val="32"/>
          <w:szCs w:val="32"/>
          <w:lang w:eastAsia="zh-CN"/>
        </w:rPr>
        <w:t>罗某</w:t>
      </w:r>
      <w:r>
        <w:rPr>
          <w:sz w:val="32"/>
          <w:szCs w:val="32"/>
        </w:rPr>
        <w:t>的诉讼请求应当予以驳回。该院对争议焦点</w:t>
      </w:r>
      <w:r>
        <w:rPr>
          <w:rFonts w:hint="eastAsia"/>
          <w:sz w:val="32"/>
          <w:szCs w:val="32"/>
        </w:rPr>
        <w:t>（</w:t>
      </w:r>
      <w:r>
        <w:rPr>
          <w:sz w:val="32"/>
          <w:szCs w:val="32"/>
        </w:rPr>
        <w:t>三</w:t>
      </w:r>
      <w:r>
        <w:rPr>
          <w:rFonts w:hint="eastAsia"/>
          <w:sz w:val="32"/>
          <w:szCs w:val="32"/>
        </w:rPr>
        <w:t>）</w:t>
      </w:r>
      <w:r>
        <w:rPr>
          <w:sz w:val="32"/>
          <w:szCs w:val="32"/>
        </w:rPr>
        <w:t>不再作评述。</w:t>
      </w:r>
    </w:p>
    <w:p>
      <w:pPr>
        <w:adjustRightInd w:val="0"/>
        <w:snapToGrid w:val="0"/>
        <w:spacing w:line="560" w:lineRule="exact"/>
        <w:ind w:firstLine="620" w:firstLineChars="200"/>
        <w:rPr>
          <w:sz w:val="32"/>
          <w:szCs w:val="32"/>
        </w:rPr>
      </w:pPr>
      <w:r>
        <w:rPr>
          <w:rFonts w:hint="eastAsia"/>
          <w:color w:val="000000" w:themeColor="text1"/>
          <w:kern w:val="0"/>
          <w:sz w:val="32"/>
          <w:szCs w:val="32"/>
          <w:lang w:val="zh-CN"/>
        </w:rPr>
        <w:t>兴某厂</w:t>
      </w:r>
      <w:r>
        <w:rPr>
          <w:color w:val="000000" w:themeColor="text1"/>
          <w:kern w:val="0"/>
          <w:sz w:val="32"/>
          <w:szCs w:val="32"/>
          <w:lang w:val="zh-CN"/>
        </w:rPr>
        <w:t>和</w:t>
      </w:r>
      <w:r>
        <w:rPr>
          <w:rFonts w:hint="eastAsia"/>
          <w:color w:val="000000" w:themeColor="text1"/>
          <w:kern w:val="0"/>
          <w:sz w:val="32"/>
          <w:szCs w:val="32"/>
          <w:lang w:val="zh-CN"/>
        </w:rPr>
        <w:t>司某公司</w:t>
      </w:r>
      <w:r>
        <w:rPr>
          <w:color w:val="000000" w:themeColor="text1"/>
          <w:kern w:val="0"/>
          <w:sz w:val="32"/>
          <w:szCs w:val="32"/>
          <w:lang w:val="zh-CN"/>
        </w:rPr>
        <w:t>还于2018年5月16日申请中止本案诉讼，理由为其已向国家知识产权局专利复审委员会</w:t>
      </w:r>
      <w:r>
        <w:rPr>
          <w:rFonts w:hint="eastAsia"/>
          <w:color w:val="000000" w:themeColor="text1"/>
          <w:kern w:val="0"/>
          <w:sz w:val="32"/>
          <w:szCs w:val="32"/>
          <w:lang w:val="zh-CN"/>
        </w:rPr>
        <w:t>（以下简称专利复审委员会）</w:t>
      </w:r>
      <w:r>
        <w:rPr>
          <w:color w:val="000000" w:themeColor="text1"/>
          <w:kern w:val="0"/>
          <w:sz w:val="32"/>
          <w:szCs w:val="32"/>
          <w:lang w:val="zh-CN"/>
        </w:rPr>
        <w:t>就涉案专利提起无效宣告请求并被受理。该院认为，该申请</w:t>
      </w:r>
      <w:r>
        <w:rPr>
          <w:rFonts w:hint="eastAsia"/>
          <w:color w:val="000000" w:themeColor="text1"/>
          <w:kern w:val="0"/>
          <w:sz w:val="32"/>
          <w:szCs w:val="32"/>
          <w:lang w:val="zh-CN"/>
        </w:rPr>
        <w:t>已</w:t>
      </w:r>
      <w:r>
        <w:rPr>
          <w:color w:val="000000" w:themeColor="text1"/>
          <w:kern w:val="0"/>
          <w:sz w:val="32"/>
          <w:szCs w:val="32"/>
          <w:lang w:val="zh-CN"/>
        </w:rPr>
        <w:t>远超出答辩期限，为诉讼成本和诉讼效率计，且该院已认定其现有设计抗辩成立，因而本案亦无中止诉讼的必要，故对其申请不予准许。</w:t>
      </w:r>
    </w:p>
    <w:p>
      <w:pPr>
        <w:autoSpaceDE w:val="0"/>
        <w:autoSpaceDN w:val="0"/>
        <w:spacing w:line="560" w:lineRule="exact"/>
        <w:ind w:firstLine="620" w:firstLineChars="200"/>
        <w:rPr>
          <w:sz w:val="32"/>
          <w:szCs w:val="32"/>
        </w:rPr>
      </w:pPr>
      <w:r>
        <w:rPr>
          <w:sz w:val="32"/>
          <w:szCs w:val="32"/>
        </w:rPr>
        <w:t>综上，一</w:t>
      </w:r>
      <w:r>
        <w:rPr>
          <w:color w:val="000000" w:themeColor="text1"/>
          <w:sz w:val="32"/>
          <w:szCs w:val="32"/>
        </w:rPr>
        <w:t>审法院依照《中华人民共和国专利法》第二十三条</w:t>
      </w:r>
      <w:r>
        <w:rPr>
          <w:color w:val="000000" w:themeColor="text1"/>
          <w:kern w:val="0"/>
          <w:sz w:val="32"/>
          <w:szCs w:val="32"/>
          <w:lang w:val="zh-CN"/>
        </w:rPr>
        <w:t>、</w:t>
      </w:r>
      <w:r>
        <w:rPr>
          <w:color w:val="000000" w:themeColor="text1"/>
          <w:sz w:val="32"/>
          <w:szCs w:val="32"/>
        </w:rPr>
        <w:t>第六十二条，《最高人民法院关于审理专利纠纷案件适用法律问题的若干规定》第九条，《最高人民法院关于审理侵犯专利权纠纷案件应用法律若干问题的解释》第八条、第十条、第十一条、第十四条，《中华人民共和国民事诉讼法》第六十四条之规定，于20</w:t>
      </w:r>
      <w:r>
        <w:rPr>
          <w:sz w:val="32"/>
          <w:szCs w:val="32"/>
        </w:rPr>
        <w:t>18年5月21日判决驳回</w:t>
      </w:r>
      <w:r>
        <w:rPr>
          <w:rFonts w:hint="eastAsia"/>
          <w:sz w:val="32"/>
          <w:szCs w:val="32"/>
          <w:lang w:eastAsia="zh-CN"/>
        </w:rPr>
        <w:t>罗某</w:t>
      </w:r>
      <w:r>
        <w:rPr>
          <w:sz w:val="32"/>
          <w:szCs w:val="32"/>
        </w:rPr>
        <w:t>的全部诉讼请求。案件受理费1050元，由</w:t>
      </w:r>
      <w:r>
        <w:rPr>
          <w:rFonts w:hint="eastAsia"/>
          <w:sz w:val="32"/>
          <w:szCs w:val="32"/>
          <w:lang w:eastAsia="zh-CN"/>
        </w:rPr>
        <w:t>罗某</w:t>
      </w:r>
      <w:r>
        <w:rPr>
          <w:sz w:val="32"/>
          <w:szCs w:val="32"/>
        </w:rPr>
        <w:t>负担。</w:t>
      </w:r>
    </w:p>
    <w:p>
      <w:pPr>
        <w:spacing w:line="560" w:lineRule="exact"/>
        <w:ind w:firstLine="585"/>
        <w:rPr>
          <w:kern w:val="0"/>
          <w:sz w:val="32"/>
          <w:szCs w:val="32"/>
          <w:lang w:val="zh-CN"/>
        </w:rPr>
      </w:pPr>
      <w:r>
        <w:rPr>
          <w:rFonts w:hint="eastAsia"/>
          <w:sz w:val="32"/>
          <w:szCs w:val="32"/>
        </w:rPr>
        <w:t>二审时，</w:t>
      </w:r>
      <w:r>
        <w:rPr>
          <w:rFonts w:hint="eastAsia"/>
          <w:sz w:val="32"/>
          <w:szCs w:val="32"/>
          <w:lang w:eastAsia="zh-CN"/>
        </w:rPr>
        <w:t>罗某</w:t>
      </w:r>
      <w:r>
        <w:rPr>
          <w:sz w:val="32"/>
          <w:szCs w:val="32"/>
        </w:rPr>
        <w:t>向本院提交了专利复审委员会2018年7月12日就</w:t>
      </w:r>
      <w:r>
        <w:rPr>
          <w:rFonts w:hint="eastAsia"/>
          <w:sz w:val="32"/>
          <w:szCs w:val="32"/>
          <w:lang w:eastAsia="zh-CN"/>
        </w:rPr>
        <w:t>司某公司</w:t>
      </w:r>
      <w:r>
        <w:rPr>
          <w:sz w:val="32"/>
          <w:szCs w:val="32"/>
        </w:rPr>
        <w:t>申请宣告</w:t>
      </w:r>
      <w:r>
        <w:rPr>
          <w:kern w:val="0"/>
          <w:sz w:val="32"/>
          <w:szCs w:val="32"/>
          <w:lang w:val="zh-CN"/>
        </w:rPr>
        <w:t>专利号为</w:t>
      </w:r>
      <w:r>
        <w:rPr>
          <w:rFonts w:hint="eastAsia"/>
          <w:kern w:val="0"/>
          <w:sz w:val="32"/>
          <w:szCs w:val="32"/>
          <w:lang w:val="zh-CN"/>
        </w:rPr>
        <w:t>ZL2016xxxx1809.0</w:t>
      </w:r>
      <w:r>
        <w:rPr>
          <w:kern w:val="0"/>
          <w:sz w:val="32"/>
          <w:szCs w:val="32"/>
          <w:lang w:val="zh-CN"/>
        </w:rPr>
        <w:t>、名称为“门花（精雕压铸吕-4）</w:t>
      </w:r>
      <w:r>
        <w:rPr>
          <w:rFonts w:hint="eastAsia"/>
          <w:kern w:val="0"/>
          <w:sz w:val="32"/>
          <w:szCs w:val="32"/>
          <w:lang w:val="zh-CN"/>
        </w:rPr>
        <w:t>”</w:t>
      </w:r>
      <w:r>
        <w:rPr>
          <w:kern w:val="0"/>
          <w:sz w:val="32"/>
          <w:szCs w:val="32"/>
          <w:lang w:val="zh-CN"/>
        </w:rPr>
        <w:t>的外观设计专利无效案所作出的第36544号《无效宣告请求审查决定书》，以证明一审法院将微信朋友圈中发布的图片作为现有设计抗辩的依据系认定事实错误。</w:t>
      </w:r>
      <w:r>
        <w:rPr>
          <w:rFonts w:hint="eastAsia"/>
          <w:kern w:val="0"/>
          <w:sz w:val="32"/>
          <w:szCs w:val="32"/>
          <w:lang w:val="zh-CN"/>
        </w:rPr>
        <w:t>兴某厂</w:t>
      </w:r>
      <w:r>
        <w:rPr>
          <w:kern w:val="0"/>
          <w:sz w:val="32"/>
          <w:szCs w:val="32"/>
          <w:lang w:val="zh-CN"/>
        </w:rPr>
        <w:t>对该证据的“三性”无异议，但认为专利复审委员会审查决定的相关认定错误，一审法院的认定正确。</w:t>
      </w:r>
      <w:r>
        <w:rPr>
          <w:rFonts w:hint="eastAsia"/>
          <w:kern w:val="0"/>
          <w:sz w:val="32"/>
          <w:szCs w:val="32"/>
          <w:lang w:val="zh-CN"/>
        </w:rPr>
        <w:t>兴某厂</w:t>
      </w:r>
      <w:r>
        <w:rPr>
          <w:kern w:val="0"/>
          <w:sz w:val="32"/>
          <w:szCs w:val="32"/>
          <w:lang w:val="zh-CN"/>
        </w:rPr>
        <w:t>同时还提交了北京知识产权法院的行政案件受理通知书，以证明</w:t>
      </w:r>
      <w:r>
        <w:rPr>
          <w:rFonts w:hint="eastAsia"/>
          <w:kern w:val="0"/>
          <w:sz w:val="32"/>
          <w:szCs w:val="32"/>
          <w:lang w:val="zh-CN"/>
        </w:rPr>
        <w:t>司某公司</w:t>
      </w:r>
      <w:r>
        <w:rPr>
          <w:kern w:val="0"/>
          <w:sz w:val="32"/>
          <w:szCs w:val="32"/>
          <w:lang w:val="zh-CN"/>
        </w:rPr>
        <w:t>已对专利复审委员会的第36544号无效宣告请求审查决定提起了行政诉讼，该决定并未生效。经查，专利复审委员会的第36544号审查决定认为，从微信朋友圈的属性和好友人数的限制以及朋友圈的权限设定等方面考虑，在朋友圈发布的图片不构成专利法意义上的公开，不能作为涉案专利的现有设计。对双方当事人二审所提交的上述证据，本院依法予以认定，但对于在微信朋友圈公开发布图片是否构成专利法意义上的公开，在下文分析争议焦点时一并进行</w:t>
      </w:r>
      <w:r>
        <w:rPr>
          <w:rFonts w:hint="eastAsia"/>
          <w:kern w:val="0"/>
          <w:sz w:val="32"/>
          <w:szCs w:val="32"/>
          <w:lang w:val="zh-CN"/>
        </w:rPr>
        <w:t>论述</w:t>
      </w:r>
      <w:r>
        <w:rPr>
          <w:kern w:val="0"/>
          <w:sz w:val="32"/>
          <w:szCs w:val="32"/>
          <w:lang w:val="zh-CN"/>
        </w:rPr>
        <w:t>。至于</w:t>
      </w:r>
      <w:r>
        <w:rPr>
          <w:rFonts w:hint="eastAsia"/>
          <w:kern w:val="0"/>
          <w:sz w:val="32"/>
          <w:szCs w:val="32"/>
          <w:lang w:val="zh-CN"/>
        </w:rPr>
        <w:t>司某公司</w:t>
      </w:r>
      <w:r>
        <w:rPr>
          <w:kern w:val="0"/>
          <w:sz w:val="32"/>
          <w:szCs w:val="32"/>
          <w:lang w:val="zh-CN"/>
        </w:rPr>
        <w:t>已对专利复审委</w:t>
      </w:r>
      <w:r>
        <w:rPr>
          <w:rFonts w:hint="eastAsia"/>
          <w:kern w:val="0"/>
          <w:sz w:val="32"/>
          <w:szCs w:val="32"/>
          <w:lang w:val="zh-CN"/>
        </w:rPr>
        <w:t>员会</w:t>
      </w:r>
      <w:r>
        <w:rPr>
          <w:kern w:val="0"/>
          <w:sz w:val="32"/>
          <w:szCs w:val="32"/>
          <w:lang w:val="zh-CN"/>
        </w:rPr>
        <w:t>的第36544号审查决定提起行政诉讼并被法院受理的事实，并不影响本院对本案的二审审理。</w:t>
      </w:r>
    </w:p>
    <w:p>
      <w:pPr>
        <w:spacing w:line="560" w:lineRule="exact"/>
        <w:ind w:firstLine="600"/>
        <w:rPr>
          <w:sz w:val="32"/>
          <w:szCs w:val="32"/>
        </w:rPr>
      </w:pPr>
      <w:r>
        <w:rPr>
          <w:kern w:val="0"/>
          <w:sz w:val="32"/>
          <w:szCs w:val="32"/>
          <w:lang w:val="zh-CN"/>
        </w:rPr>
        <w:t>本院对一审查明的事实予以确认。另查明：</w:t>
      </w:r>
      <w:r>
        <w:rPr>
          <w:sz w:val="32"/>
          <w:szCs w:val="32"/>
        </w:rPr>
        <w:t>2018年7月12日，专利复审委员会就</w:t>
      </w:r>
      <w:r>
        <w:rPr>
          <w:rFonts w:hint="eastAsia"/>
          <w:sz w:val="32"/>
          <w:szCs w:val="32"/>
          <w:lang w:eastAsia="zh-CN"/>
        </w:rPr>
        <w:t>司某公司</w:t>
      </w:r>
      <w:r>
        <w:rPr>
          <w:sz w:val="32"/>
          <w:szCs w:val="32"/>
        </w:rPr>
        <w:t>申请宣告</w:t>
      </w:r>
      <w:r>
        <w:rPr>
          <w:kern w:val="0"/>
          <w:sz w:val="32"/>
          <w:szCs w:val="32"/>
          <w:lang w:val="zh-CN"/>
        </w:rPr>
        <w:t>专利号为</w:t>
      </w:r>
      <w:r>
        <w:rPr>
          <w:rFonts w:hint="eastAsia"/>
          <w:kern w:val="0"/>
          <w:sz w:val="32"/>
          <w:szCs w:val="32"/>
          <w:lang w:val="zh-CN"/>
        </w:rPr>
        <w:t>ZL2016xxxx1809.0</w:t>
      </w:r>
      <w:r>
        <w:rPr>
          <w:kern w:val="0"/>
          <w:sz w:val="32"/>
          <w:szCs w:val="32"/>
          <w:lang w:val="zh-CN"/>
        </w:rPr>
        <w:t>、名称为“门花（精雕压铸吕-4）</w:t>
      </w:r>
      <w:r>
        <w:rPr>
          <w:rFonts w:hint="eastAsia"/>
          <w:kern w:val="0"/>
          <w:sz w:val="32"/>
          <w:szCs w:val="32"/>
          <w:lang w:val="zh-CN"/>
        </w:rPr>
        <w:t>”</w:t>
      </w:r>
      <w:r>
        <w:rPr>
          <w:kern w:val="0"/>
          <w:sz w:val="32"/>
          <w:szCs w:val="32"/>
          <w:lang w:val="zh-CN"/>
        </w:rPr>
        <w:t>的外观设计专利无效案作出第36544号无效宣告请求审查决定，认为朋友圈发布的信息不构成专利法意义上的公开，决定维持</w:t>
      </w:r>
      <w:r>
        <w:rPr>
          <w:rFonts w:hint="eastAsia"/>
          <w:kern w:val="0"/>
          <w:sz w:val="32"/>
          <w:szCs w:val="32"/>
          <w:lang w:val="zh-CN"/>
        </w:rPr>
        <w:t>ZL2016xxxx1809.0</w:t>
      </w:r>
      <w:r>
        <w:rPr>
          <w:kern w:val="0"/>
          <w:sz w:val="32"/>
          <w:szCs w:val="32"/>
          <w:lang w:val="zh-CN"/>
        </w:rPr>
        <w:t>号外观设计专利有效。</w:t>
      </w:r>
      <w:r>
        <w:rPr>
          <w:rFonts w:hint="eastAsia"/>
          <w:kern w:val="0"/>
          <w:sz w:val="32"/>
          <w:szCs w:val="32"/>
          <w:lang w:val="zh-CN"/>
        </w:rPr>
        <w:t>司某公司</w:t>
      </w:r>
      <w:r>
        <w:rPr>
          <w:kern w:val="0"/>
          <w:sz w:val="32"/>
          <w:szCs w:val="32"/>
          <w:lang w:val="zh-CN"/>
        </w:rPr>
        <w:t>不服提起诉讼，北京知识产权法院于2018年8月7日向</w:t>
      </w:r>
      <w:r>
        <w:rPr>
          <w:rFonts w:hint="eastAsia"/>
          <w:kern w:val="0"/>
          <w:sz w:val="32"/>
          <w:szCs w:val="32"/>
          <w:lang w:val="zh-CN"/>
        </w:rPr>
        <w:t>司某公司</w:t>
      </w:r>
      <w:r>
        <w:rPr>
          <w:kern w:val="0"/>
          <w:sz w:val="32"/>
          <w:szCs w:val="32"/>
          <w:lang w:val="zh-CN"/>
        </w:rPr>
        <w:t>发送了（2018）京73行初8042号行政案件受理通知书。</w:t>
      </w:r>
    </w:p>
    <w:p>
      <w:pPr>
        <w:spacing w:line="560" w:lineRule="exact"/>
        <w:ind w:firstLine="585"/>
        <w:rPr>
          <w:sz w:val="32"/>
          <w:szCs w:val="32"/>
        </w:rPr>
      </w:pPr>
      <w:r>
        <w:rPr>
          <w:sz w:val="32"/>
          <w:szCs w:val="32"/>
        </w:rPr>
        <w:t>本院认为，本案二审的争议焦点是：原审法院认定“微信朋友圈发布的图片构成现有设计”是否正确。</w:t>
      </w:r>
    </w:p>
    <w:p>
      <w:pPr>
        <w:spacing w:line="560" w:lineRule="exact"/>
        <w:ind w:firstLine="585"/>
        <w:rPr>
          <w:sz w:val="32"/>
          <w:szCs w:val="32"/>
        </w:rPr>
      </w:pPr>
      <w:r>
        <w:rPr>
          <w:sz w:val="32"/>
          <w:szCs w:val="32"/>
        </w:rPr>
        <w:t>关于在微信朋友圈发布的图片是否构成专利法意义上的公开，能否作为认定构成现有设计抗辩的依据问题，不能简单一概而论，应当持发展的眼光并结合具体案情作具体分析。微信朋友圈作为腾讯公司推出的</w:t>
      </w:r>
      <w:r>
        <w:rPr>
          <w:rFonts w:hint="eastAsia"/>
          <w:sz w:val="32"/>
          <w:szCs w:val="32"/>
        </w:rPr>
        <w:t>“微信”该</w:t>
      </w:r>
      <w:r>
        <w:rPr>
          <w:sz w:val="32"/>
          <w:szCs w:val="32"/>
        </w:rPr>
        <w:t>款免费社交软件</w:t>
      </w:r>
      <w:r>
        <w:rPr>
          <w:rFonts w:hint="eastAsia"/>
          <w:sz w:val="32"/>
          <w:szCs w:val="32"/>
        </w:rPr>
        <w:t>的一项重要功能</w:t>
      </w:r>
      <w:r>
        <w:rPr>
          <w:sz w:val="32"/>
          <w:szCs w:val="32"/>
        </w:rPr>
        <w:t>，已经广泛为社会公众所使用，诚如专利复审委员会的</w:t>
      </w:r>
      <w:r>
        <w:rPr>
          <w:kern w:val="0"/>
          <w:sz w:val="32"/>
          <w:szCs w:val="32"/>
          <w:lang w:val="zh-CN"/>
        </w:rPr>
        <w:t>第36544号无效宣告请求审查决定所称，</w:t>
      </w:r>
      <w:r>
        <w:rPr>
          <w:sz w:val="32"/>
          <w:szCs w:val="32"/>
        </w:rPr>
        <w:t>虽然其起初主要是作为微信好友之间分享和交流生活信息的私人社交平台，并不是供用户公开进行网络营销活动的平台，但随着其使用范围和用途的不断扩展，越来越多的人把微信朋友圈当作进行产品营销活动的重要途径，客观上部分微信朋友圈已经兼具了营销的功能，甚至出现了微商群体。特别是在不少行业，朋友圈事实上已经成了推销产品的重要平台，人们也已经习惯了通过朋友圈去了解市场产品信息并直接销售或者购买产品。而从信息发布者的角度出发，也希望其在朋友圈发布的产品信息能让更多的人知悉，其对要求添加为好友的请求通常也不会拒绝，朋友圈又存在无限扩散的可能。因此，仅仅以朋友圈的属性和权限设定等为由，就认为其只是好友之间的生活信息交流平台，而否定朋友圈在信息传播方面的社会公开性和市场价值，显然与实际情况不符。经查，本案中,在涉案朋友圈中发布门花产品图片的微信昵称为“金金铸铝门花罗玲182****1998”的发布者的真实身份是上诉人</w:t>
      </w:r>
      <w:r>
        <w:rPr>
          <w:rFonts w:hint="eastAsia"/>
          <w:sz w:val="32"/>
          <w:szCs w:val="32"/>
          <w:lang w:eastAsia="zh-CN"/>
        </w:rPr>
        <w:t>罗某</w:t>
      </w:r>
      <w:r>
        <w:rPr>
          <w:sz w:val="32"/>
          <w:szCs w:val="32"/>
        </w:rPr>
        <w:t>的妹妹，也是</w:t>
      </w:r>
      <w:r>
        <w:rPr>
          <w:rFonts w:hint="eastAsia"/>
          <w:sz w:val="32"/>
          <w:szCs w:val="32"/>
          <w:lang w:eastAsia="zh-CN"/>
        </w:rPr>
        <w:t>罗某</w:t>
      </w:r>
      <w:r>
        <w:rPr>
          <w:sz w:val="32"/>
          <w:szCs w:val="32"/>
        </w:rPr>
        <w:t>公司的职工，其在微信朋友圈中的个性签名内容为“精品铸铝门花,追求艺术品味。欢迎选购，抢购电话182****1998”；另一涉案微信用户“飞宇公司，陈139****8756”也是从事门业生产经营的同行。很显然，上述微信用户在朋友圈发布门花图片的目的就是希望通过朋友圈推销其产品，且明确相关产品已经在售，公众可以购买使用。经二审当庭核查，上述微信用户均未对朋友圈发布图片的可见时间和范围进行限制。由于上述微信用户在涉案朋友圈发布图片的时间均早于涉案专利的申请日，</w:t>
      </w:r>
      <w:r>
        <w:rPr>
          <w:rFonts w:hint="eastAsia"/>
          <w:sz w:val="32"/>
          <w:szCs w:val="32"/>
          <w:lang w:eastAsia="zh-CN"/>
        </w:rPr>
        <w:t>罗某</w:t>
      </w:r>
      <w:r>
        <w:rPr>
          <w:sz w:val="32"/>
          <w:szCs w:val="32"/>
        </w:rPr>
        <w:t>亦认可被诉侵权设计与涉案朋友圈中发布的图片所载设计无实质性差异，故一审法院认定</w:t>
      </w:r>
      <w:r>
        <w:rPr>
          <w:rFonts w:hint="eastAsia"/>
          <w:sz w:val="32"/>
          <w:szCs w:val="32"/>
          <w:lang w:eastAsia="zh-CN"/>
        </w:rPr>
        <w:t>兴某厂</w:t>
      </w:r>
      <w:r>
        <w:rPr>
          <w:sz w:val="32"/>
          <w:szCs w:val="32"/>
        </w:rPr>
        <w:t>和</w:t>
      </w:r>
      <w:r>
        <w:rPr>
          <w:rFonts w:hint="eastAsia"/>
          <w:sz w:val="32"/>
          <w:szCs w:val="32"/>
          <w:lang w:eastAsia="zh-CN"/>
        </w:rPr>
        <w:t>司某公司</w:t>
      </w:r>
      <w:r>
        <w:rPr>
          <w:sz w:val="32"/>
          <w:szCs w:val="32"/>
        </w:rPr>
        <w:t>的现有设计抗辩成立并无不当，</w:t>
      </w:r>
      <w:r>
        <w:rPr>
          <w:rFonts w:hint="eastAsia"/>
          <w:sz w:val="32"/>
          <w:szCs w:val="32"/>
          <w:lang w:eastAsia="zh-CN"/>
        </w:rPr>
        <w:t>罗某</w:t>
      </w:r>
      <w:r>
        <w:rPr>
          <w:sz w:val="32"/>
          <w:szCs w:val="32"/>
        </w:rPr>
        <w:t>认为原审判决认定事实错误的上诉理由不能成立。</w:t>
      </w:r>
    </w:p>
    <w:p>
      <w:pPr>
        <w:spacing w:line="560" w:lineRule="exact"/>
        <w:ind w:firstLine="620" w:firstLineChars="200"/>
        <w:rPr>
          <w:sz w:val="32"/>
          <w:szCs w:val="32"/>
        </w:rPr>
      </w:pPr>
      <w:r>
        <w:rPr>
          <w:sz w:val="32"/>
          <w:szCs w:val="32"/>
        </w:rPr>
        <w:t>综上所述，原审判决认定事实清楚，适用法律正确，审判程序合法，依法应予维持。</w:t>
      </w:r>
      <w:r>
        <w:rPr>
          <w:rFonts w:hint="eastAsia"/>
          <w:sz w:val="32"/>
          <w:szCs w:val="32"/>
          <w:lang w:eastAsia="zh-CN"/>
        </w:rPr>
        <w:t>罗某</w:t>
      </w:r>
      <w:r>
        <w:rPr>
          <w:sz w:val="32"/>
          <w:szCs w:val="32"/>
        </w:rPr>
        <w:t>的上诉理由不</w:t>
      </w:r>
      <w:r>
        <w:rPr>
          <w:rFonts w:hint="eastAsia"/>
          <w:sz w:val="32"/>
          <w:szCs w:val="32"/>
        </w:rPr>
        <w:t>能成立</w:t>
      </w:r>
      <w:r>
        <w:rPr>
          <w:sz w:val="32"/>
          <w:szCs w:val="32"/>
        </w:rPr>
        <w:t>，本院不予支持。依照《中华人民共和国民事诉讼法》</w:t>
      </w:r>
      <w:r>
        <w:rPr>
          <w:rFonts w:hint="eastAsia"/>
          <w:sz w:val="32"/>
          <w:szCs w:val="32"/>
        </w:rPr>
        <w:t>第一百四十四条、</w:t>
      </w:r>
      <w:r>
        <w:rPr>
          <w:sz w:val="32"/>
          <w:szCs w:val="32"/>
        </w:rPr>
        <w:t>第一百七十条第一款第一项之规定，判决如下：</w:t>
      </w:r>
    </w:p>
    <w:p>
      <w:pPr>
        <w:spacing w:line="560" w:lineRule="exact"/>
        <w:ind w:firstLine="620" w:firstLineChars="200"/>
        <w:rPr>
          <w:sz w:val="32"/>
          <w:szCs w:val="32"/>
        </w:rPr>
      </w:pPr>
      <w:r>
        <w:rPr>
          <w:sz w:val="32"/>
          <w:szCs w:val="32"/>
        </w:rPr>
        <w:t>驳回上诉，维持原判。</w:t>
      </w:r>
    </w:p>
    <w:p>
      <w:pPr>
        <w:spacing w:line="560" w:lineRule="exact"/>
        <w:ind w:firstLine="620" w:firstLineChars="200"/>
        <w:rPr>
          <w:sz w:val="32"/>
          <w:szCs w:val="32"/>
        </w:rPr>
      </w:pPr>
      <w:r>
        <w:rPr>
          <w:sz w:val="32"/>
          <w:szCs w:val="32"/>
        </w:rPr>
        <w:t>二审案件受理费1050元，由上诉人</w:t>
      </w:r>
      <w:r>
        <w:rPr>
          <w:rFonts w:hint="eastAsia"/>
          <w:sz w:val="32"/>
          <w:szCs w:val="32"/>
          <w:lang w:eastAsia="zh-CN"/>
        </w:rPr>
        <w:t>罗某</w:t>
      </w:r>
      <w:r>
        <w:rPr>
          <w:sz w:val="32"/>
          <w:szCs w:val="32"/>
        </w:rPr>
        <w:t>负担。</w:t>
      </w:r>
    </w:p>
    <w:p>
      <w:pPr>
        <w:pStyle w:val="2"/>
        <w:spacing w:line="560" w:lineRule="exact"/>
        <w:ind w:firstLine="620" w:firstLineChars="200"/>
        <w:rPr>
          <w:szCs w:val="32"/>
        </w:rPr>
      </w:pPr>
      <w:r>
        <w:rPr>
          <w:szCs w:val="32"/>
        </w:rPr>
        <w:t>本判决为终审判决。</w:t>
      </w:r>
    </w:p>
    <w:p>
      <w:pPr>
        <w:spacing w:line="594" w:lineRule="exact"/>
        <w:ind w:firstLine="4349" w:firstLineChars="1403"/>
        <w:rPr>
          <w:sz w:val="32"/>
          <w:szCs w:val="32"/>
        </w:rPr>
      </w:pPr>
    </w:p>
    <w:p>
      <w:pPr>
        <w:spacing w:line="594" w:lineRule="exact"/>
        <w:ind w:firstLine="4349" w:firstLineChars="1403"/>
        <w:rPr>
          <w:sz w:val="32"/>
        </w:rPr>
      </w:pPr>
    </w:p>
    <w:p>
      <w:pPr>
        <w:spacing w:line="594" w:lineRule="exact"/>
        <w:ind w:firstLine="4349" w:firstLineChars="1403"/>
        <w:rPr>
          <w:sz w:val="32"/>
        </w:rPr>
      </w:pPr>
    </w:p>
    <w:p>
      <w:pPr>
        <w:tabs>
          <w:tab w:val="left" w:pos="4304"/>
        </w:tabs>
        <w:ind w:firstLine="4349" w:firstLineChars="1403"/>
        <w:jc w:val="center"/>
        <w:rPr>
          <w:sz w:val="32"/>
        </w:rPr>
      </w:pPr>
      <w:r>
        <w:rPr>
          <w:rFonts w:hint="eastAsia"/>
          <w:sz w:val="32"/>
          <w:lang w:val="en-US" w:eastAsia="zh-CN"/>
        </w:rPr>
        <w:t xml:space="preserve">  </w:t>
      </w:r>
      <w:r>
        <w:rPr>
          <w:sz w:val="32"/>
        </w:rPr>
        <w:t>审</w:t>
      </w:r>
      <w:r>
        <w:rPr>
          <w:rFonts w:hint="eastAsia"/>
          <w:sz w:val="32"/>
          <w:lang w:val="en-US" w:eastAsia="zh-CN"/>
        </w:rPr>
        <w:t xml:space="preserve">  </w:t>
      </w:r>
      <w:r>
        <w:rPr>
          <w:sz w:val="32"/>
        </w:rPr>
        <w:t>判</w:t>
      </w:r>
      <w:r>
        <w:rPr>
          <w:rFonts w:hint="eastAsia"/>
          <w:sz w:val="32"/>
          <w:lang w:val="en-US" w:eastAsia="zh-CN"/>
        </w:rPr>
        <w:t xml:space="preserve">  </w:t>
      </w:r>
      <w:r>
        <w:rPr>
          <w:sz w:val="32"/>
        </w:rPr>
        <w:t>长</w:t>
      </w:r>
      <w:r>
        <w:rPr>
          <w:rFonts w:hint="eastAsia"/>
          <w:sz w:val="32"/>
          <w:lang w:val="en-US" w:eastAsia="zh-CN"/>
        </w:rPr>
        <w:t xml:space="preserve">   </w:t>
      </w:r>
      <w:r>
        <w:rPr>
          <w:sz w:val="32"/>
        </w:rPr>
        <w:t>蒋</w:t>
      </w:r>
      <w:r>
        <w:rPr>
          <w:rFonts w:hint="eastAsia"/>
          <w:sz w:val="32"/>
          <w:lang w:val="en-US" w:eastAsia="zh-CN"/>
        </w:rPr>
        <w:t xml:space="preserve"> </w:t>
      </w:r>
      <w:r>
        <w:rPr>
          <w:sz w:val="32"/>
        </w:rPr>
        <w:t>中</w:t>
      </w:r>
      <w:r>
        <w:rPr>
          <w:rFonts w:hint="eastAsia"/>
          <w:sz w:val="32"/>
          <w:lang w:val="en-US" w:eastAsia="zh-CN"/>
        </w:rPr>
        <w:t xml:space="preserve"> </w:t>
      </w:r>
      <w:r>
        <w:rPr>
          <w:sz w:val="32"/>
        </w:rPr>
        <w:t>东</w:t>
      </w:r>
    </w:p>
    <w:p>
      <w:pPr>
        <w:tabs>
          <w:tab w:val="left" w:pos="4304"/>
        </w:tabs>
        <w:jc w:val="center"/>
        <w:rPr>
          <w:sz w:val="32"/>
        </w:rPr>
      </w:pPr>
      <w:r>
        <w:rPr>
          <w:rFonts w:hint="eastAsia"/>
          <w:sz w:val="32"/>
          <w:lang w:val="en-US" w:eastAsia="zh-CN"/>
        </w:rPr>
        <w:t xml:space="preserve">                              </w:t>
      </w:r>
      <w:r>
        <w:rPr>
          <w:sz w:val="32"/>
        </w:rPr>
        <w:t>审</w:t>
      </w:r>
      <w:r>
        <w:rPr>
          <w:rFonts w:hint="eastAsia"/>
          <w:sz w:val="32"/>
          <w:lang w:val="en-US" w:eastAsia="zh-CN"/>
        </w:rPr>
        <w:t xml:space="preserve">  </w:t>
      </w:r>
      <w:r>
        <w:rPr>
          <w:sz w:val="32"/>
        </w:rPr>
        <w:t>判</w:t>
      </w:r>
      <w:r>
        <w:rPr>
          <w:rFonts w:hint="eastAsia"/>
          <w:sz w:val="32"/>
          <w:lang w:val="en-US" w:eastAsia="zh-CN"/>
        </w:rPr>
        <w:t xml:space="preserve">  </w:t>
      </w:r>
      <w:r>
        <w:rPr>
          <w:sz w:val="32"/>
        </w:rPr>
        <w:t>员</w:t>
      </w:r>
      <w:r>
        <w:rPr>
          <w:rFonts w:hint="eastAsia"/>
          <w:sz w:val="32"/>
          <w:lang w:val="en-US" w:eastAsia="zh-CN"/>
        </w:rPr>
        <w:t xml:space="preserve">   </w:t>
      </w:r>
      <w:r>
        <w:rPr>
          <w:sz w:val="32"/>
        </w:rPr>
        <w:t>何</w:t>
      </w:r>
      <w:r>
        <w:rPr>
          <w:rFonts w:hint="eastAsia"/>
          <w:sz w:val="32"/>
          <w:lang w:val="en-US" w:eastAsia="zh-CN"/>
        </w:rPr>
        <w:t xml:space="preserve">    </w:t>
      </w:r>
      <w:r>
        <w:rPr>
          <w:sz w:val="32"/>
        </w:rPr>
        <w:t>琼</w:t>
      </w:r>
    </w:p>
    <w:p>
      <w:pPr>
        <w:tabs>
          <w:tab w:val="left" w:pos="4304"/>
        </w:tabs>
        <w:jc w:val="center"/>
        <w:rPr>
          <w:sz w:val="32"/>
        </w:rPr>
      </w:pPr>
      <w:r>
        <w:rPr>
          <w:rFonts w:hint="eastAsia"/>
          <w:sz w:val="32"/>
          <w:lang w:val="en-US" w:eastAsia="zh-CN"/>
        </w:rPr>
        <w:t xml:space="preserve">                              </w:t>
      </w:r>
      <w:r>
        <w:rPr>
          <w:sz w:val="32"/>
        </w:rPr>
        <w:t>审</w:t>
      </w:r>
      <w:r>
        <w:rPr>
          <w:rFonts w:hint="eastAsia"/>
          <w:sz w:val="32"/>
          <w:lang w:val="en-US" w:eastAsia="zh-CN"/>
        </w:rPr>
        <w:t xml:space="preserve">  </w:t>
      </w:r>
      <w:r>
        <w:rPr>
          <w:sz w:val="32"/>
        </w:rPr>
        <w:t>判</w:t>
      </w:r>
      <w:r>
        <w:rPr>
          <w:rFonts w:hint="eastAsia"/>
          <w:sz w:val="32"/>
          <w:lang w:val="en-US" w:eastAsia="zh-CN"/>
        </w:rPr>
        <w:t xml:space="preserve">  </w:t>
      </w:r>
      <w:r>
        <w:rPr>
          <w:sz w:val="32"/>
        </w:rPr>
        <w:t>员</w:t>
      </w:r>
      <w:r>
        <w:rPr>
          <w:rFonts w:hint="eastAsia"/>
          <w:sz w:val="32"/>
          <w:lang w:val="en-US" w:eastAsia="zh-CN"/>
        </w:rPr>
        <w:t xml:space="preserve">   </w:t>
      </w:r>
      <w:r>
        <w:rPr>
          <w:sz w:val="32"/>
        </w:rPr>
        <w:t>陈</w:t>
      </w:r>
      <w:r>
        <w:rPr>
          <w:rFonts w:hint="eastAsia"/>
          <w:sz w:val="32"/>
          <w:lang w:val="en-US" w:eastAsia="zh-CN"/>
        </w:rPr>
        <w:t xml:space="preserve">    </w:t>
      </w:r>
      <w:r>
        <w:rPr>
          <w:sz w:val="32"/>
        </w:rPr>
        <w:t>宇</w:t>
      </w:r>
    </w:p>
    <w:p>
      <w:pPr>
        <w:tabs>
          <w:tab w:val="left" w:pos="6187"/>
        </w:tabs>
        <w:ind w:firstLine="4349" w:firstLineChars="1403"/>
        <w:rPr>
          <w:sz w:val="32"/>
        </w:rPr>
      </w:pPr>
    </w:p>
    <w:p>
      <w:pPr>
        <w:tabs>
          <w:tab w:val="left" w:pos="5918"/>
        </w:tabs>
        <w:ind w:firstLine="4349" w:firstLineChars="1403"/>
        <w:rPr>
          <w:sz w:val="32"/>
        </w:rPr>
      </w:pPr>
      <w:bookmarkStart w:id="0" w:name="_GoBack"/>
      <w:bookmarkEnd w:id="0"/>
    </w:p>
    <w:p>
      <w:pPr>
        <w:tabs>
          <w:tab w:val="left" w:pos="5918"/>
        </w:tabs>
        <w:ind w:firstLine="4349" w:firstLineChars="1403"/>
        <w:rPr>
          <w:sz w:val="32"/>
        </w:rPr>
      </w:pPr>
    </w:p>
    <w:p>
      <w:pPr>
        <w:tabs>
          <w:tab w:val="left" w:pos="5918"/>
        </w:tabs>
        <w:ind w:firstLine="4349" w:firstLineChars="1403"/>
        <w:rPr>
          <w:sz w:val="32"/>
        </w:rPr>
      </w:pPr>
    </w:p>
    <w:tbl>
      <w:tblPr>
        <w:tblStyle w:val="6"/>
        <w:tblW w:w="0" w:type="auto"/>
        <w:tblInd w:w="4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7" w:type="dxa"/>
            <w:tcBorders>
              <w:top w:val="nil"/>
              <w:left w:val="nil"/>
              <w:bottom w:val="nil"/>
              <w:right w:val="nil"/>
            </w:tcBorders>
          </w:tcPr>
          <w:p>
            <w:pPr>
              <w:pStyle w:val="3"/>
              <w:ind w:firstLine="194" w:firstLineChars="45"/>
              <w:rPr>
                <w:sz w:val="32"/>
              </w:rPr>
            </w:pPr>
            <w:r>
              <w:rPr>
                <w:spacing w:val="61"/>
                <w:kern w:val="0"/>
                <w:sz w:val="32"/>
                <w:fitText w:val="3766" w:id="1908685568"/>
              </w:rPr>
              <w:t>二○一八年十月八</w:t>
            </w:r>
            <w:r>
              <w:rPr>
                <w:spacing w:val="6"/>
                <w:kern w:val="0"/>
                <w:sz w:val="32"/>
                <w:fitText w:val="3766" w:id="1908685568"/>
              </w:rPr>
              <w:t>日</w:t>
            </w:r>
          </w:p>
        </w:tc>
      </w:tr>
    </w:tbl>
    <w:p>
      <w:pPr>
        <w:rPr>
          <w:sz w:val="32"/>
        </w:rPr>
      </w:pPr>
      <w:r>
        <w:rPr>
          <w:sz w:val="32"/>
        </w:rPr>
        <w:t>本件与原本核对无异</w:t>
      </w:r>
    </w:p>
    <w:p>
      <w:pPr>
        <w:tabs>
          <w:tab w:val="left" w:pos="4304"/>
          <w:tab w:val="left" w:pos="5649"/>
          <w:tab w:val="left" w:pos="5918"/>
          <w:tab w:val="left" w:pos="6456"/>
          <w:tab w:val="left" w:pos="7801"/>
          <w:tab w:val="left" w:pos="8070"/>
        </w:tabs>
        <w:ind w:firstLine="1860" w:firstLineChars="600"/>
        <w:jc w:val="center"/>
        <w:rPr>
          <w:sz w:val="32"/>
        </w:rPr>
      </w:pPr>
      <w:r>
        <w:rPr>
          <w:rFonts w:hint="eastAsia"/>
          <w:kern w:val="0"/>
          <w:sz w:val="32"/>
          <w:lang w:val="en-US" w:eastAsia="zh-CN"/>
        </w:rPr>
        <w:t xml:space="preserve">                  </w:t>
      </w:r>
      <w:r>
        <w:rPr>
          <w:spacing w:val="143"/>
          <w:kern w:val="0"/>
          <w:sz w:val="32"/>
          <w:fitText w:val="1533" w:id="1908685569"/>
        </w:rPr>
        <w:t>书记</w:t>
      </w:r>
      <w:r>
        <w:rPr>
          <w:spacing w:val="0"/>
          <w:kern w:val="0"/>
          <w:sz w:val="32"/>
          <w:fitText w:val="1533" w:id="1908685569"/>
        </w:rPr>
        <w:t>员</w:t>
      </w:r>
      <w:r>
        <w:rPr>
          <w:rFonts w:hint="eastAsia"/>
          <w:kern w:val="0"/>
          <w:sz w:val="32"/>
          <w:lang w:val="en-US" w:eastAsia="zh-CN"/>
        </w:rPr>
        <w:t xml:space="preserve">  </w:t>
      </w:r>
      <w:r>
        <w:rPr>
          <w:kern w:val="0"/>
          <w:sz w:val="32"/>
        </w:rPr>
        <w:t>刘</w:t>
      </w:r>
      <w:r>
        <w:rPr>
          <w:rFonts w:hint="eastAsia"/>
          <w:kern w:val="0"/>
          <w:sz w:val="32"/>
          <w:lang w:val="en-US" w:eastAsia="zh-CN"/>
        </w:rPr>
        <w:t xml:space="preserve"> </w:t>
      </w:r>
      <w:r>
        <w:rPr>
          <w:kern w:val="0"/>
          <w:sz w:val="32"/>
        </w:rPr>
        <w:t>雨</w:t>
      </w:r>
      <w:r>
        <w:rPr>
          <w:rFonts w:hint="eastAsia"/>
          <w:kern w:val="0"/>
          <w:sz w:val="32"/>
          <w:lang w:val="en-US" w:eastAsia="zh-CN"/>
        </w:rPr>
        <w:t xml:space="preserve"> </w:t>
      </w:r>
      <w:r>
        <w:rPr>
          <w:kern w:val="0"/>
          <w:sz w:val="32"/>
        </w:rPr>
        <w:t>潇</w:t>
      </w:r>
    </w:p>
    <w:sectPr>
      <w:footerReference r:id="rId3" w:type="default"/>
      <w:footerReference r:id="rId4" w:type="even"/>
      <w:pgSz w:w="11907" w:h="16840"/>
      <w:pgMar w:top="1928" w:right="1474" w:bottom="1497" w:left="1474" w:header="851" w:footer="1531" w:gutter="0"/>
      <w:pgNumType w:start="1"/>
      <w:cols w:space="425" w:num="1"/>
      <w:docGrid w:type="linesAndChars" w:linePitch="600" w:charSpace="-21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1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ind w:left="397" w:right="397"/>
      <w:rPr>
        <w:rStyle w:val="8"/>
        <w:rFonts w:ascii="仿宋_GB2312"/>
        <w:sz w:val="30"/>
      </w:rPr>
    </w:pPr>
    <w:r>
      <w:rPr>
        <w:rStyle w:val="8"/>
        <w:rFonts w:hint="eastAsia" w:ascii="仿宋_GB2312"/>
        <w:sz w:val="30"/>
      </w:rPr>
      <w:t>·</w:t>
    </w:r>
    <w:r>
      <w:rPr>
        <w:rStyle w:val="8"/>
        <w:rFonts w:ascii="仿宋_GB2312"/>
        <w:sz w:val="30"/>
      </w:rPr>
      <w:fldChar w:fldCharType="begin"/>
    </w:r>
    <w:r>
      <w:rPr>
        <w:rStyle w:val="8"/>
        <w:rFonts w:ascii="仿宋_GB2312"/>
        <w:sz w:val="30"/>
      </w:rPr>
      <w:instrText xml:space="preserve"> PAGE </w:instrText>
    </w:r>
    <w:r>
      <w:rPr>
        <w:rStyle w:val="8"/>
        <w:rFonts w:ascii="仿宋_GB2312"/>
        <w:sz w:val="30"/>
      </w:rPr>
      <w:fldChar w:fldCharType="separate"/>
    </w:r>
    <w:r>
      <w:rPr>
        <w:rStyle w:val="8"/>
        <w:rFonts w:ascii="仿宋_GB2312"/>
        <w:sz w:val="30"/>
      </w:rPr>
      <w:t>14</w:t>
    </w:r>
    <w:r>
      <w:rPr>
        <w:rStyle w:val="8"/>
        <w:rFonts w:ascii="仿宋_GB2312"/>
        <w:sz w:val="30"/>
      </w:rPr>
      <w:fldChar w:fldCharType="end"/>
    </w:r>
    <w:r>
      <w:rPr>
        <w:rStyle w:val="8"/>
        <w:rFonts w:hint="eastAsia" w:ascii="仿宋_GB2312"/>
        <w:sz w:val="30"/>
      </w:rPr>
      <w:t>·</w:t>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rPr>
        <w:rStyle w:val="8"/>
      </w:rPr>
      <w:fldChar w:fldCharType="begin"/>
    </w:r>
    <w:r>
      <w:rPr>
        <w:rStyle w:val="8"/>
      </w:rPr>
      <w:instrText xml:space="preserve">PAGE  </w:instrText>
    </w:r>
    <w:r>
      <w:rPr>
        <w:rStyle w:val="8"/>
      </w:rPr>
      <w:fldChar w:fldCharType="separate"/>
    </w:r>
    <w:r>
      <w:rPr>
        <w:rStyle w:val="8"/>
      </w:rPr>
      <w:t>1</w:t>
    </w:r>
    <w:r>
      <w:rPr>
        <w:rStyle w:val="8"/>
      </w:rPr>
      <w:fldChar w:fldCharType="end"/>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00000"/>
    <w:rsid w:val="AED62619"/>
    <w:rsid w:val="FEFB45C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8"/>
      <w:szCs w:val="20"/>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2"/>
    <w:semiHidden/>
    <w:qFormat/>
    <w:uiPriority w:val="0"/>
    <w:pPr>
      <w:spacing w:line="594" w:lineRule="exact"/>
      <w:ind w:firstLine="538" w:firstLineChars="174"/>
    </w:pPr>
    <w:rPr>
      <w:sz w:val="32"/>
    </w:rPr>
  </w:style>
  <w:style w:type="paragraph" w:styleId="3">
    <w:name w:val="Date"/>
    <w:basedOn w:val="1"/>
    <w:next w:val="1"/>
    <w:link w:val="11"/>
    <w:semiHidden/>
    <w:qFormat/>
    <w:uiPriority w:val="0"/>
  </w:style>
  <w:style w:type="paragraph" w:styleId="4">
    <w:name w:val="footer"/>
    <w:basedOn w:val="1"/>
    <w:link w:val="10"/>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8">
    <w:name w:val="page number"/>
    <w:basedOn w:val="7"/>
    <w:semiHidden/>
    <w:qFormat/>
    <w:uiPriority w:val="0"/>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0"/>
    <w:rPr>
      <w:sz w:val="18"/>
      <w:szCs w:val="18"/>
    </w:rPr>
  </w:style>
  <w:style w:type="character" w:customStyle="1" w:styleId="11">
    <w:name w:val="日期 Char"/>
    <w:basedOn w:val="7"/>
    <w:link w:val="3"/>
    <w:semiHidden/>
    <w:qFormat/>
    <w:uiPriority w:val="0"/>
    <w:rPr>
      <w:rFonts w:ascii="Times New Roman" w:hAnsi="Times New Roman" w:eastAsia="仿宋_GB2312" w:cs="Times New Roman"/>
      <w:sz w:val="28"/>
      <w:szCs w:val="20"/>
    </w:rPr>
  </w:style>
  <w:style w:type="character" w:customStyle="1" w:styleId="12">
    <w:name w:val="正文文本缩进 Char"/>
    <w:basedOn w:val="7"/>
    <w:link w:val="2"/>
    <w:semiHidden/>
    <w:qFormat/>
    <w:uiPriority w:val="0"/>
    <w:rPr>
      <w:rFonts w:ascii="Times New Roman" w:hAnsi="Times New Roman" w:eastAsia="仿宋_GB2312" w:cs="Times New Roman"/>
      <w:sz w:val="32"/>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1154</Words>
  <Characters>6581</Characters>
  <Lines>54</Lines>
  <Paragraphs>15</Paragraphs>
  <TotalTime>80</TotalTime>
  <ScaleCrop>false</ScaleCrop>
  <LinksUpToDate>false</LinksUpToDate>
  <CharactersWithSpaces>7720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2019-01-25T00:59:00Z</dcterms:created>
  <dc:creator>hp</dc:creator>
  <cp:lastModifiedBy>HuangYS</cp:lastModifiedBy>
  <dcterms:modified xsi:type="dcterms:W3CDTF">2026-06-23T16:43:38Z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