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adjustRightInd/>
        <w:snapToGrid/>
        <w:spacing w:beforeAutospacing="0" w:afterAutospacing="0" w:line="240" w:lineRule="auto"/>
        <w:ind w:left="0" w:leftChars="0" w:right="0" w:rightChars="0" w:firstLine="0" w:firstLineChars="0"/>
        <w:jc w:val="center"/>
        <w:textAlignment w:val="auto"/>
        <w:outlineLvl w:val="9"/>
        <w:rPr>
          <w:rFonts w:hint="eastAsia" w:ascii="方正小标宋简体" w:hAnsi="宋体" w:eastAsia="方正小标宋简体" w:cs="方正小标宋简体"/>
          <w:b w:val="0"/>
          <w:i w:val="0"/>
          <w:caps w:val="0"/>
          <w:smallCaps w:val="0"/>
          <w:strike w:val="0"/>
          <w:dstrike w:val="0"/>
          <w:outline w:val="0"/>
          <w:shadow w:val="0"/>
          <w:emboss w:val="0"/>
          <w:imprint w:val="0"/>
          <w:snapToGrid/>
          <w:vanish w:val="0"/>
          <w:spacing w:val="0"/>
          <w:w w:val="100"/>
          <w:kern w:val="0"/>
          <w:position w:val="0"/>
          <w:sz w:val="44"/>
          <w:u w:val="none"/>
          <w:shd w:val="clear" w:color="auto" w:fill="auto"/>
          <w:lang w:eastAsia="zh-CN"/>
        </w:rPr>
      </w:pPr>
      <w:r>
        <w:rPr>
          <w:rFonts w:hint="eastAsia" w:ascii="方正小标宋简体" w:hAnsi="宋体" w:eastAsia="方正小标宋简体" w:cs="方正小标宋简体"/>
          <w:b w:val="0"/>
          <w:i w:val="0"/>
          <w:caps w:val="0"/>
          <w:smallCaps w:val="0"/>
          <w:strike w:val="0"/>
          <w:dstrike w:val="0"/>
          <w:outline w:val="0"/>
          <w:shadow w:val="0"/>
          <w:emboss w:val="0"/>
          <w:imprint w:val="0"/>
          <w:snapToGrid/>
          <w:vanish w:val="0"/>
          <w:spacing w:val="0"/>
          <w:w w:val="100"/>
          <w:kern w:val="0"/>
          <w:position w:val="0"/>
          <w:sz w:val="44"/>
          <w:u w:val="none"/>
          <w:shd w:val="clear" w:color="auto" w:fill="auto"/>
          <w:lang w:eastAsia="zh-CN"/>
        </w:rPr>
        <w:t>浙江省温州市中级人民法院</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adjustRightInd/>
        <w:snapToGrid/>
        <w:spacing w:beforeAutospacing="0" w:after="1064" w:afterLines="200" w:afterAutospacing="0" w:line="240" w:lineRule="auto"/>
        <w:ind w:left="0" w:leftChars="0" w:right="0" w:rightChars="0" w:firstLine="0" w:firstLineChars="0"/>
        <w:jc w:val="center"/>
        <w:textAlignment w:val="auto"/>
        <w:outlineLvl w:val="9"/>
        <w:rPr>
          <w:rFonts w:hint="eastAsia" w:ascii="方正小标宋简体" w:hAnsi="宋体" w:eastAsia="方正小标宋简体" w:cs="方正小标宋简体"/>
          <w:b w:val="0"/>
          <w:i w:val="0"/>
          <w:caps w:val="0"/>
          <w:smallCaps w:val="0"/>
          <w:strike w:val="0"/>
          <w:dstrike w:val="0"/>
          <w:outline w:val="0"/>
          <w:shadow w:val="0"/>
          <w:emboss w:val="0"/>
          <w:imprint w:val="0"/>
          <w:snapToGrid/>
          <w:vanish w:val="0"/>
          <w:spacing w:val="0"/>
          <w:w w:val="100"/>
          <w:kern w:val="0"/>
          <w:position w:val="0"/>
          <w:sz w:val="44"/>
          <w:u w:val="none"/>
          <w:shd w:val="clear" w:color="auto" w:fill="auto"/>
          <w:lang w:eastAsia="zh-CN"/>
        </w:rPr>
      </w:pPr>
      <w:r>
        <w:rPr>
          <w:rFonts w:hint="eastAsia" w:ascii="方正小标宋简体" w:hAnsi="宋体" w:eastAsia="方正小标宋简体" w:cs="方正小标宋简体"/>
          <w:b w:val="0"/>
          <w:i w:val="0"/>
          <w:caps w:val="0"/>
          <w:smallCaps w:val="0"/>
          <w:strike w:val="0"/>
          <w:dstrike w:val="0"/>
          <w:outline w:val="0"/>
          <w:shadow w:val="0"/>
          <w:emboss w:val="0"/>
          <w:imprint w:val="0"/>
          <w:snapToGrid/>
          <w:vanish w:val="0"/>
          <w:spacing w:val="0"/>
          <w:w w:val="100"/>
          <w:kern w:val="0"/>
          <w:position w:val="0"/>
          <w:sz w:val="44"/>
          <w:u w:val="none"/>
          <w:shd w:val="clear" w:color="auto" w:fill="auto"/>
          <w:lang w:eastAsia="zh-CN"/>
        </w:rPr>
        <w:t>民事判决书</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adjustRightInd/>
        <w:snapToGrid/>
        <w:spacing w:beforeAutospacing="0" w:after="533" w:afterLines="100" w:afterAutospacing="0" w:line="380" w:lineRule="exact"/>
        <w:ind w:left="0" w:leftChars="0" w:right="960" w:rightChars="300" w:firstLine="0" w:firstLineChars="0"/>
        <w:jc w:val="right"/>
        <w:textAlignment w:val="auto"/>
        <w:outlineLvl w:val="9"/>
        <w:rPr>
          <w:rFonts w:hint="eastAsia" w:ascii="仿宋_GB2312" w:cs="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eastAsia="zh-CN"/>
        </w:rPr>
      </w:pPr>
      <w:r>
        <w:rPr>
          <w:rFonts w:hint="eastAsia" w:ascii="仿宋_GB2312" w:cs="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eastAsia="zh-CN"/>
        </w:rPr>
        <w:t>（202</w:t>
      </w:r>
      <w:r>
        <w:rPr>
          <w:rFonts w:hint="eastAsia" w:ascii="仿宋_GB2312" w:cs="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3</w:t>
      </w:r>
      <w:r>
        <w:rPr>
          <w:rFonts w:hint="eastAsia" w:ascii="仿宋_GB2312" w:cs="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eastAsia="zh-CN"/>
        </w:rPr>
        <w:t>）浙03民初</w:t>
      </w:r>
      <w:r>
        <w:rPr>
          <w:rFonts w:hint="eastAsia" w:ascii="仿宋_GB2312" w:cs="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743</w:t>
      </w:r>
      <w:r>
        <w:rPr>
          <w:rFonts w:hint="eastAsia" w:ascii="仿宋_GB2312" w:cs="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eastAsia="zh-CN"/>
        </w:rPr>
        <w:t>号</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Autospacing="0" w:afterAutospacing="0" w:line="636" w:lineRule="atLeast"/>
        <w:ind w:left="0" w:leftChars="0" w:right="0" w:rightChars="0" w:firstLine="640" w:firstLineChars="200"/>
        <w:jc w:val="both"/>
        <w:textAlignment w:val="auto"/>
        <w:outlineLvl w:val="9"/>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pP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原告：广州市</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赫某鞋业</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有限公司</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Autospacing="0" w:afterAutospacing="0" w:line="636" w:lineRule="atLeast"/>
        <w:ind w:left="0" w:leftChars="0" w:right="0" w:rightChars="0" w:firstLine="640" w:firstLineChars="200"/>
        <w:jc w:val="both"/>
        <w:textAlignment w:val="auto"/>
        <w:outlineLvl w:val="9"/>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pP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被告</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常熟市莫城街道</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叮某服饰</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商行</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Autospacing="0" w:afterAutospacing="0" w:line="636" w:lineRule="atLeast"/>
        <w:ind w:left="0" w:leftChars="0" w:right="0" w:rightChars="0" w:firstLine="640" w:firstLineChars="200"/>
        <w:jc w:val="both"/>
        <w:textAlignment w:val="auto"/>
        <w:outlineLvl w:val="9"/>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pP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被告</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：苏某</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Autospacing="0" w:afterAutospacing="0" w:line="636" w:lineRule="atLeast"/>
        <w:ind w:left="0" w:leftChars="0" w:right="0" w:rightChars="0" w:firstLine="640" w:firstLineChars="200"/>
        <w:jc w:val="both"/>
        <w:textAlignment w:val="auto"/>
        <w:outlineLvl w:val="9"/>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pP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原告广州市</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赫某鞋业</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有限公司（以下简称</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赫某公司</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）与被告常熟市莫城街道</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叮某服饰</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商行（以下简称</w:t>
      </w:r>
      <w:bookmarkStart w:id="0" w:name="_GoBack"/>
      <w:bookmarkEnd w:id="0"/>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叮某商行</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苏某</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侵害外观设计专利权纠纷一案，本院于202</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3</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年</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9</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月</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18</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日立案后，依法适用普通程序，于同年11月22日公开开庭进行了审理。</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赫某公司</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的委托诉讼代理人李</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某</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苏某</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的委托诉讼代理人姜</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某</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到庭参加诉讼。</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叮某商行</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经本院合法传唤无正当理由未到庭参加诉讼，本院依法缺席审理。本案现已审理终结。</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Autospacing="0" w:afterAutospacing="0" w:line="636" w:lineRule="atLeast"/>
        <w:ind w:left="0" w:leftChars="0" w:right="0" w:rightChars="0" w:firstLine="640" w:firstLineChars="200"/>
        <w:jc w:val="both"/>
        <w:textAlignment w:val="auto"/>
        <w:outlineLvl w:val="9"/>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pP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赫某公司</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向本院提出诉讼，请求判令：1.</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叮某商行</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立即停止销售、许诺销售侵犯</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赫某公司</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专利号为</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2022</w:t>
      </w:r>
      <w:r>
        <w:rPr>
          <w:rFonts w:hint="eastAsia" w:ascii="仿宋_GB2312" w:hAnsi="仿宋_GB2312" w:cs="仿宋_GB2312"/>
          <w:color w:val="auto"/>
          <w:sz w:val="32"/>
          <w:szCs w:val="24"/>
          <w:lang w:val="en-US" w:eastAsia="zh-CN"/>
        </w:rPr>
        <w:t>xxxx</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6453.2、</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名称为“鞋底</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蔚来1号</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”的外观设计专利权产品的行为，并销毁库存；2.</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苏某</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立即停止制造、销售、许诺销售侵犯</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赫某公司</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专利号为</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2022xxxx6453.2、</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名称为“鞋底</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蔚来1号</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”的外观设计专利权产品的行为，并销毁模具及库存</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3.</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叮某商行</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苏某</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共同赔偿</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赫某公司</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经济损失及维权合理开支</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合计</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5万元；4.</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叮某商行</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苏某</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承担本案诉讼费用。庭审中，</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赫某公司</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撤回对</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苏某</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许诺销售</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行为</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的主张。事实和理由：名称为“鞋底（蔚来1号）”、申请号为</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2022xxxx6453.2</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的外观设计专利的专利权人为</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薛某</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，专利申请日为2022年11月14日，授权公告日为2023年2月28日，专利目前处于合法有效状态，且国家知识产权局出具专利权评价报告，证明涉案专利符合专利权授予条件。专利权人</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薛某</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将涉案专利以排他实施许可的方式许可给</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赫某公司</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使用，</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并</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约定</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赫某公司</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有权针对侵权行为单独提起诉讼。经调查发现，</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叮某商行</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未经授权许可，在抖音平台“</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叮某服饰</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店”店铺内销售、许诺销售侵犯涉案专利权的</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产品，</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产品上标注有“多</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某</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”商标，该商标由</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苏某</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申请注册，即</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苏某</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系被诉产品的</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制造</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商。</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叮某商行</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苏某</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的行为侵犯了</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赫某公司</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的合法权益，故此提出上述诉请。</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Autospacing="0" w:afterAutospacing="0" w:line="636" w:lineRule="atLeast"/>
        <w:ind w:left="0" w:leftChars="0" w:right="0" w:rightChars="0" w:firstLine="640" w:firstLineChars="200"/>
        <w:jc w:val="both"/>
        <w:textAlignment w:val="auto"/>
        <w:outlineLvl w:val="9"/>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pP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苏某</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辩称：1.被诉</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产品（鞋子）鞋底的设计</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与</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涉案授权外观设计</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不相同也不近似，不构成侵权</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即使法院认定侵权成立，</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苏某</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系常熟市服装城</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多某鞋业商行</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（以下简称</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多某商行</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）的经营者，仅从事鞋类产品批发，没有制造行为，也没有库存。</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2.苏某在本案中</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仅销售一双鞋子，售价129元，</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假设整双鞋的利润率为10%，</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归属到鞋底的利润不超过10元。</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叮某商行在抖音平台</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销售鞋子</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的数量为</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304双，</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按照网店显示的</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单价199元计算，归属到鞋底的利润不超过3040元。</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赫某公司提出</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5万元</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的赔偿请求，</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缺乏依据。且</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叮某商行</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苏某</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为独立个体，不应承担共同赔偿责任。</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3</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赫某公司</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在本案中</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主张</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的维权费用主要是律师费，但其未提供相应凭证，故不应支持</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即使</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确有</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律师费支出，目的也是让</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叮某商行</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下架被诉侵权产品，与</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苏某</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无关。</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Autospacing="0" w:afterAutospacing="0" w:line="636" w:lineRule="atLeast"/>
        <w:ind w:left="0" w:leftChars="0" w:right="0" w:rightChars="0" w:firstLine="640" w:firstLineChars="200"/>
        <w:jc w:val="both"/>
        <w:textAlignment w:val="auto"/>
        <w:outlineLvl w:val="9"/>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pP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叮某商行</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未作答辩。</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Autospacing="0" w:afterAutospacing="0" w:line="636" w:lineRule="atLeast"/>
        <w:ind w:left="0" w:leftChars="0" w:right="0" w:rightChars="0" w:firstLine="640" w:firstLineChars="200"/>
        <w:jc w:val="both"/>
        <w:textAlignment w:val="auto"/>
        <w:outlineLvl w:val="9"/>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pP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当事人围绕诉辩主张各自依法提供了证据，本院组织双方当事人进行了举证和质证。对当事人无异议的证据，本院予以确认并在卷佐证，</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该部分证据</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包括</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赫某公司</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提供的外观设计专利证书</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及</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评价报告、专利年费缴纳票据、《授权证明书》</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、可信时间戳认证证书</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。对有争议的证据和事实，本院认定如下：1.</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赫某公司</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提供的（2023）津和信证字第7137号公证书、“3&amp;C</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多某</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”注册商标</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网页截图</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信息，共同证明</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叮某商行</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在抖音平台销售、许诺销售被诉产品</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，苏某</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持有被诉产品上“3&amp;C多</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某</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”注册商标</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并</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系被诉产品制造商的事实。</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苏某</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对</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上述证据</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的真实性无异议，但认为其不是制造商且销售数量仅1双。本院认为，该些证据系原件，真实性</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应</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予确认，可以证明涉案相关侵权事实，本院予以采用。至于</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苏某</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是否</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被诉产品的制造商问题</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，将在判决理由部分结合其他证据和事实一并予以评述。2.</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苏某</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提供</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的多某商行</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企业登记信息，拟证明</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苏某仅经营个体工商户，不是生产厂家的事实</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赫某公司</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对该证据的真实性无异议，但认为专利法意义上的制造行为</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与</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物理意义上的实际制造行为不是完全一致，根据本案证据可以认定</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苏某</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系被诉产品的制造商。本院认为，该证据系原件，真实性</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应</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予确认，但</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苏某</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是否存在制造行为，不能仅凭企业登记的经营范围确定，</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该争议问题</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本院</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同样</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将在判决理由部分结合其他证据和事实一并予以评述。</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Autospacing="0" w:afterAutospacing="0" w:line="636" w:lineRule="atLeast"/>
        <w:ind w:left="0" w:leftChars="0" w:right="0" w:rightChars="0" w:firstLine="640" w:firstLineChars="200"/>
        <w:jc w:val="both"/>
        <w:textAlignment w:val="auto"/>
        <w:outlineLvl w:val="9"/>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pP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根据各方提供的有效证据及有关陈述，本院查明事实如下：</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薛某</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系专利号为</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2022xxxx6453.2、</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名称为“鞋底</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蔚来1号</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”的外观设计专利权人，该专利申请日为2022年11月14日，授权公告日为2023年2月28日，已缴纳年费，现处于有效期。专利</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文本</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简要说明</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部分</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记载：该外观设计产品用于鞋子上的鞋底，设计要点在于形状与图案的结合，最能表明设计要点的图片或照片为立体图1。国家知识产权局于2023年4月21日</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就涉案专利权</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作出评价报告</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初步结论认为，涉案专利全部外观设计未发现存在不符合授予专利权条件的缺陷。</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Autospacing="0" w:afterAutospacing="0" w:line="636" w:lineRule="atLeast"/>
        <w:ind w:left="0" w:leftChars="0" w:right="0" w:rightChars="0" w:firstLine="640" w:firstLineChars="200"/>
        <w:jc w:val="both"/>
        <w:textAlignment w:val="auto"/>
        <w:outlineLvl w:val="9"/>
        <w:rPr>
          <w:rFonts w:hint="default"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pP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2023年3月10日，</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薛某</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与</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赫某公司</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签订《授权证明书》，约定：</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薛某</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将涉案专利以排他许可的方式授权给</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赫某公司</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实施；</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赫某公司</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有权单独以自己名义对侵害授权专利权的行为发起法律维权行动，包括但不限于发警告函、行政投诉、诉讼、要求停止侵权并获得赔偿等；授权期限为5年，自2022年11月14日起算。</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Autospacing="0" w:afterAutospacing="0" w:line="636" w:lineRule="atLeast"/>
        <w:ind w:left="0" w:leftChars="0" w:right="0" w:rightChars="0" w:firstLine="640" w:firstLineChars="200"/>
        <w:jc w:val="both"/>
        <w:textAlignment w:val="auto"/>
        <w:outlineLvl w:val="9"/>
        <w:rPr>
          <w:rFonts w:hint="eastAsia"/>
          <w:lang w:val="en-US" w:eastAsia="zh-CN"/>
        </w:rPr>
      </w:pP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叮某商行</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系成立于2023年1月4日的个体工商户，经营者</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丁某</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，经营范围包括服装服饰批发、零售，互联网销售等。</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Autospacing="0" w:afterAutospacing="0" w:line="636" w:lineRule="atLeast"/>
        <w:ind w:left="0" w:leftChars="0" w:right="0" w:rightChars="0" w:firstLine="640" w:firstLineChars="200"/>
        <w:jc w:val="both"/>
        <w:textAlignment w:val="auto"/>
        <w:outlineLvl w:val="9"/>
        <w:rPr>
          <w:rFonts w:hint="default"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pPr>
      <w:r>
        <w:rPr>
          <w:rFonts w:hint="default"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202</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3</w:t>
      </w:r>
      <w:r>
        <w:rPr>
          <w:rFonts w:hint="default"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年</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5</w:t>
      </w:r>
      <w:r>
        <w:rPr>
          <w:rFonts w:hint="default"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月</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17</w:t>
      </w:r>
      <w:r>
        <w:rPr>
          <w:rFonts w:hint="default"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日，</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赫某公司</w:t>
      </w:r>
      <w:r>
        <w:rPr>
          <w:rFonts w:hint="default"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委托代理人向</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天津市和信公证处（以下简称公证处）</w:t>
      </w:r>
      <w:r>
        <w:rPr>
          <w:rFonts w:hint="default"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申请</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对其</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网购及拆封包裹的</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过程办理保全证据公证。公证处经审查出具（2023）津和信证字第7137号公证书，公证书记载：2023年5月11日，</w:t>
      </w:r>
      <w:r>
        <w:rPr>
          <w:rFonts w:hint="eastAsia" w:ascii="仿宋_GB2312" w:hAnsi="宋体"/>
          <w:b w:val="0"/>
          <w:i w:val="0"/>
          <w:caps w:val="0"/>
          <w:smallCaps w:val="0"/>
          <w:strike w:val="0"/>
          <w:dstrike w:val="0"/>
          <w:snapToGrid/>
          <w:vanish w:val="0"/>
          <w:spacing w:val="0"/>
          <w:w w:val="100"/>
          <w:kern w:val="0"/>
          <w:position w:val="0"/>
          <w:sz w:val="32"/>
          <w:u w:val="none"/>
          <w:shd w:val="clear" w:color="auto" w:fill="auto"/>
          <w:lang w:val="en-US" w:eastAsia="zh-CN"/>
        </w:rPr>
        <w:t>赫某公司</w:t>
      </w:r>
      <w:r>
        <w:rPr>
          <w:rFonts w:hint="default" w:ascii="仿宋_GB2312" w:hAnsi="宋体" w:eastAsia="仿宋_GB2312"/>
          <w:b w:val="0"/>
          <w:i w:val="0"/>
          <w:caps w:val="0"/>
          <w:smallCaps w:val="0"/>
          <w:strike w:val="0"/>
          <w:dstrike w:val="0"/>
          <w:snapToGrid/>
          <w:vanish w:val="0"/>
          <w:spacing w:val="0"/>
          <w:w w:val="100"/>
          <w:kern w:val="0"/>
          <w:position w:val="0"/>
          <w:sz w:val="32"/>
          <w:u w:val="none"/>
          <w:shd w:val="clear" w:color="auto" w:fill="auto"/>
          <w:lang w:val="en-US" w:eastAsia="zh-CN"/>
        </w:rPr>
        <w:t>委托代理人</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在抖音平台</w:t>
      </w:r>
      <w:r>
        <w:rPr>
          <w:rFonts w:hint="default"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叮某服饰</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店</w:t>
      </w:r>
      <w:r>
        <w:rPr>
          <w:rFonts w:hint="default"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店铺内以199元的价格购买一双名称为</w:t>
      </w:r>
      <w:r>
        <w:rPr>
          <w:rFonts w:hint="default"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L玲L哒—2023春夏港风小众ins大头低帮玛丽珍魔术贴厚底松糕鞋</w:t>
      </w:r>
      <w:r>
        <w:rPr>
          <w:rFonts w:hint="default"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的</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白色</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鞋子</w:t>
      </w:r>
      <w:r>
        <w:rPr>
          <w:rFonts w:hint="default"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查看“店铺详情”可见</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叮某商行</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的营业执照</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w:t>
      </w:r>
      <w:r>
        <w:rPr>
          <w:rFonts w:hint="default"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所购</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产品链接</w:t>
      </w:r>
      <w:r>
        <w:rPr>
          <w:rFonts w:hint="default"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页面</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除载有产品展示图外还</w:t>
      </w:r>
      <w:r>
        <w:rPr>
          <w:rFonts w:hint="default"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显示</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销量</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“已售260”</w:t>
      </w:r>
      <w:r>
        <w:rPr>
          <w:rFonts w:hint="default"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。202</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3</w:t>
      </w:r>
      <w:r>
        <w:rPr>
          <w:rFonts w:hint="default"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年</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5</w:t>
      </w:r>
      <w:r>
        <w:rPr>
          <w:rFonts w:hint="default"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月</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17</w:t>
      </w:r>
      <w:r>
        <w:rPr>
          <w:rFonts w:hint="default"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日，公证处</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公证员及</w:t>
      </w:r>
      <w:r>
        <w:rPr>
          <w:rFonts w:hint="default"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工作人员代为签收了上述网购快递包裹</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。次日，</w:t>
      </w:r>
      <w:r>
        <w:rPr>
          <w:rFonts w:hint="eastAsia" w:ascii="仿宋_GB2312" w:hAnsi="宋体"/>
          <w:b w:val="0"/>
          <w:i w:val="0"/>
          <w:caps w:val="0"/>
          <w:smallCaps w:val="0"/>
          <w:strike w:val="0"/>
          <w:dstrike w:val="0"/>
          <w:snapToGrid/>
          <w:vanish w:val="0"/>
          <w:spacing w:val="0"/>
          <w:w w:val="100"/>
          <w:kern w:val="0"/>
          <w:position w:val="0"/>
          <w:sz w:val="32"/>
          <w:u w:val="none"/>
          <w:shd w:val="clear" w:color="auto" w:fill="auto"/>
          <w:lang w:val="en-US" w:eastAsia="zh-CN"/>
        </w:rPr>
        <w:t>赫某公司</w:t>
      </w:r>
      <w:r>
        <w:rPr>
          <w:rFonts w:hint="default" w:ascii="仿宋_GB2312" w:hAnsi="宋体" w:eastAsia="仿宋_GB2312"/>
          <w:b w:val="0"/>
          <w:i w:val="0"/>
          <w:caps w:val="0"/>
          <w:smallCaps w:val="0"/>
          <w:strike w:val="0"/>
          <w:dstrike w:val="0"/>
          <w:snapToGrid/>
          <w:vanish w:val="0"/>
          <w:spacing w:val="0"/>
          <w:w w:val="100"/>
          <w:kern w:val="0"/>
          <w:position w:val="0"/>
          <w:sz w:val="32"/>
          <w:u w:val="none"/>
          <w:shd w:val="clear" w:color="auto" w:fill="auto"/>
          <w:lang w:val="en-US" w:eastAsia="zh-CN"/>
        </w:rPr>
        <w:t>委托代理人</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在公证员及公证人员监督下拆封包裹并拍照，随后</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包裹被</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重新封装、加贴封条</w:t>
      </w:r>
      <w:r>
        <w:rPr>
          <w:rFonts w:hint="default"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Autospacing="0" w:afterAutospacing="0" w:line="636" w:lineRule="atLeast"/>
        <w:ind w:left="0" w:leftChars="0" w:right="0" w:rightChars="0" w:firstLine="640" w:firstLineChars="200"/>
        <w:jc w:val="both"/>
        <w:textAlignment w:val="auto"/>
        <w:outlineLvl w:val="9"/>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pP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2023年5月24日，</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赫某公司</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在本案中的</w:t>
      </w:r>
      <w:r>
        <w:rPr>
          <w:rFonts w:hint="default"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委托</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诉讼</w:t>
      </w:r>
      <w:r>
        <w:rPr>
          <w:rFonts w:hint="default"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代理人</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通过“联合信任时间戳服务中心”进行取证，根据该中心出具的认证证书所附电子数据文件可见</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2023年5月19日，</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在</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抖音平台向</w:t>
      </w:r>
      <w:r>
        <w:rPr>
          <w:rFonts w:hint="default"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叮某服饰</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店</w:t>
      </w:r>
      <w:r>
        <w:rPr>
          <w:rFonts w:hint="default"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发送涉案外观设计专利证书及律师函等材料，要求</w:t>
      </w:r>
      <w:r>
        <w:rPr>
          <w:rFonts w:hint="default"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叮某服饰</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店</w:t>
      </w:r>
      <w:r>
        <w:rPr>
          <w:rFonts w:hint="default"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下架</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被诉</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侵权产品，但</w:t>
      </w:r>
      <w:r>
        <w:rPr>
          <w:rFonts w:hint="default"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叮某服饰</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店</w:t>
      </w:r>
      <w:r>
        <w:rPr>
          <w:rFonts w:hint="default"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未作明确回复</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；2023年5月24日</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查看涉案销售链接，</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显示尚未删除，且</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销量为“已售304”。</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Autospacing="0" w:afterAutospacing="0" w:line="636" w:lineRule="atLeast"/>
        <w:ind w:left="0" w:leftChars="0" w:right="0" w:rightChars="0" w:firstLine="640" w:firstLineChars="200"/>
        <w:jc w:val="both"/>
        <w:textAlignment w:val="auto"/>
        <w:outlineLvl w:val="9"/>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pP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诉讼过程中，</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赫某公司确认被诉侵权链接已删除。</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Autospacing="0" w:afterAutospacing="0" w:line="636" w:lineRule="atLeast"/>
        <w:ind w:left="0" w:leftChars="0" w:right="0" w:rightChars="0" w:firstLine="640" w:firstLineChars="200"/>
        <w:jc w:val="both"/>
        <w:textAlignment w:val="auto"/>
        <w:outlineLvl w:val="9"/>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pP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本院当庭拆封上述网购并后经公证封装的包裹，内有带包装</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盒、包装袋</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的</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白色</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鞋子一双。鞋盒顶部及侧面</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均</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印制“3&amp;C</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多某</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标识</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及粘贴带“3&amp;C</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多某</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”的白色标签；鞋盒底部印制“3&amp;C</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多某</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”“香港纪</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某</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希贸易有限公司，地址：香港旺角……”“生产地址：温州市中国鞋都</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xxxx</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”“加盟热线：400-009-</w:t>
      </w:r>
      <w:r>
        <w:rPr>
          <w:rFonts w:hint="eastAsia" w:ascii="仿宋_GB2312" w:eastAsia="仿宋_GB2312" w:cs="宋体"/>
          <w:kern w:val="0"/>
          <w:sz w:val="32"/>
          <w:szCs w:val="32"/>
          <w:lang w:val="en-US" w:eastAsia="zh-CN"/>
        </w:rPr>
        <w:t>****</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”“执行标准：QB/T1002……”等内容及合格证；</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包装袋</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印制“3&amp;C</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多某</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标识及上述加盟热线；</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鞋垫印制“3&amp;C”</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标识</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针对上述取证实物，苏某陈述：其从别处购买鞋子后配置鞋垫、鞋盒、包装袋并出售，因时间太久且叮某商行在本案中未出庭应诉，故无法查清鞋子的</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上游商家；鞋</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盒上的</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“3&amp;C</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多某</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是其持有的商标；</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香港纪</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某</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希贸易有限公司</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是其朋友注册的公司，但仅拿来用于宣传没有实际使用；生产地址是其办公地址；加盟热线不是真实的。</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经庭审比对，</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赫某公司</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认为，被诉产品</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鞋底部分</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与涉案专利产品属相同种类产品，</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区别仅在于涉案授权外观设计鞋跟处</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有一个贯穿左右的孔，而被诉侵权</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设计</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相同位置仅是凹陷设计，但两者在整体视觉效果上无实质差异，构成近似</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被诉侵权设计落入涉案外观设计专利权的保护范围。</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苏某则</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认为，被诉侵权</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设计</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与</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授权外观</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设计除</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赫某公司</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陈述的不同点外，</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授权外观设计右视图脚掌和脚跟</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连接处有一个小孔，而被诉侵权</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设计</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没有，故两者不构成近似。（详见附图）</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Autospacing="0" w:afterAutospacing="0" w:line="636" w:lineRule="atLeast"/>
        <w:ind w:left="0" w:leftChars="0" w:right="0" w:rightChars="0" w:firstLine="640" w:firstLineChars="200"/>
        <w:jc w:val="both"/>
        <w:textAlignment w:val="auto"/>
        <w:outlineLvl w:val="9"/>
        <w:rPr>
          <w:rFonts w:hint="eastAsia"/>
          <w:lang w:val="en-US" w:eastAsia="zh-CN"/>
        </w:rPr>
      </w:pP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本院认为，</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赫某公司</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作为涉案专利号为</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2022xxxx6453.2</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、名称为“鞋底（蔚来1号）”的外观设计专利权的排他许可被许可方，</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经专利权人授权，</w:t>
      </w:r>
      <w:r>
        <w:rPr>
          <w:rFonts w:hint="eastAsia"/>
          <w:lang w:val="en-US" w:eastAsia="zh-CN"/>
        </w:rPr>
        <w:t>有权以自己的名义提起本案诉讼。涉案专利合法有效，应受法律保护。</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Autospacing="0" w:afterAutospacing="0" w:line="636" w:lineRule="atLeast"/>
        <w:ind w:left="0" w:leftChars="0" w:right="0" w:rightChars="0" w:firstLine="640" w:firstLineChars="200"/>
        <w:jc w:val="both"/>
        <w:textAlignment w:val="auto"/>
        <w:outlineLvl w:val="9"/>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pP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根据各方当事人的诉辩意见，本案的争议焦点为：一、被诉侵权设计是否落入涉案外观设计专利权的保护范围。二、</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叮某商行</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苏某</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应承担何种民事责任。</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Autospacing="0" w:afterAutospacing="0" w:line="636" w:lineRule="atLeast"/>
        <w:ind w:left="0" w:leftChars="0" w:right="0" w:rightChars="0" w:firstLine="640" w:firstLineChars="200"/>
        <w:jc w:val="both"/>
        <w:textAlignment w:val="auto"/>
        <w:outlineLvl w:val="9"/>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pP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关于争议焦点一。《中华人民共和国专利法》第六十四条第二款规定，外观设计专利权的保护范围以表示在图片或者照片中的该产品的外观设计为准，简要说明可以用于解释图片或者照片所表示的该产品的外观设计。《最高人民法院关于审理侵犯专利权纠纷案件应用法律若干问题的解释》第八条、第十条、第十一条规定，在与外观设计专利产品相同或近似种类产品上，采用与授权外观设计相同或近似的外观设计的，应当认定被诉侵权设计落入外观设计专利权的保护范围；判断外观设计是否相同或者近似，应该以外观设计专利产品的一般消费者的知识水平和认知能力进行观察；根据授权外观设计、被诉侵权设计的设计特征，以外观设计的整体视觉效果进行综合判断，对被诉侵权设计与授权外观设计是否在整体视觉效果上无差异或无实质性差异进行比对。本案中，涉案专利产品与被诉产品</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的鞋底部分</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属于相同种类产品。</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szCs w:val="20"/>
          <w:u w:val="none"/>
          <w:shd w:val="clear" w:color="auto" w:fill="auto"/>
          <w:lang w:val="en-US" w:eastAsia="zh-CN"/>
        </w:rPr>
        <w:t>根据涉案专利权评价报告检索的现有设计</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，该类</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鞋底</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产品虽均</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是立体造型且有</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花纹设计，但具体的</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造型及</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花纹</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图案还是</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存在较大</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区别</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。经比对，被诉侵权设计具备了涉案授权</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外观</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设计的主要设计特征，在整体形状、各部位设计及比例关系等方面基本相同，区别仅在于从左、右视图看，涉案授权</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外观</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设计有两处贯穿的孔，而</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被诉侵权</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设计没有孔或仅是凹陷设计</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，但</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上述细微区别不足以对两者的整体视觉效果造成实质性差异,应认定被诉侵权设计与涉案授权外观设计构成近似，落入涉案专利权的保护范围。</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Autospacing="0" w:afterAutospacing="0" w:line="636" w:lineRule="atLeast"/>
        <w:ind w:left="0" w:leftChars="0" w:right="0" w:rightChars="0" w:firstLine="640" w:firstLineChars="200"/>
        <w:jc w:val="both"/>
        <w:textAlignment w:val="auto"/>
        <w:outlineLvl w:val="9"/>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pP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关于争议焦点二。</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赫某公司</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主张</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苏某</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实施了制造、销售被诉产品的行为，主张</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叮某商行</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实施了销售、许诺销售被诉产品的行为，并认为两者构成共同侵权。</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同时，赫某公司</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明确</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苏某对叮某商行本案</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销售</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范围内的</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被诉产品</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的制造行为承担赔偿责任。</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Autospacing="0" w:afterAutospacing="0" w:line="636" w:lineRule="atLeast"/>
        <w:ind w:left="0" w:leftChars="0" w:right="0" w:rightChars="0" w:firstLine="640" w:firstLineChars="200"/>
        <w:jc w:val="both"/>
        <w:textAlignment w:val="auto"/>
        <w:outlineLvl w:val="9"/>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pP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1.共同侵权问题。共同侵权的成立既要求两个以上的加害人主观上具有共同意思联络，又要求加害人彼此的行为客观上相互配合或支持，共同造成同一损害后果。本案中，从主观上看，赫某公司未举证证明作为制造商的苏某与作为销售商的叮某商行就各自分别进行的侵权行为存在主观上的意思联络；从客观上看，制造商制造并出售侵权产品，再由销售商销售给他人，两者实施的行为之间相互独立，所生损害亦非完全同一。故本院对赫某公司关于共同侵权的主张不予支持，苏某、叮某商行应根据各自的侵权行为承担相应责任。</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Autospacing="0" w:afterAutospacing="0" w:line="636" w:lineRule="atLeast"/>
        <w:ind w:left="0" w:leftChars="0" w:right="0" w:rightChars="0" w:firstLine="640" w:firstLineChars="200"/>
        <w:jc w:val="both"/>
        <w:textAlignment w:val="auto"/>
        <w:outlineLvl w:val="9"/>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pP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2.</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苏某</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的民事责任。</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苏某在</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被诉</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产品的鞋垫上印制其持有的</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“3&amp;C</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多某</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”注册商标</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中的</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“3&amp;C”</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标识，在鞋盒及包装袋上印制上述完整注册商标，在鞋盒上印制其办公地址作为产品的</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生产地址</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，以上标识均起到了识别产品来源的功能，</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在</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苏某未提供任何</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相反证据的情况下，可认定其实施了制造</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被诉产品的</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行为。</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即使按照苏某自称从案外人处购买被诉产品后配置带上述标识的鞋垫的说法，也应认定其实施了委托制造行为，其亦系被诉产品的制造者。关于销售被诉产品的事实，苏某无异议。故赫某公司</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主张</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苏某</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实施了制造、销售被诉产品的行为，本院予以支持。《中华人民共和国专利法》第十一条第二款规定，外观设计专利权被授予后，任何单位或者个人未经专利权人许可，都不得实施其专利，即不得为生产经营目的制造、许诺销售、销售、进口其外观设计专利产品。《中华人民共和国民法典》第一百二十条规定，民事权益受到侵害的，被侵权人有权请求侵权人承担侵权责任。第一百七十九条规定，承担民事责任的方式主要有，停止侵害、赔偿损失等。本案中，</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苏某</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未经许可，制造、销售被诉产品，侵犯了涉案外观设计专利权，依法应承担侵权民事责任。故本院对</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赫某公司</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要求</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苏某</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停止制造、销售被诉产品并赔偿损失的诉请予以支持。关于赔偿数额，《中华人民共和国专利法》第七十一条第二款、第三款规定，权利人的损失、侵权人获得的利益和专利许可使用费均难以确定的，人民法院可以根据专利权的类型、侵权行为的性质和情节等因素，确定给予三万元以上五百万元以下的赔偿。赔偿数额还应当包括权利人为制止侵权行为所支付的合理开支。因本案</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赫某公司</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的损失、</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苏某</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的侵权获利和专利许可使用费均难以确定，故本院酌情确定</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苏某</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的赔偿数额为30000元。综合考虑以下因素：（1）</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赫某公司</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提供了涉案外观专利权评价报告，专利权稳定</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（2）</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苏某</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存在制造被诉产品的行为</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，就制造数量问题，赫某公司主张苏某对叮某商行在本案中销售的全部304双鞋子的制造行为承担责任，苏某则抗辩仅销售其中的1双。对此本院</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认为，</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赫某公司</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已通过公证购买方式证明涉案链接所售产品之一由</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苏某</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制造，即</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赫某公司</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已提供证明涉案链接下其余已售产品均源于</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苏某</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的初步证据。</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苏某</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虽否认该事实，但并未提供反证，根据《最高人民法院关于适用&lt;中华人民共和国民事诉讼法&gt;的解释》第一百零八条第一款之规定，本院确信</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赫某公司</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主张的涉案销售链接下已售产品均来源于</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苏某</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的事实具有高度可能性，并据此作为</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苏某</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赔偿数额的考量因素之一；（3）涉案侵权产品为鞋底，仅占</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被诉产品（鞋子）</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整体设计一部分</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，应适当区分归属至鞋底的利润；</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4</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赫某公司</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为维权需客观支出的合理开支，包括公证</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委托律师代为诉讼等费用</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，虽未提供相应凭证，但应予酌情考虑</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Autospacing="0" w:afterAutospacing="0" w:line="630" w:lineRule="atLeast"/>
        <w:ind w:left="0" w:leftChars="0" w:right="0" w:rightChars="0" w:firstLine="640" w:firstLineChars="200"/>
        <w:jc w:val="both"/>
        <w:textAlignment w:val="auto"/>
        <w:outlineLvl w:val="9"/>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pP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3.</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叮某商行</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的民事责任。</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叮某商行</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szCs w:val="20"/>
          <w:u w:val="none"/>
          <w:shd w:val="clear" w:color="auto" w:fill="auto"/>
          <w:lang w:val="en-US" w:eastAsia="zh-CN"/>
        </w:rPr>
        <w:t>未经许可，在其开设的网店销</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售、许诺销售被诉产品的行为已构成对涉案专利权的侵害，</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有赫某公司提供的公证书等证据为证，事实清楚，其</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应当承担侵权责任。鉴于被诉侵权链接已被删除，且无证据证明</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叮某商行</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还存在以其他形式销售、许诺销售被诉侵权产品的行为，本院不再就</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叮某商行</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应承担的停止销售、许诺销售民事责任作出判决，但其仍应承担赔偿损失的民事责任。关于赔偿数额。</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叮某商行</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的侵权获利与</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赫某公司</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的损失同样难以确定。根据</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赫某公司</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提供的证据，</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叮某商行</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在涉案网店销售被诉产品304双，单价199元，销售总额约60000元，考虑符合市场行情的利润率，利润一般不超过法定赔偿下限30000元，且侵权部分为被诉产品的鞋底，仅占鞋子整体设计一部分，该部分对应的侵权获利数额更低。本院结合</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叮某商行</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的销售金额及大致获利、接到</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赫某公司</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的侵权通知后未第一时间删除侵权链接、不存在制造行为等事实，确定</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叮某商行</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赔偿数额（含合理开支）为10000元。</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Autospacing="0" w:afterAutospacing="0" w:line="630" w:lineRule="atLeast"/>
        <w:ind w:left="0" w:leftChars="0" w:right="0" w:rightChars="0" w:firstLine="640" w:firstLineChars="200"/>
        <w:jc w:val="both"/>
        <w:textAlignment w:val="auto"/>
        <w:outlineLvl w:val="9"/>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pP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4.销毁模具及库存问题。因</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赫某公司</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未提供确凿证据证明被诉产品模具及库存的具体情况，故其对</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叮某商行</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苏某</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提出的销毁库存或模具的诉请本院不予支持。</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Autospacing="0" w:afterAutospacing="0" w:line="636" w:lineRule="atLeast"/>
        <w:ind w:left="0" w:leftChars="0" w:right="0" w:rightChars="0" w:firstLine="640" w:firstLineChars="200"/>
        <w:jc w:val="both"/>
        <w:textAlignment w:val="auto"/>
        <w:outlineLvl w:val="9"/>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pP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综上，依照《中华人民共和国民法典》第一百二十条、第一百七十九条第一款第一项、第八项、第一千一百六十八条，《中华人民共和国专利法》第十一条第二款、第六十四条第二款、第七十一条第二款、第三款，《最高人民法院关于审理侵犯专利权纠纷案件应用法律若干问题的解释》第八条、第十条、第十一条，《中华人民共和国民事诉讼法》第六十七条第一款、第一百四十七条</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，《最高人民法院关于适用&lt;中华人民共和国民事诉讼法&gt;的解释》第一百零八条第一款</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的规定，判决如下：</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Autospacing="0" w:afterAutospacing="0" w:line="636" w:lineRule="atLeast"/>
        <w:ind w:left="0" w:leftChars="0" w:right="0" w:rightChars="0" w:firstLine="640" w:firstLineChars="200"/>
        <w:jc w:val="both"/>
        <w:textAlignment w:val="auto"/>
        <w:outlineLvl w:val="9"/>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pP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一、被告</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苏某</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立即停止制造、销售落入专利号为</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2022xxxx6453.2</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、名称为“鞋底（蔚来1号）”的外观设计专利权保护范围产品的行为；</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Autospacing="0" w:afterAutospacing="0" w:line="636" w:lineRule="atLeast"/>
        <w:ind w:left="0" w:leftChars="0" w:right="0" w:rightChars="0" w:firstLine="640" w:firstLineChars="200"/>
        <w:jc w:val="both"/>
        <w:textAlignment w:val="auto"/>
        <w:outlineLvl w:val="9"/>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pP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二、被告</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苏某</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于本判决生效之日起十日内赔偿原告广州市</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赫某鞋业</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有限公司经济损失（含合理开支）30000元；</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Autospacing="0" w:afterAutospacing="0" w:line="636" w:lineRule="atLeast"/>
        <w:ind w:left="0" w:leftChars="0" w:right="0" w:rightChars="0" w:firstLine="640" w:firstLineChars="200"/>
        <w:jc w:val="both"/>
        <w:textAlignment w:val="auto"/>
        <w:outlineLvl w:val="9"/>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pP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三、被告常熟市莫城街道</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叮某服饰</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商行于本判决生效之日起十日内赔偿原告广州市</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赫某鞋业</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有限公司经济损失（含合理开支）10000元；</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Autospacing="0" w:afterAutospacing="0" w:line="636" w:lineRule="atLeast"/>
        <w:ind w:left="0" w:leftChars="0" w:right="0" w:rightChars="0" w:firstLine="640" w:firstLineChars="200"/>
        <w:jc w:val="both"/>
        <w:textAlignment w:val="auto"/>
        <w:outlineLvl w:val="9"/>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pP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四</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、驳回原告广州市</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赫某鞋业</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有限公司的其他诉讼请求。</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Autospacing="0" w:afterAutospacing="0" w:line="636" w:lineRule="atLeast"/>
        <w:ind w:left="0" w:leftChars="0" w:right="0" w:rightChars="0" w:firstLine="640" w:firstLineChars="200"/>
        <w:jc w:val="both"/>
        <w:textAlignment w:val="auto"/>
        <w:outlineLvl w:val="9"/>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pP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如果未按判决指定的期间履行给付金钱义务，应当依照《中华人民共和国民事诉讼法》第二百六十</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四</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条之规定，加倍支付迟延履行期间的债务利息。</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Autospacing="0" w:afterAutospacing="0" w:line="636" w:lineRule="atLeast"/>
        <w:ind w:left="0" w:leftChars="0" w:right="0" w:rightChars="0" w:firstLine="640" w:firstLineChars="200"/>
        <w:jc w:val="both"/>
        <w:textAlignment w:val="auto"/>
        <w:outlineLvl w:val="9"/>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pP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案件受理费1050元，由原告广州市</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赫某鞋业</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有限公司负担105元，被告常熟市莫城街道</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叮某服饰</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商行负担236元，被告</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苏某</w:t>
      </w: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负担709元。</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Autospacing="0" w:afterAutospacing="0" w:line="636" w:lineRule="atLeast"/>
        <w:ind w:left="0" w:leftChars="0" w:right="0" w:rightChars="0" w:firstLine="640" w:firstLineChars="200"/>
        <w:jc w:val="both"/>
        <w:textAlignment w:val="auto"/>
        <w:outlineLvl w:val="9"/>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eastAsia="zh-CN"/>
        </w:rPr>
      </w:pP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如不服本判决，可在判决书送达之日起十五日内，向本院递交上诉状，并按对方当事人的人数提出副本，上诉于浙江省高级人民法院。</w:t>
      </w:r>
    </w:p>
    <w:p>
      <w:pPr>
        <w:wordWrap w:val="0"/>
        <w:spacing w:before="960" w:beforeLines="400" w:line="360" w:lineRule="auto"/>
        <w:ind w:right="960" w:rightChars="300"/>
        <w:jc w:val="right"/>
        <w:rPr>
          <w:rFonts w:hint="eastAsia" w:eastAsia="仿宋_GB2312"/>
          <w:lang w:val="en-US" w:eastAsia="zh-CN"/>
        </w:rPr>
      </w:pPr>
      <w:r>
        <w:rPr>
          <w:rFonts w:hint="eastAsia" w:ascii="仿宋_GB2312" w:hAnsi="宋体" w:eastAsia="仿宋_GB2312"/>
          <w:kern w:val="0"/>
          <w:sz w:val="32"/>
        </w:rPr>
        <w:t>审　　判　　长　　　王　俊</w:t>
      </w:r>
      <w:r>
        <w:rPr>
          <w:rFonts w:ascii="仿宋_GB2312" w:hAnsi="宋体" w:eastAsia="仿宋_GB2312"/>
          <w:kern w:val="0"/>
          <w:sz w:val="32"/>
        </w:rPr>
        <w:br w:type="textWrapping"/>
      </w:r>
      <w:r>
        <w:rPr>
          <w:rFonts w:hint="eastAsia" w:ascii="仿宋_GB2312" w:hAnsi="宋体"/>
          <w:kern w:val="0"/>
          <w:sz w:val="32"/>
          <w:lang w:eastAsia="zh-CN"/>
        </w:rPr>
        <w:t>人</w:t>
      </w:r>
      <w:r>
        <w:rPr>
          <w:rFonts w:hint="eastAsia" w:ascii="仿宋_GB2312" w:hAnsi="宋体"/>
          <w:kern w:val="0"/>
          <w:sz w:val="32"/>
          <w:lang w:val="en-US" w:eastAsia="zh-CN"/>
        </w:rPr>
        <w:t xml:space="preserve"> </w:t>
      </w:r>
      <w:r>
        <w:rPr>
          <w:rFonts w:hint="eastAsia" w:ascii="仿宋_GB2312" w:hAnsi="宋体"/>
          <w:kern w:val="0"/>
          <w:sz w:val="32"/>
          <w:lang w:eastAsia="zh-CN"/>
        </w:rPr>
        <w:t>民</w:t>
      </w:r>
      <w:r>
        <w:rPr>
          <w:rFonts w:hint="eastAsia" w:ascii="仿宋_GB2312" w:hAnsi="宋体"/>
          <w:kern w:val="0"/>
          <w:sz w:val="32"/>
          <w:lang w:val="en-US" w:eastAsia="zh-CN"/>
        </w:rPr>
        <w:t xml:space="preserve"> </w:t>
      </w:r>
      <w:r>
        <w:rPr>
          <w:rFonts w:hint="eastAsia" w:ascii="仿宋_GB2312" w:hAnsi="宋体"/>
          <w:kern w:val="0"/>
          <w:sz w:val="32"/>
          <w:lang w:eastAsia="zh-CN"/>
        </w:rPr>
        <w:t>陪</w:t>
      </w:r>
      <w:r>
        <w:rPr>
          <w:rFonts w:hint="eastAsia" w:ascii="仿宋_GB2312" w:hAnsi="宋体"/>
          <w:kern w:val="0"/>
          <w:sz w:val="32"/>
          <w:lang w:val="en-US" w:eastAsia="zh-CN"/>
        </w:rPr>
        <w:t xml:space="preserve"> </w:t>
      </w:r>
      <w:r>
        <w:rPr>
          <w:rFonts w:hint="eastAsia" w:ascii="仿宋_GB2312" w:hAnsi="宋体"/>
          <w:kern w:val="0"/>
          <w:sz w:val="32"/>
          <w:lang w:eastAsia="zh-CN"/>
        </w:rPr>
        <w:t>审</w:t>
      </w:r>
      <w:r>
        <w:rPr>
          <w:rFonts w:hint="eastAsia" w:ascii="仿宋_GB2312" w:hAnsi="宋体"/>
          <w:kern w:val="0"/>
          <w:sz w:val="32"/>
          <w:lang w:val="en-US" w:eastAsia="zh-CN"/>
        </w:rPr>
        <w:t xml:space="preserve"> </w:t>
      </w:r>
      <w:r>
        <w:rPr>
          <w:rFonts w:hint="eastAsia" w:ascii="仿宋_GB2312" w:hAnsi="宋体"/>
          <w:kern w:val="0"/>
          <w:sz w:val="32"/>
          <w:lang w:eastAsia="zh-CN"/>
        </w:rPr>
        <w:t>员</w:t>
      </w:r>
      <w:r>
        <w:rPr>
          <w:rFonts w:ascii="仿宋_GB2312" w:hAnsi="宋体" w:eastAsia="仿宋_GB2312"/>
          <w:kern w:val="0"/>
          <w:sz w:val="32"/>
        </w:rPr>
        <w:t>　　　</w:t>
      </w:r>
      <w:r>
        <w:rPr>
          <w:rFonts w:hint="eastAsia" w:ascii="仿宋_GB2312" w:hAnsi="宋体"/>
          <w:kern w:val="0"/>
          <w:sz w:val="32"/>
          <w:lang w:eastAsia="zh-CN"/>
        </w:rPr>
        <w:t>郑安义</w:t>
      </w:r>
      <w:r>
        <w:rPr>
          <w:rFonts w:ascii="仿宋_GB2312" w:hAnsi="宋体" w:eastAsia="仿宋_GB2312"/>
          <w:kern w:val="0"/>
          <w:sz w:val="32"/>
        </w:rPr>
        <w:br w:type="textWrapping"/>
      </w:r>
      <w:r>
        <w:rPr>
          <w:rFonts w:ascii="仿宋_GB2312" w:hAnsi="宋体" w:eastAsia="仿宋_GB2312"/>
          <w:kern w:val="0"/>
          <w:sz w:val="32"/>
        </w:rPr>
        <w:t>人 民 陪 审 员　　　</w:t>
      </w:r>
      <w:r>
        <w:rPr>
          <w:rFonts w:hint="eastAsia" w:ascii="仿宋_GB2312" w:hAnsi="宋体"/>
          <w:kern w:val="0"/>
          <w:sz w:val="32"/>
          <w:lang w:eastAsia="zh-CN"/>
        </w:rPr>
        <w:t>梁莉莉</w:t>
      </w:r>
    </w:p>
    <w:p>
      <w:pPr>
        <w:suppressAutoHyphens/>
        <w:bidi w:val="0"/>
        <w:spacing w:before="1920" w:beforeLines="800" w:after="480" w:afterLines="200"/>
        <w:ind w:right="960" w:rightChars="300" w:firstLine="919"/>
        <w:jc w:val="right"/>
        <w:rPr>
          <w:rFonts w:ascii="仿宋_GB2312" w:hAnsi="宋体" w:eastAsia="仿宋_GB2312"/>
          <w:kern w:val="0"/>
          <w:sz w:val="32"/>
          <w:szCs w:val="20"/>
        </w:rPr>
      </w:pPr>
      <w:r>
        <w:rPr>
          <w:rFonts w:hint="eastAsia" w:ascii="仿宋_GB2312" w:hAnsi="宋体" w:eastAsia="仿宋_GB2312"/>
          <w:kern w:val="0"/>
          <w:sz w:val="32"/>
          <w:szCs w:val="20"/>
        </w:rPr>
        <w:t>二○二</w:t>
      </w:r>
      <w:r>
        <w:rPr>
          <w:rFonts w:hint="eastAsia" w:ascii="仿宋_GB2312" w:hAnsi="宋体"/>
          <w:kern w:val="0"/>
          <w:sz w:val="32"/>
          <w:szCs w:val="20"/>
          <w:lang w:eastAsia="zh-CN"/>
        </w:rPr>
        <w:t>四</w:t>
      </w:r>
      <w:r>
        <w:rPr>
          <w:rFonts w:hint="eastAsia" w:ascii="仿宋_GB2312" w:hAnsi="宋体" w:eastAsia="仿宋_GB2312"/>
          <w:kern w:val="0"/>
          <w:sz w:val="32"/>
          <w:szCs w:val="20"/>
        </w:rPr>
        <w:t>年</w:t>
      </w:r>
      <w:r>
        <w:rPr>
          <w:rFonts w:hint="eastAsia" w:ascii="仿宋_GB2312" w:hAnsi="宋体"/>
          <w:kern w:val="0"/>
          <w:sz w:val="32"/>
          <w:szCs w:val="20"/>
          <w:lang w:eastAsia="zh-CN"/>
        </w:rPr>
        <w:t>二</w:t>
      </w:r>
      <w:r>
        <w:rPr>
          <w:rFonts w:hint="eastAsia" w:ascii="仿宋_GB2312" w:hAnsi="宋体" w:eastAsia="仿宋_GB2312"/>
          <w:kern w:val="0"/>
          <w:sz w:val="32"/>
          <w:szCs w:val="20"/>
        </w:rPr>
        <w:t>月</w:t>
      </w:r>
      <w:r>
        <w:rPr>
          <w:rFonts w:hint="eastAsia" w:ascii="仿宋_GB2312" w:hAnsi="宋体"/>
          <w:kern w:val="0"/>
          <w:sz w:val="32"/>
          <w:szCs w:val="20"/>
          <w:lang w:eastAsia="zh-CN"/>
        </w:rPr>
        <w:t>一</w:t>
      </w:r>
      <w:r>
        <w:rPr>
          <w:rFonts w:hint="eastAsia" w:ascii="仿宋_GB2312" w:hAnsi="宋体" w:eastAsia="仿宋_GB2312"/>
          <w:kern w:val="0"/>
          <w:sz w:val="32"/>
          <w:szCs w:val="20"/>
          <w:lang w:eastAsia="zh-CN"/>
        </w:rPr>
        <w:t>日</w:t>
      </w:r>
    </w:p>
    <w:p>
      <w:pPr>
        <w:suppressAutoHyphens/>
        <w:bidi w:val="0"/>
        <w:spacing w:line="560" w:lineRule="exact"/>
        <w:ind w:firstLine="640" w:firstLineChars="200"/>
        <w:rPr>
          <w:rFonts w:ascii="仿宋_GB2312" w:hAnsi="宋体" w:eastAsia="仿宋_GB2312"/>
          <w:kern w:val="0"/>
          <w:sz w:val="32"/>
          <w:szCs w:val="20"/>
        </w:rPr>
      </w:pPr>
      <w:r>
        <w:rPr>
          <w:rFonts w:hint="eastAsia" w:ascii="仿宋_GB2312" w:hAnsi="宋体" w:eastAsia="仿宋_GB2312"/>
          <w:kern w:val="0"/>
          <w:sz w:val="32"/>
          <w:szCs w:val="20"/>
        </w:rPr>
        <w:t>本件与原本核对无异</w:t>
      </w:r>
    </w:p>
    <w:p>
      <w:pPr>
        <w:spacing w:line="600" w:lineRule="exact"/>
        <w:ind w:right="960" w:rightChars="300" w:firstLine="919"/>
        <w:jc w:val="right"/>
        <w:rPr>
          <w:rFonts w:hint="eastAsia" w:ascii="仿宋_GB2312" w:hAnsi="宋体"/>
          <w:kern w:val="0"/>
          <w:sz w:val="32"/>
          <w:szCs w:val="20"/>
          <w:lang w:eastAsia="zh-CN"/>
        </w:rPr>
      </w:pPr>
      <w:r>
        <w:rPr>
          <w:rFonts w:hint="eastAsia" w:ascii="仿宋_GB2312" w:hAnsi="宋体" w:eastAsia="仿宋_GB2312"/>
          <w:kern w:val="0"/>
          <w:sz w:val="32"/>
          <w:szCs w:val="20"/>
        </w:rPr>
        <w:t>法　官　助　理　　　</w:t>
      </w:r>
      <w:r>
        <w:rPr>
          <w:rFonts w:hint="eastAsia" w:ascii="仿宋_GB2312" w:hAnsi="宋体" w:eastAsia="仿宋_GB2312"/>
          <w:kern w:val="0"/>
          <w:sz w:val="32"/>
          <w:szCs w:val="20"/>
          <w:lang w:eastAsia="zh-CN"/>
        </w:rPr>
        <w:t>胡</w:t>
      </w:r>
      <w:r>
        <w:rPr>
          <w:rFonts w:hint="eastAsia" w:ascii="仿宋_GB2312" w:hAnsi="宋体" w:eastAsia="仿宋_GB2312"/>
          <w:kern w:val="0"/>
          <w:sz w:val="32"/>
          <w:szCs w:val="20"/>
          <w:lang w:val="en-US" w:eastAsia="zh-CN"/>
        </w:rPr>
        <w:t xml:space="preserve">  </w:t>
      </w:r>
      <w:r>
        <w:rPr>
          <w:rFonts w:hint="eastAsia" w:ascii="仿宋_GB2312" w:hAnsi="宋体" w:eastAsia="仿宋_GB2312"/>
          <w:kern w:val="0"/>
          <w:sz w:val="32"/>
          <w:szCs w:val="20"/>
          <w:lang w:eastAsia="zh-CN"/>
        </w:rPr>
        <w:t>斌</w:t>
      </w:r>
      <w:r>
        <w:rPr>
          <w:rFonts w:ascii="仿宋_GB2312" w:hAnsi="宋体" w:eastAsia="仿宋_GB2312"/>
          <w:kern w:val="0"/>
          <w:sz w:val="32"/>
          <w:szCs w:val="20"/>
        </w:rPr>
        <w:br w:type="textWrapping"/>
      </w:r>
      <w:r>
        <w:rPr>
          <w:rFonts w:ascii="仿宋_GB2312" w:hAnsi="宋体" w:eastAsia="仿宋_GB2312"/>
          <w:kern w:val="0"/>
          <w:sz w:val="32"/>
          <w:szCs w:val="20"/>
        </w:rPr>
        <w:t>代　书　记　员　　　</w:t>
      </w:r>
      <w:r>
        <w:rPr>
          <w:rFonts w:hint="eastAsia" w:ascii="仿宋_GB2312" w:hAnsi="宋体"/>
          <w:kern w:val="0"/>
          <w:sz w:val="32"/>
          <w:szCs w:val="20"/>
          <w:lang w:eastAsia="zh-CN"/>
        </w:rPr>
        <w:t>叶斯斯</w:t>
      </w:r>
    </w:p>
    <w:p>
      <w:pPr>
        <w:pStyle w:val="2"/>
        <w:rPr>
          <w:rFonts w:hint="eastAsia" w:ascii="仿宋_GB2312" w:hAnsi="宋体"/>
          <w:kern w:val="0"/>
          <w:sz w:val="32"/>
          <w:szCs w:val="20"/>
          <w:lang w:eastAsia="zh-CN"/>
        </w:rPr>
      </w:pPr>
    </w:p>
    <w:p>
      <w:pPr>
        <w:pStyle w:val="2"/>
        <w:rPr>
          <w:rFonts w:hint="eastAsia" w:ascii="仿宋_GB2312" w:hAnsi="宋体"/>
          <w:kern w:val="0"/>
          <w:sz w:val="32"/>
          <w:szCs w:val="20"/>
          <w:lang w:eastAsia="zh-CN"/>
        </w:rPr>
      </w:pPr>
    </w:p>
    <w:p>
      <w:pPr>
        <w:pStyle w:val="2"/>
        <w:rPr>
          <w:rFonts w:hint="eastAsia" w:ascii="仿宋_GB2312" w:hAnsi="宋体"/>
          <w:kern w:val="0"/>
          <w:sz w:val="32"/>
          <w:szCs w:val="20"/>
          <w:lang w:eastAsia="zh-CN"/>
        </w:rPr>
      </w:pPr>
    </w:p>
    <w:p>
      <w:pPr>
        <w:pStyle w:val="2"/>
        <w:rPr>
          <w:rFonts w:hint="eastAsia" w:ascii="仿宋_GB2312" w:hAnsi="宋体"/>
          <w:kern w:val="0"/>
          <w:sz w:val="32"/>
          <w:szCs w:val="20"/>
          <w:lang w:eastAsia="zh-CN"/>
        </w:rPr>
      </w:pPr>
    </w:p>
    <w:p>
      <w:pPr>
        <w:pStyle w:val="2"/>
        <w:rPr>
          <w:rFonts w:hint="eastAsia" w:ascii="仿宋_GB2312" w:hAnsi="宋体"/>
          <w:kern w:val="0"/>
          <w:sz w:val="32"/>
          <w:szCs w:val="20"/>
          <w:lang w:eastAsia="zh-CN"/>
        </w:rPr>
      </w:pPr>
    </w:p>
    <w:p>
      <w:pPr>
        <w:pStyle w:val="2"/>
        <w:rPr>
          <w:rFonts w:hint="eastAsia" w:ascii="仿宋_GB2312" w:hAnsi="宋体"/>
          <w:kern w:val="0"/>
          <w:sz w:val="32"/>
          <w:szCs w:val="20"/>
          <w:lang w:eastAsia="zh-CN"/>
        </w:rPr>
      </w:pPr>
    </w:p>
    <w:p>
      <w:pPr>
        <w:pStyle w:val="2"/>
        <w:rPr>
          <w:rFonts w:hint="eastAsia" w:ascii="仿宋_GB2312" w:hAnsi="宋体"/>
          <w:kern w:val="0"/>
          <w:sz w:val="32"/>
          <w:szCs w:val="20"/>
          <w:lang w:eastAsia="zh-CN"/>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adjustRightInd/>
        <w:snapToGrid/>
        <w:spacing w:beforeAutospacing="0" w:afterAutospacing="0" w:line="560" w:lineRule="exact"/>
        <w:ind w:right="0" w:rightChars="0"/>
        <w:jc w:val="both"/>
        <w:textAlignment w:val="auto"/>
        <w:outlineLvl w:val="9"/>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eastAsia="zh-CN"/>
        </w:rPr>
      </w:pP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eastAsia="zh-CN"/>
        </w:rPr>
        <w:t>附图：</w:t>
      </w:r>
    </w:p>
    <w:p>
      <w:pPr>
        <w:pStyle w:val="2"/>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eastAsia="zh-CN"/>
        </w:rPr>
      </w:pPr>
    </w:p>
    <w:p>
      <w:pPr>
        <w:pStyle w:val="2"/>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eastAsia="zh-CN"/>
        </w:rPr>
      </w:pP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 xml:space="preserve">       </w:t>
      </w:r>
      <w:r>
        <w:rPr>
          <w:rFonts w:hint="default"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drawing>
          <wp:inline distT="0" distB="0" distL="114300" distR="114300">
            <wp:extent cx="4276725" cy="2640330"/>
            <wp:effectExtent l="0" t="0" r="9525" b="7620"/>
            <wp:docPr id="1" name="图片 6"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01"/>
                    <pic:cNvPicPr>
                      <a:picLocks noChangeAspect="1"/>
                    </pic:cNvPicPr>
                  </pic:nvPicPr>
                  <pic:blipFill>
                    <a:blip r:embed="rId8"/>
                    <a:stretch>
                      <a:fillRect/>
                    </a:stretch>
                  </pic:blipFill>
                  <pic:spPr>
                    <a:xfrm>
                      <a:off x="0" y="0"/>
                      <a:ext cx="4276725" cy="2640330"/>
                    </a:xfrm>
                    <a:prstGeom prst="rect">
                      <a:avLst/>
                    </a:prstGeom>
                    <a:noFill/>
                    <a:ln>
                      <a:noFill/>
                    </a:ln>
                  </pic:spPr>
                </pic:pic>
              </a:graphicData>
            </a:graphic>
          </wp:inline>
        </w:drawing>
      </w:r>
    </w:p>
    <w:p>
      <w:pPr>
        <w:pStyle w:val="2"/>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pP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 xml:space="preserve">                                    </w:t>
      </w:r>
    </w:p>
    <w:p>
      <w:pPr>
        <w:pStyle w:val="2"/>
        <w:ind w:firstLine="1920" w:firstLineChars="600"/>
        <w:jc w:val="both"/>
        <w:rPr>
          <w:rFonts w:hint="default"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pP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eastAsia="zh-CN"/>
        </w:rPr>
        <w:t>涉案授权外观设计专利立体图</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1</w:t>
      </w:r>
    </w:p>
    <w:p>
      <w:pPr>
        <w:pStyle w:val="2"/>
        <w:ind w:firstLine="1600" w:firstLineChars="500"/>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eastAsia="zh-CN"/>
        </w:rPr>
      </w:pPr>
    </w:p>
    <w:p>
      <w:pPr>
        <w:pStyle w:val="2"/>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eastAsia="zh-CN"/>
        </w:rPr>
      </w:pP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 xml:space="preserve">        </w:t>
      </w: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eastAsia="zh-CN"/>
        </w:rPr>
        <w:drawing>
          <wp:inline distT="0" distB="0" distL="114300" distR="114300">
            <wp:extent cx="3896995" cy="2849245"/>
            <wp:effectExtent l="0" t="0" r="8255" b="8255"/>
            <wp:docPr id="2" name="图片 2" descr="截图20240108152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截图20240108152918"/>
                    <pic:cNvPicPr>
                      <a:picLocks noChangeAspect="1"/>
                    </pic:cNvPicPr>
                  </pic:nvPicPr>
                  <pic:blipFill>
                    <a:blip r:embed="rId9"/>
                    <a:stretch>
                      <a:fillRect/>
                    </a:stretch>
                  </pic:blipFill>
                  <pic:spPr>
                    <a:xfrm>
                      <a:off x="0" y="0"/>
                      <a:ext cx="3896995" cy="2849245"/>
                    </a:xfrm>
                    <a:prstGeom prst="rect">
                      <a:avLst/>
                    </a:prstGeom>
                    <a:noFill/>
                    <a:ln>
                      <a:noFill/>
                    </a:ln>
                  </pic:spPr>
                </pic:pic>
              </a:graphicData>
            </a:graphic>
          </wp:inline>
        </w:drawing>
      </w:r>
    </w:p>
    <w:p>
      <w:pPr>
        <w:pStyle w:val="2"/>
        <w:ind w:firstLine="1280" w:firstLineChars="400"/>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eastAsia="zh-CN"/>
        </w:rPr>
      </w:pP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 xml:space="preserve">      </w:t>
      </w:r>
    </w:p>
    <w:p>
      <w:pPr>
        <w:pStyle w:val="2"/>
        <w:ind w:firstLine="2560" w:firstLineChars="800"/>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pPr>
      <w:r>
        <w:rPr>
          <w:rFonts w:hint="eastAsia" w:ascii="仿宋_GB2312" w:hAnsi="宋体"/>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val="en-US" w:eastAsia="zh-CN"/>
        </w:rPr>
        <w:t xml:space="preserve">     涉案被诉产品</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adjustRightInd/>
        <w:snapToGrid/>
        <w:spacing w:beforeAutospacing="0" w:afterAutospacing="0" w:line="560" w:lineRule="exact"/>
        <w:ind w:right="0" w:rightChars="0"/>
        <w:jc w:val="both"/>
        <w:textAlignment w:val="auto"/>
        <w:outlineLvl w:val="9"/>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szCs w:val="32"/>
          <w:u w:val="none"/>
          <w:shd w:val="clear" w:color="auto" w:fill="auto"/>
          <w:lang w:eastAsia="zh-CN"/>
        </w:rPr>
      </w:pP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eastAsia="zh-CN"/>
        </w:rPr>
        <w:t>附文：</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adjustRightInd/>
        <w:snapToGrid/>
        <w:spacing w:beforeAutospacing="0" w:afterAutospacing="0" w:line="560" w:lineRule="exact"/>
        <w:ind w:left="0" w:leftChars="0" w:right="0" w:rightChars="0" w:firstLine="640" w:firstLineChars="200"/>
        <w:jc w:val="both"/>
        <w:textAlignment w:val="auto"/>
        <w:outlineLvl w:val="9"/>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szCs w:val="36"/>
          <w:u w:val="none"/>
          <w:shd w:val="clear" w:color="auto" w:fill="auto"/>
          <w:lang w:eastAsia="zh-CN"/>
        </w:rPr>
      </w:pP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eastAsia="zh-CN"/>
        </w:rPr>
        <w:t>一、不履行裁判惩戒后果警示</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adjustRightInd/>
        <w:snapToGrid/>
        <w:spacing w:beforeAutospacing="0" w:afterAutospacing="0" w:line="560" w:lineRule="exact"/>
        <w:ind w:left="0" w:leftChars="0" w:right="0" w:rightChars="0" w:firstLine="640" w:firstLineChars="200"/>
        <w:jc w:val="both"/>
        <w:textAlignment w:val="auto"/>
        <w:outlineLvl w:val="9"/>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szCs w:val="32"/>
          <w:u w:val="none"/>
          <w:shd w:val="clear" w:color="auto" w:fill="auto"/>
          <w:lang w:eastAsia="zh-CN"/>
        </w:rPr>
      </w:pP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eastAsia="zh-CN"/>
        </w:rPr>
        <w:t>1. 【追究刑事责任告知】义务人拒不报告财产、虚假报告财产、违反限制消费令，义务人或其他相关人员拒不腾退涉案房屋、土地，或具有非法处置查封、扣押、冻结的财产、虚假诉讼、拒不交出执行标的或财产等抗拒执行行为的，法院将视情予以罚款、拘留；情节严重的，移送公安机关追究刑事责任。权利人在一定条件下，可以自诉追究行为人的刑事责任。</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adjustRightInd/>
        <w:snapToGrid/>
        <w:spacing w:beforeAutospacing="0" w:afterAutospacing="0" w:line="560" w:lineRule="exact"/>
        <w:ind w:left="0" w:leftChars="0" w:right="0" w:rightChars="0" w:firstLine="640" w:firstLineChars="200"/>
        <w:jc w:val="both"/>
        <w:textAlignment w:val="auto"/>
        <w:outlineLvl w:val="9"/>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szCs w:val="32"/>
          <w:u w:val="none"/>
          <w:shd w:val="clear" w:color="auto" w:fill="auto"/>
          <w:lang w:eastAsia="zh-CN"/>
        </w:rPr>
      </w:pP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eastAsia="zh-CN"/>
        </w:rPr>
        <w:t>2．【报告财产义务、拒不履行后果告知】执行期间，义务人必须向执行法院如实报告财产，拒不报告又不履行的，法院将视情节轻重采取纳入失信名单、限制出入境、罚款、拘留等措施；义务人报告财产不实的，法院将予以罚款、拘留；单位为被执行人，可视情同时对该单位的法定代表人、主要负责人、影响债务履行的直接责任人员、实际控制人予以罚款、拘留。</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adjustRightInd/>
        <w:snapToGrid/>
        <w:spacing w:beforeAutospacing="0" w:afterAutospacing="0" w:line="560" w:lineRule="exact"/>
        <w:ind w:left="0" w:leftChars="0" w:right="0" w:rightChars="0" w:firstLine="640" w:firstLineChars="200"/>
        <w:jc w:val="both"/>
        <w:textAlignment w:val="auto"/>
        <w:outlineLvl w:val="9"/>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szCs w:val="32"/>
          <w:u w:val="none"/>
          <w:shd w:val="clear" w:color="auto" w:fill="auto"/>
          <w:lang w:eastAsia="zh-CN"/>
        </w:rPr>
      </w:pP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eastAsia="zh-CN"/>
        </w:rPr>
        <w:t>3.【交付车辆义务告知】义务人应当将名下的车辆等动产移交执行法院。拒不移交的，法院将予以罚款、拘留；确有正当理由无法移交的，义务人应当向执行法院书面报告车辆等动产的权属和占有、使用等情况。</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adjustRightInd/>
        <w:snapToGrid/>
        <w:spacing w:beforeAutospacing="0" w:afterAutospacing="0" w:line="560" w:lineRule="exact"/>
        <w:ind w:left="0" w:leftChars="0" w:right="0" w:rightChars="0" w:firstLine="640" w:firstLineChars="200"/>
        <w:jc w:val="both"/>
        <w:textAlignment w:val="auto"/>
        <w:outlineLvl w:val="9"/>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szCs w:val="32"/>
          <w:u w:val="none"/>
          <w:shd w:val="clear" w:color="auto" w:fill="auto"/>
          <w:lang w:eastAsia="zh-CN"/>
        </w:rPr>
      </w:pP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eastAsia="zh-CN"/>
        </w:rPr>
        <w:t>4．【限制消费、强制执行措施告知】案件立案执行后，人民法院将对义务人采取限制高消费及非生活或者经营必需的有关消费措施（含禁止乘坐飞机、G字头高铁、在星级以上酒店消费、旅游度假、子女就读高收费私立学校等），并有权对义务人的财产采取查封、扣押、冻结、拍卖、变卖等强制性措施。</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adjustRightInd/>
        <w:snapToGrid/>
        <w:spacing w:beforeAutospacing="0" w:afterAutospacing="0" w:line="560" w:lineRule="exact"/>
        <w:ind w:left="0" w:leftChars="0" w:right="0" w:rightChars="0" w:firstLine="640" w:firstLineChars="200"/>
        <w:jc w:val="both"/>
        <w:textAlignment w:val="auto"/>
        <w:outlineLvl w:val="9"/>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szCs w:val="32"/>
          <w:u w:val="none"/>
          <w:shd w:val="clear" w:color="auto" w:fill="auto"/>
          <w:lang w:eastAsia="zh-CN"/>
        </w:rPr>
      </w:pP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eastAsia="zh-CN"/>
        </w:rPr>
        <w:t>5．【特殊身份执行措施告知】义务人具有中共党员、人大代表、政协委员、公职人员等特殊身份，执行立案后拒不履行义务的，人民法院将向其所在单位及纪律监察部门、组织人事部门通报失信行为，并严格采取惩戒、制裁措施。</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adjustRightInd/>
        <w:snapToGrid/>
        <w:spacing w:beforeAutospacing="0" w:afterAutospacing="0" w:line="560" w:lineRule="exact"/>
        <w:ind w:left="0" w:leftChars="0" w:right="0" w:rightChars="0" w:firstLine="640" w:firstLineChars="200"/>
        <w:jc w:val="both"/>
        <w:textAlignment w:val="auto"/>
        <w:outlineLvl w:val="9"/>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szCs w:val="32"/>
          <w:u w:val="none"/>
          <w:shd w:val="clear" w:color="auto" w:fill="auto"/>
          <w:lang w:eastAsia="zh-CN"/>
        </w:rPr>
      </w:pP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eastAsia="zh-CN"/>
        </w:rPr>
        <w:t>6．【迟延履行债务利息、执行费用告知】案件立案执行后，义务人除应当履行生效法律文书确定的债务外，还需加倍支付迟延履行期间的债务利息或迟延履行金，直至债务清偿完毕之日止，并应承担执行费和因执行程序产生的申请执行费、评估费、保管费等。</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adjustRightInd/>
        <w:snapToGrid/>
        <w:spacing w:beforeAutospacing="0" w:afterAutospacing="0" w:line="560" w:lineRule="exact"/>
        <w:ind w:left="0" w:leftChars="0" w:right="0" w:rightChars="0" w:firstLine="640" w:firstLineChars="200"/>
        <w:jc w:val="both"/>
        <w:textAlignment w:val="auto"/>
        <w:outlineLvl w:val="9"/>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szCs w:val="32"/>
          <w:u w:val="none"/>
          <w:shd w:val="clear" w:color="auto" w:fill="auto"/>
          <w:lang w:eastAsia="zh-CN"/>
        </w:rPr>
      </w:pP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eastAsia="zh-CN"/>
        </w:rPr>
        <w:t>7．【强制执行信用污点告知】义务人未在法律文书确定的期限内自动履行，一旦案件立案执行，义务人的被执行信息将成为信用污点，并被人民银行征信系统、各级信用信息平台记录在案。</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adjustRightInd/>
        <w:snapToGrid/>
        <w:spacing w:beforeAutospacing="0" w:afterAutospacing="0" w:line="560" w:lineRule="exact"/>
        <w:ind w:left="0" w:leftChars="0" w:right="0" w:rightChars="0" w:firstLine="640" w:firstLineChars="200"/>
        <w:jc w:val="both"/>
        <w:textAlignment w:val="auto"/>
        <w:outlineLvl w:val="9"/>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szCs w:val="36"/>
          <w:u w:val="none"/>
          <w:shd w:val="clear" w:color="auto" w:fill="auto"/>
          <w:lang w:eastAsia="zh-CN"/>
        </w:rPr>
      </w:pP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eastAsia="zh-CN"/>
        </w:rPr>
        <w:t>二、执行风险告知</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adjustRightInd/>
        <w:snapToGrid/>
        <w:spacing w:beforeAutospacing="0" w:afterAutospacing="0" w:line="560" w:lineRule="exact"/>
        <w:ind w:left="0" w:leftChars="0" w:right="0" w:rightChars="0" w:firstLine="640" w:firstLineChars="200"/>
        <w:jc w:val="both"/>
        <w:textAlignment w:val="auto"/>
        <w:outlineLvl w:val="9"/>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szCs w:val="32"/>
          <w:u w:val="none"/>
          <w:shd w:val="clear" w:color="auto" w:fill="auto"/>
          <w:lang w:eastAsia="zh-CN"/>
        </w:rPr>
      </w:pP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eastAsia="zh-CN"/>
        </w:rPr>
        <w:t>1．【申请保全、提供线索告知】权利人在诉讼过程中可以申请对义务人的财产采取保全措施，并尽可能地调查了解义务人的财产状况以及下落情况，积极向法院提供义务人的财产、下落线索，以提高财产保全和送达效率，提升生效法律文书的实际执行效果。</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adjustRightInd/>
        <w:snapToGrid/>
        <w:spacing w:beforeAutospacing="0" w:afterAutospacing="0" w:line="560" w:lineRule="exact"/>
        <w:ind w:left="0" w:leftChars="0" w:right="0" w:rightChars="0" w:firstLine="640" w:firstLineChars="200"/>
        <w:jc w:val="both"/>
        <w:textAlignment w:val="auto"/>
        <w:outlineLvl w:val="9"/>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szCs w:val="32"/>
          <w:u w:val="none"/>
          <w:shd w:val="clear" w:color="auto" w:fill="auto"/>
          <w:lang w:eastAsia="zh-CN"/>
        </w:rPr>
      </w:pP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eastAsia="zh-CN"/>
        </w:rPr>
        <w:t>2．【申请破产权利告知】权利人发现企业法人不能清偿到期债务，且资产不足以清偿全部债务或者明显缺乏清偿能力的，可以直接向企业住所地法院提出破产重整或者破产清算的申请。</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adjustRightInd/>
        <w:snapToGrid/>
        <w:spacing w:beforeAutospacing="0" w:afterAutospacing="0" w:line="560" w:lineRule="exact"/>
        <w:ind w:left="0" w:leftChars="0" w:right="0" w:rightChars="0" w:firstLine="640" w:firstLineChars="200"/>
        <w:jc w:val="both"/>
        <w:textAlignment w:val="auto"/>
        <w:outlineLvl w:val="9"/>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szCs w:val="32"/>
          <w:u w:val="none"/>
          <w:shd w:val="clear" w:color="auto" w:fill="auto"/>
          <w:lang w:eastAsia="zh-CN"/>
        </w:rPr>
      </w:pP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eastAsia="zh-CN"/>
        </w:rPr>
        <w:t>3．【权利人申请执行期限告知】义务人未按期履行生效法律文书确定内容的，权利人应在法律文书生效之日或法律文书确定的履行期限届满之日起两年内向人民法院申请执行。</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adjustRightInd/>
        <w:snapToGrid/>
        <w:spacing w:beforeAutospacing="0" w:afterAutospacing="0" w:line="560" w:lineRule="exact"/>
        <w:ind w:left="0" w:leftChars="0" w:right="0" w:rightChars="0" w:firstLine="640" w:firstLineChars="200"/>
        <w:jc w:val="both"/>
        <w:textAlignment w:val="auto"/>
        <w:outlineLvl w:val="9"/>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szCs w:val="32"/>
          <w:u w:val="none"/>
          <w:shd w:val="clear" w:color="auto" w:fill="auto"/>
          <w:lang w:eastAsia="zh-CN"/>
        </w:rPr>
      </w:pP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eastAsia="zh-CN"/>
        </w:rPr>
        <w:t>4．【执行不能风险告知】申请执行具有执行风险，权利人应当有执行风险意识。人民法院依照法定程序执行，如义务人已丧失履行法律文书确定义务的能力，且权利人又无法对义务人进行财产举证，将可能导致案件无法执行到位。这种后果是法院与权利人都不愿意发生的，但这是当事人商业风险、交易风险在执行阶段的继续，权利人应知悉并理解此类执行不能的风险。</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adjustRightInd/>
        <w:snapToGrid/>
        <w:spacing w:beforeAutospacing="0" w:afterAutospacing="0" w:line="560" w:lineRule="exact"/>
        <w:ind w:left="0" w:leftChars="0" w:right="0" w:rightChars="0" w:firstLine="640" w:firstLineChars="200"/>
        <w:jc w:val="both"/>
        <w:textAlignment w:val="auto"/>
        <w:outlineLvl w:val="9"/>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szCs w:val="32"/>
          <w:u w:val="none"/>
          <w:shd w:val="clear" w:color="auto" w:fill="auto"/>
          <w:lang w:eastAsia="zh-CN"/>
        </w:rPr>
      </w:pP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eastAsia="zh-CN"/>
        </w:rPr>
        <w:t>注：义务人是指应当履行生效法律文书内容的债务人、被执行人；权利人是指享有生效法律文书赋予权利的债权人、申请执行人。</w:t>
      </w:r>
    </w:p>
    <w:sectPr>
      <w:headerReference r:id="rId3" w:type="default"/>
      <w:footerReference r:id="rId5" w:type="default"/>
      <w:headerReference r:id="rId4" w:type="even"/>
      <w:footerReference r:id="rId6" w:type="even"/>
      <w:pgSz w:w="11907" w:h="16839"/>
      <w:pgMar w:top="2041" w:right="1134" w:bottom="2041" w:left="1701" w:header="1361" w:footer="1361" w:gutter="0"/>
      <w:lnNumType w:countBy="0"/>
      <w:pgNumType w:fmt="numberInDash"/>
      <w:cols w:space="720" w:num="1"/>
      <w:rtlGutter w:val="0"/>
      <w:docGrid w:linePitch="5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tabs>
        <w:tab w:val="center" w:pos="4153"/>
        <w:tab w:val="right" w:pos="8306"/>
      </w:tabs>
      <w:suppressAutoHyphens w:val="0"/>
      <w:kinsoku/>
      <w:wordWrap/>
      <w:overflowPunct/>
      <w:topLinePunct w:val="0"/>
      <w:autoSpaceDE/>
      <w:autoSpaceDN/>
      <w:adjustRightInd/>
      <w:snapToGrid w:val="0"/>
      <w:spacing w:beforeAutospacing="0" w:afterAutospacing="0" w:line="240" w:lineRule="auto"/>
      <w:ind w:left="0" w:leftChars="0" w:right="640" w:rightChars="200" w:firstLine="0" w:firstLineChars="0"/>
      <w:jc w:val="right"/>
      <w:textAlignment w:val="auto"/>
      <w:outlineLvl w:val="9"/>
      <w:rPr>
        <w:rFonts w:hint="eastAsia" w:ascii="宋体" w:hAnsi="宋体" w:eastAsia="宋体" w:cs="宋体"/>
        <w:b w:val="0"/>
        <w:i w:val="0"/>
        <w:caps w:val="0"/>
        <w:smallCaps w:val="0"/>
        <w:strike w:val="0"/>
        <w:dstrike w:val="0"/>
        <w:outline w:val="0"/>
        <w:shadow w:val="0"/>
        <w:emboss w:val="0"/>
        <w:imprint w:val="0"/>
        <w:snapToGrid/>
        <w:vanish w:val="0"/>
        <w:spacing w:val="0"/>
        <w:w w:val="100"/>
        <w:kern w:val="2"/>
        <w:position w:val="0"/>
        <w:sz w:val="28"/>
        <w:szCs w:val="28"/>
        <w:u w:val="none"/>
        <w:shd w:val="clear" w:color="auto" w:fill="auto"/>
      </w:rPr>
    </w:pPr>
    <w:r>
      <w:rPr>
        <w:rFonts w:hint="eastAsia" w:ascii="宋体" w:hAnsi="宋体" w:eastAsia="宋体" w:cs="宋体"/>
        <w:b w:val="0"/>
        <w:i w:val="0"/>
        <w:caps w:val="0"/>
        <w:smallCaps w:val="0"/>
        <w:strike w:val="0"/>
        <w:dstrike w:val="0"/>
        <w:outline w:val="0"/>
        <w:shadow w:val="0"/>
        <w:emboss w:val="0"/>
        <w:imprint w:val="0"/>
        <w:snapToGrid/>
        <w:vanish w:val="0"/>
        <w:spacing w:val="0"/>
        <w:w w:val="100"/>
        <w:kern w:val="2"/>
        <w:position w:val="0"/>
        <w:sz w:val="28"/>
        <w:szCs w:val="28"/>
        <w:u w:val="none"/>
        <w:shd w:val="clear" w:color="auto" w:fill="auto"/>
        <w:lang w:eastAsia="zh-CN" w:bidi="ar"/>
      </w:rPr>
      <w:fldChar w:fldCharType="begin"/>
    </w:r>
    <w:r>
      <w:rPr>
        <w:rStyle w:val="9"/>
        <w:rFonts w:hint="eastAsia" w:ascii="宋体" w:hAnsi="宋体" w:eastAsia="宋体" w:cs="宋体"/>
        <w:b w:val="0"/>
        <w:i w:val="0"/>
        <w:caps w:val="0"/>
        <w:smallCaps w:val="0"/>
        <w:strike w:val="0"/>
        <w:dstrike w:val="0"/>
        <w:outline w:val="0"/>
        <w:shadow w:val="0"/>
        <w:emboss w:val="0"/>
        <w:imprint w:val="0"/>
        <w:snapToGrid/>
        <w:vanish w:val="0"/>
        <w:spacing w:val="0"/>
        <w:w w:val="100"/>
        <w:kern w:val="2"/>
        <w:position w:val="0"/>
        <w:sz w:val="28"/>
        <w:szCs w:val="28"/>
        <w:u w:val="none"/>
        <w:shd w:val="clear" w:color="auto" w:fill="auto"/>
        <w:lang w:eastAsia="zh-CN" w:bidi="ar"/>
      </w:rPr>
      <w:instrText xml:space="preserve"> PAGE  \* ArabicDash </w:instrText>
    </w:r>
    <w:r>
      <w:rPr>
        <w:rFonts w:hint="eastAsia" w:ascii="宋体" w:hAnsi="宋体" w:eastAsia="宋体" w:cs="宋体"/>
        <w:b w:val="0"/>
        <w:i w:val="0"/>
        <w:caps w:val="0"/>
        <w:smallCaps w:val="0"/>
        <w:strike w:val="0"/>
        <w:dstrike w:val="0"/>
        <w:outline w:val="0"/>
        <w:shadow w:val="0"/>
        <w:emboss w:val="0"/>
        <w:imprint w:val="0"/>
        <w:snapToGrid/>
        <w:vanish w:val="0"/>
        <w:spacing w:val="0"/>
        <w:w w:val="100"/>
        <w:kern w:val="2"/>
        <w:position w:val="0"/>
        <w:sz w:val="28"/>
        <w:szCs w:val="28"/>
        <w:u w:val="none"/>
        <w:shd w:val="clear" w:color="auto" w:fill="auto"/>
        <w:lang w:eastAsia="zh-CN" w:bidi="ar"/>
      </w:rPr>
      <w:fldChar w:fldCharType="separate"/>
    </w:r>
    <w:r>
      <w:rPr>
        <w:rStyle w:val="9"/>
        <w:rFonts w:hint="eastAsia" w:ascii="宋体" w:hAnsi="宋体" w:eastAsia="宋体" w:cs="宋体"/>
        <w:b w:val="0"/>
        <w:i w:val="0"/>
        <w:caps w:val="0"/>
        <w:smallCaps w:val="0"/>
        <w:strike w:val="0"/>
        <w:dstrike w:val="0"/>
        <w:outline w:val="0"/>
        <w:shadow w:val="0"/>
        <w:emboss w:val="0"/>
        <w:imprint w:val="0"/>
        <w:snapToGrid/>
        <w:vanish w:val="0"/>
        <w:spacing w:val="0"/>
        <w:w w:val="100"/>
        <w:kern w:val="2"/>
        <w:position w:val="0"/>
        <w:sz w:val="28"/>
        <w:szCs w:val="28"/>
        <w:u w:val="none"/>
        <w:shd w:val="clear" w:color="auto" w:fill="auto"/>
        <w:lang w:eastAsia="zh-CN" w:bidi="ar"/>
      </w:rPr>
      <w:t>- 1 -</w:t>
    </w:r>
    <w:r>
      <w:rPr>
        <w:rFonts w:hint="eastAsia" w:ascii="宋体" w:hAnsi="宋体" w:eastAsia="宋体" w:cs="宋体"/>
        <w:b w:val="0"/>
        <w:i w:val="0"/>
        <w:caps w:val="0"/>
        <w:smallCaps w:val="0"/>
        <w:strike w:val="0"/>
        <w:dstrike w:val="0"/>
        <w:outline w:val="0"/>
        <w:shadow w:val="0"/>
        <w:emboss w:val="0"/>
        <w:imprint w:val="0"/>
        <w:snapToGrid/>
        <w:vanish w:val="0"/>
        <w:spacing w:val="0"/>
        <w:w w:val="100"/>
        <w:kern w:val="2"/>
        <w:position w:val="0"/>
        <w:sz w:val="28"/>
        <w:szCs w:val="28"/>
        <w:u w:val="none"/>
        <w:shd w:val="clear" w:color="auto" w:fill="auto"/>
        <w:lang w:eastAsia="zh-CN" w:bidi="a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tabs>
        <w:tab w:val="center" w:pos="4153"/>
        <w:tab w:val="right" w:pos="8306"/>
      </w:tabs>
      <w:suppressAutoHyphens w:val="0"/>
      <w:kinsoku/>
      <w:wordWrap/>
      <w:overflowPunct/>
      <w:topLinePunct w:val="0"/>
      <w:autoSpaceDE/>
      <w:autoSpaceDN/>
      <w:adjustRightInd/>
      <w:snapToGrid w:val="0"/>
      <w:spacing w:beforeAutospacing="0" w:afterAutospacing="0" w:line="240" w:lineRule="auto"/>
      <w:ind w:left="640" w:leftChars="200" w:right="0" w:rightChars="0" w:firstLine="0" w:firstLineChars="0"/>
      <w:jc w:val="left"/>
      <w:textAlignment w:val="auto"/>
      <w:outlineLvl w:val="9"/>
      <w:rPr>
        <w:rFonts w:hint="eastAsia" w:ascii="宋体" w:hAnsi="宋体" w:eastAsia="宋体" w:cs="宋体"/>
        <w:b w:val="0"/>
        <w:i w:val="0"/>
        <w:caps w:val="0"/>
        <w:smallCaps w:val="0"/>
        <w:strike w:val="0"/>
        <w:dstrike w:val="0"/>
        <w:outline w:val="0"/>
        <w:shadow w:val="0"/>
        <w:emboss w:val="0"/>
        <w:imprint w:val="0"/>
        <w:snapToGrid/>
        <w:vanish w:val="0"/>
        <w:spacing w:val="0"/>
        <w:w w:val="100"/>
        <w:kern w:val="2"/>
        <w:position w:val="0"/>
        <w:sz w:val="28"/>
        <w:szCs w:val="28"/>
        <w:u w:val="none"/>
        <w:shd w:val="clear" w:color="auto" w:fill="auto"/>
      </w:rPr>
    </w:pPr>
    <w:r>
      <w:rPr>
        <w:rFonts w:hint="eastAsia" w:ascii="宋体" w:hAnsi="宋体" w:eastAsia="宋体" w:cs="宋体"/>
        <w:b w:val="0"/>
        <w:i w:val="0"/>
        <w:caps w:val="0"/>
        <w:smallCaps w:val="0"/>
        <w:strike w:val="0"/>
        <w:dstrike w:val="0"/>
        <w:outline w:val="0"/>
        <w:shadow w:val="0"/>
        <w:emboss w:val="0"/>
        <w:imprint w:val="0"/>
        <w:snapToGrid/>
        <w:vanish w:val="0"/>
        <w:spacing w:val="0"/>
        <w:w w:val="100"/>
        <w:kern w:val="2"/>
        <w:position w:val="0"/>
        <w:sz w:val="28"/>
        <w:szCs w:val="28"/>
        <w:u w:val="none"/>
        <w:shd w:val="clear" w:color="auto" w:fill="auto"/>
        <w:lang w:eastAsia="zh-CN" w:bidi="ar"/>
      </w:rPr>
      <w:fldChar w:fldCharType="begin"/>
    </w:r>
    <w:r>
      <w:rPr>
        <w:rStyle w:val="9"/>
        <w:rFonts w:hint="eastAsia" w:ascii="宋体" w:hAnsi="宋体" w:eastAsia="宋体" w:cs="宋体"/>
        <w:b w:val="0"/>
        <w:i w:val="0"/>
        <w:caps w:val="0"/>
        <w:smallCaps w:val="0"/>
        <w:strike w:val="0"/>
        <w:dstrike w:val="0"/>
        <w:outline w:val="0"/>
        <w:shadow w:val="0"/>
        <w:emboss w:val="0"/>
        <w:imprint w:val="0"/>
        <w:snapToGrid/>
        <w:vanish w:val="0"/>
        <w:spacing w:val="0"/>
        <w:w w:val="100"/>
        <w:kern w:val="2"/>
        <w:position w:val="0"/>
        <w:sz w:val="28"/>
        <w:szCs w:val="28"/>
        <w:u w:val="none"/>
        <w:shd w:val="clear" w:color="auto" w:fill="auto"/>
        <w:lang w:eastAsia="zh-CN" w:bidi="ar"/>
      </w:rPr>
      <w:instrText xml:space="preserve"> PAGE  \* ArabicDash </w:instrText>
    </w:r>
    <w:r>
      <w:rPr>
        <w:rFonts w:hint="eastAsia" w:ascii="宋体" w:hAnsi="宋体" w:eastAsia="宋体" w:cs="宋体"/>
        <w:b w:val="0"/>
        <w:i w:val="0"/>
        <w:caps w:val="0"/>
        <w:smallCaps w:val="0"/>
        <w:strike w:val="0"/>
        <w:dstrike w:val="0"/>
        <w:outline w:val="0"/>
        <w:shadow w:val="0"/>
        <w:emboss w:val="0"/>
        <w:imprint w:val="0"/>
        <w:snapToGrid/>
        <w:vanish w:val="0"/>
        <w:spacing w:val="0"/>
        <w:w w:val="100"/>
        <w:kern w:val="2"/>
        <w:position w:val="0"/>
        <w:sz w:val="28"/>
        <w:szCs w:val="28"/>
        <w:u w:val="none"/>
        <w:shd w:val="clear" w:color="auto" w:fill="auto"/>
        <w:lang w:eastAsia="zh-CN" w:bidi="ar"/>
      </w:rPr>
      <w:fldChar w:fldCharType="separate"/>
    </w:r>
    <w:r>
      <w:rPr>
        <w:rStyle w:val="9"/>
        <w:rFonts w:hint="eastAsia" w:ascii="宋体" w:hAnsi="宋体" w:eastAsia="宋体" w:cs="宋体"/>
        <w:b w:val="0"/>
        <w:i w:val="0"/>
        <w:caps w:val="0"/>
        <w:smallCaps w:val="0"/>
        <w:strike w:val="0"/>
        <w:dstrike w:val="0"/>
        <w:outline w:val="0"/>
        <w:shadow w:val="0"/>
        <w:emboss w:val="0"/>
        <w:imprint w:val="0"/>
        <w:snapToGrid/>
        <w:vanish w:val="0"/>
        <w:spacing w:val="0"/>
        <w:w w:val="100"/>
        <w:kern w:val="2"/>
        <w:position w:val="0"/>
        <w:sz w:val="28"/>
        <w:szCs w:val="28"/>
        <w:u w:val="none"/>
        <w:shd w:val="clear" w:color="auto" w:fill="auto"/>
        <w:lang w:eastAsia="zh-CN" w:bidi="ar"/>
      </w:rPr>
      <w:t>- 4 -</w:t>
    </w:r>
    <w:r>
      <w:rPr>
        <w:rFonts w:hint="eastAsia" w:ascii="宋体" w:hAnsi="宋体" w:eastAsia="宋体" w:cs="宋体"/>
        <w:b w:val="0"/>
        <w:i w:val="0"/>
        <w:caps w:val="0"/>
        <w:smallCaps w:val="0"/>
        <w:strike w:val="0"/>
        <w:dstrike w:val="0"/>
        <w:outline w:val="0"/>
        <w:shadow w:val="0"/>
        <w:emboss w:val="0"/>
        <w:imprint w:val="0"/>
        <w:snapToGrid/>
        <w:vanish w:val="0"/>
        <w:spacing w:val="0"/>
        <w:w w:val="100"/>
        <w:kern w:val="2"/>
        <w:position w:val="0"/>
        <w:sz w:val="28"/>
        <w:szCs w:val="28"/>
        <w:u w:val="none"/>
        <w:shd w:val="clear" w:color="auto" w:fill="auto"/>
        <w:lang w:eastAsia="zh-CN" w:bidi="ar"/>
      </w:rPr>
      <w:fldChar w:fldCharType="end"/>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adjustRightInd/>
      <w:snapToGrid w:val="0"/>
      <w:spacing w:beforeAutospacing="0" w:afterAutospacing="0" w:line="240" w:lineRule="auto"/>
      <w:ind w:left="640" w:leftChars="200" w:right="0" w:rightChars="0" w:firstLine="0" w:firstLineChars="0"/>
      <w:jc w:val="left"/>
      <w:textAlignment w:val="auto"/>
      <w:outlineLvl w:val="9"/>
      <w:rPr>
        <w:rFonts w:hint="eastAsia" w:ascii="宋体" w:hAnsi="宋体" w:eastAsia="宋体" w:cs="宋体"/>
        <w:b w:val="0"/>
        <w:i w:val="0"/>
        <w:caps w:val="0"/>
        <w:smallCaps w:val="0"/>
        <w:strike w:val="0"/>
        <w:dstrike w:val="0"/>
        <w:outline w:val="0"/>
        <w:shadow w:val="0"/>
        <w:emboss w:val="0"/>
        <w:imprint w:val="0"/>
        <w:snapToGrid/>
        <w:vanish w:val="0"/>
        <w:spacing w:val="0"/>
        <w:w w:val="100"/>
        <w:kern w:val="2"/>
        <w:position w:val="0"/>
        <w:sz w:val="28"/>
        <w:u w:val="none"/>
        <w:shd w:val="clear" w:color="auto" w:fill="auto"/>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keepNext w:val="0"/>
      <w:keepLines w:val="0"/>
      <w:pageBreakBefore w:val="0"/>
      <w:widowControl w:val="0"/>
      <w:suppressLineNumbers w:val="0"/>
      <w:pBdr>
        <w:top w:val="none" w:color="auto" w:sz="0" w:space="0"/>
        <w:left w:val="none" w:color="auto" w:sz="0" w:space="0"/>
        <w:bottom w:val="none" w:color="auto" w:sz="0" w:space="1"/>
        <w:right w:val="none" w:color="auto" w:sz="0" w:space="0"/>
      </w:pBdr>
      <w:shd w:val="clear" w:color="auto" w:fill="auto"/>
      <w:suppressAutoHyphens w:val="0"/>
      <w:kinsoku/>
      <w:wordWrap/>
      <w:overflowPunct/>
      <w:topLinePunct w:val="0"/>
      <w:autoSpaceDE/>
      <w:autoSpaceDN/>
      <w:adjustRightInd/>
      <w:snapToGrid w:val="0"/>
      <w:spacing w:beforeAutospacing="0" w:afterAutospacing="0" w:line="240" w:lineRule="auto"/>
      <w:ind w:left="0" w:leftChars="0" w:right="0" w:rightChars="0" w:firstLine="0" w:firstLineChars="0"/>
      <w:jc w:val="center"/>
      <w:textAlignment w:val="auto"/>
      <w:outlineLvl w:val="9"/>
      <w:rPr>
        <w:rFonts w:hint="default" w:ascii="Calibri" w:hAnsi="Calibri" w:eastAsia="宋体" w:cs="Calibri"/>
        <w:b w:val="0"/>
        <w:i w:val="0"/>
        <w:caps w:val="0"/>
        <w:smallCaps w:val="0"/>
        <w:strike w:val="0"/>
        <w:dstrike w:val="0"/>
        <w:outline w:val="0"/>
        <w:shadow w:val="0"/>
        <w:emboss w:val="0"/>
        <w:imprint w:val="0"/>
        <w:snapToGrid/>
        <w:vanish w:val="0"/>
        <w:spacing w:val="0"/>
        <w:w w:val="100"/>
        <w:kern w:val="2"/>
        <w:position w:val="0"/>
        <w:sz w:val="18"/>
        <w:u w:val="none"/>
        <w:shd w:val="clear" w:color="auto" w:fill="auto"/>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0"/>
        <w:left w:val="none" w:color="auto" w:sz="0" w:space="0"/>
        <w:bottom w:val="none" w:color="auto" w:sz="0" w:space="0"/>
        <w:right w:val="none" w:color="auto" w:sz="0" w:space="0"/>
      </w:pBdr>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20"/>
  <w:bordersDoNotSurroundHeader w:val="0"/>
  <w:bordersDoNotSurroundFooter w:val="0"/>
  <w:documentProtection w:enforcement="0"/>
  <w:defaultTabStop w:val="420"/>
  <w:hyphenationZone w:val="360"/>
  <w:evenAndOddHeaders w:val="1"/>
  <w:drawingGridHorizontalSpacing w:val="320"/>
  <w:drawingGridVerticalSpacing w:val="26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iY2JkMjU3NGYzZTEwMzZmMGFkZWViYmNkYWU3NDIifQ=="/>
  </w:docVars>
  <w:rsids>
    <w:rsidRoot w:val="005E0E62"/>
    <w:rsid w:val="00090E63"/>
    <w:rsid w:val="000C14B6"/>
    <w:rsid w:val="000D5BD1"/>
    <w:rsid w:val="001C595F"/>
    <w:rsid w:val="0026517B"/>
    <w:rsid w:val="002B7BB3"/>
    <w:rsid w:val="0030292E"/>
    <w:rsid w:val="00322A44"/>
    <w:rsid w:val="003E1113"/>
    <w:rsid w:val="00482A32"/>
    <w:rsid w:val="00551933"/>
    <w:rsid w:val="005E0E62"/>
    <w:rsid w:val="0062246D"/>
    <w:rsid w:val="006D0C7B"/>
    <w:rsid w:val="007C6164"/>
    <w:rsid w:val="00802798"/>
    <w:rsid w:val="00825018"/>
    <w:rsid w:val="0083782A"/>
    <w:rsid w:val="009E4ACA"/>
    <w:rsid w:val="00AA305A"/>
    <w:rsid w:val="00AA526E"/>
    <w:rsid w:val="00B93BC6"/>
    <w:rsid w:val="00BD3A5E"/>
    <w:rsid w:val="00C1495A"/>
    <w:rsid w:val="00D951D1"/>
    <w:rsid w:val="00DA6A08"/>
    <w:rsid w:val="00DD1B8E"/>
    <w:rsid w:val="00E854E1"/>
    <w:rsid w:val="00E94258"/>
    <w:rsid w:val="00F637F5"/>
    <w:rsid w:val="04173574"/>
    <w:rsid w:val="09ED2654"/>
    <w:rsid w:val="0BCB77A6"/>
    <w:rsid w:val="0E8B7061"/>
    <w:rsid w:val="12A3505C"/>
    <w:rsid w:val="14321BD6"/>
    <w:rsid w:val="16EC6604"/>
    <w:rsid w:val="1F19142C"/>
    <w:rsid w:val="220F0A9F"/>
    <w:rsid w:val="23DA9ADB"/>
    <w:rsid w:val="24823534"/>
    <w:rsid w:val="29BD728F"/>
    <w:rsid w:val="2A2878AC"/>
    <w:rsid w:val="2DF256B9"/>
    <w:rsid w:val="2F6D0593"/>
    <w:rsid w:val="376F9386"/>
    <w:rsid w:val="37F79CF0"/>
    <w:rsid w:val="3B37AE18"/>
    <w:rsid w:val="3B5F3B7C"/>
    <w:rsid w:val="3BCBEE84"/>
    <w:rsid w:val="3BFCD9FA"/>
    <w:rsid w:val="3DF38ABC"/>
    <w:rsid w:val="3FB43C12"/>
    <w:rsid w:val="3FF76215"/>
    <w:rsid w:val="3FF9DB9E"/>
    <w:rsid w:val="3FFE6785"/>
    <w:rsid w:val="455671E0"/>
    <w:rsid w:val="45B72B94"/>
    <w:rsid w:val="45F7110D"/>
    <w:rsid w:val="4B7F1F33"/>
    <w:rsid w:val="4B912C5D"/>
    <w:rsid w:val="4BBD8A53"/>
    <w:rsid w:val="4C3749CE"/>
    <w:rsid w:val="4F7F7613"/>
    <w:rsid w:val="4FDB73B4"/>
    <w:rsid w:val="511C2CAB"/>
    <w:rsid w:val="5455766A"/>
    <w:rsid w:val="58336BDD"/>
    <w:rsid w:val="58DF4E98"/>
    <w:rsid w:val="59AE7402"/>
    <w:rsid w:val="5A73E6B8"/>
    <w:rsid w:val="5D73EFAF"/>
    <w:rsid w:val="5DAFCC35"/>
    <w:rsid w:val="5DDD32EB"/>
    <w:rsid w:val="5E2F5A44"/>
    <w:rsid w:val="63F7D53E"/>
    <w:rsid w:val="63FC4E49"/>
    <w:rsid w:val="651F1133"/>
    <w:rsid w:val="65FF7798"/>
    <w:rsid w:val="67391959"/>
    <w:rsid w:val="69F7B085"/>
    <w:rsid w:val="6BF50943"/>
    <w:rsid w:val="6BFFCBA3"/>
    <w:rsid w:val="6CFE7F70"/>
    <w:rsid w:val="6DDFB887"/>
    <w:rsid w:val="6E6FFFF5"/>
    <w:rsid w:val="6EDDDA4E"/>
    <w:rsid w:val="6FB97EEE"/>
    <w:rsid w:val="6FFC55C0"/>
    <w:rsid w:val="717C3B82"/>
    <w:rsid w:val="71EE971D"/>
    <w:rsid w:val="73770252"/>
    <w:rsid w:val="73DF0F6D"/>
    <w:rsid w:val="73DFB387"/>
    <w:rsid w:val="75FC850B"/>
    <w:rsid w:val="77354090"/>
    <w:rsid w:val="77DFF52F"/>
    <w:rsid w:val="77EE3A4C"/>
    <w:rsid w:val="77F34F0B"/>
    <w:rsid w:val="7875845B"/>
    <w:rsid w:val="78E7019C"/>
    <w:rsid w:val="797FCF34"/>
    <w:rsid w:val="79EC784E"/>
    <w:rsid w:val="79FFE727"/>
    <w:rsid w:val="7A74F921"/>
    <w:rsid w:val="7ABFDACA"/>
    <w:rsid w:val="7AC7CBF3"/>
    <w:rsid w:val="7AFFAFEB"/>
    <w:rsid w:val="7B7F93AD"/>
    <w:rsid w:val="7BBD9031"/>
    <w:rsid w:val="7BCF27C4"/>
    <w:rsid w:val="7BDD57A3"/>
    <w:rsid w:val="7BFDD0F8"/>
    <w:rsid w:val="7BFE5701"/>
    <w:rsid w:val="7BFF2A07"/>
    <w:rsid w:val="7C3684DF"/>
    <w:rsid w:val="7CA9F771"/>
    <w:rsid w:val="7CFF1353"/>
    <w:rsid w:val="7D7E94AD"/>
    <w:rsid w:val="7DD7994A"/>
    <w:rsid w:val="7DE9508C"/>
    <w:rsid w:val="7DFDC859"/>
    <w:rsid w:val="7E195538"/>
    <w:rsid w:val="7F4094FA"/>
    <w:rsid w:val="7F5FFC5E"/>
    <w:rsid w:val="7F77CF6D"/>
    <w:rsid w:val="7FA79BEB"/>
    <w:rsid w:val="7FBD7877"/>
    <w:rsid w:val="7FDF8765"/>
    <w:rsid w:val="7FE76121"/>
    <w:rsid w:val="7FEA0F15"/>
    <w:rsid w:val="7FEEFA48"/>
    <w:rsid w:val="7FFB430C"/>
    <w:rsid w:val="97FC9B79"/>
    <w:rsid w:val="9FAF5E23"/>
    <w:rsid w:val="A3D72B82"/>
    <w:rsid w:val="ACF76308"/>
    <w:rsid w:val="AFF0F498"/>
    <w:rsid w:val="AFF7E784"/>
    <w:rsid w:val="AFFDF2C3"/>
    <w:rsid w:val="B7D1DF31"/>
    <w:rsid w:val="B7FFA1F3"/>
    <w:rsid w:val="BA7B23C6"/>
    <w:rsid w:val="BACF02D3"/>
    <w:rsid w:val="BD0E9CB1"/>
    <w:rsid w:val="BDF772F4"/>
    <w:rsid w:val="BEEB7CEA"/>
    <w:rsid w:val="BF3B12C7"/>
    <w:rsid w:val="BF9DAC7E"/>
    <w:rsid w:val="BFDE371D"/>
    <w:rsid w:val="BFED85B7"/>
    <w:rsid w:val="C3FBB73F"/>
    <w:rsid w:val="CD35A58D"/>
    <w:rsid w:val="CFFF7263"/>
    <w:rsid w:val="D7671F15"/>
    <w:rsid w:val="DD9FE6BF"/>
    <w:rsid w:val="DE9FE31B"/>
    <w:rsid w:val="DEF3A7F8"/>
    <w:rsid w:val="DF37A859"/>
    <w:rsid w:val="DFAF677B"/>
    <w:rsid w:val="DFFFFFE3"/>
    <w:rsid w:val="E3594ECD"/>
    <w:rsid w:val="E39D4376"/>
    <w:rsid w:val="E56B0B39"/>
    <w:rsid w:val="E5BF7224"/>
    <w:rsid w:val="E6EB0D57"/>
    <w:rsid w:val="E76FDA8A"/>
    <w:rsid w:val="E77D28CD"/>
    <w:rsid w:val="E7BA667E"/>
    <w:rsid w:val="E7CE5284"/>
    <w:rsid w:val="E9F9514E"/>
    <w:rsid w:val="EA3B8336"/>
    <w:rsid w:val="ECCF4FB2"/>
    <w:rsid w:val="ED1B314B"/>
    <w:rsid w:val="ED3D1F01"/>
    <w:rsid w:val="EDFF35EA"/>
    <w:rsid w:val="EEDB30A0"/>
    <w:rsid w:val="EEEFCBCE"/>
    <w:rsid w:val="EFB385D4"/>
    <w:rsid w:val="EFBD1E94"/>
    <w:rsid w:val="EFFFC988"/>
    <w:rsid w:val="F3D91443"/>
    <w:rsid w:val="F3F36DBD"/>
    <w:rsid w:val="F5745C60"/>
    <w:rsid w:val="F5DB8C31"/>
    <w:rsid w:val="F5DFB8DA"/>
    <w:rsid w:val="F5FB332E"/>
    <w:rsid w:val="F77BC724"/>
    <w:rsid w:val="F77CA6BA"/>
    <w:rsid w:val="F7A65670"/>
    <w:rsid w:val="F7C47275"/>
    <w:rsid w:val="F7EBE327"/>
    <w:rsid w:val="F7F6EE4B"/>
    <w:rsid w:val="F8BFA988"/>
    <w:rsid w:val="F8FFFC22"/>
    <w:rsid w:val="FA4F69CF"/>
    <w:rsid w:val="FB7C4F2D"/>
    <w:rsid w:val="FBBE733E"/>
    <w:rsid w:val="FBD70463"/>
    <w:rsid w:val="FD7FC58D"/>
    <w:rsid w:val="FE4D491E"/>
    <w:rsid w:val="FE7D5A3B"/>
    <w:rsid w:val="FE9E824C"/>
    <w:rsid w:val="FEB7AA6B"/>
    <w:rsid w:val="FEFDDF71"/>
    <w:rsid w:val="FEFEE21C"/>
    <w:rsid w:val="FEFF201C"/>
    <w:rsid w:val="FF28BC82"/>
    <w:rsid w:val="FF735FB9"/>
    <w:rsid w:val="FFD48BE8"/>
    <w:rsid w:val="FFEBE4A9"/>
    <w:rsid w:val="FFEE3CE5"/>
    <w:rsid w:val="FFF5EE53"/>
    <w:rsid w:val="FFF75F3A"/>
    <w:rsid w:val="FFFD6CB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0"/>
      <w:lang w:val="en-US" w:eastAsia="zh-CN" w:bidi="ar-SA"/>
    </w:rPr>
  </w:style>
  <w:style w:type="character" w:default="1" w:styleId="8">
    <w:name w:val="Default Paragraph Font"/>
    <w:unhideWhenUsed/>
    <w:qFormat/>
    <w:uiPriority w:val="1"/>
  </w:style>
  <w:style w:type="table" w:default="1" w:styleId="7">
    <w:name w:val="Normal Table"/>
    <w:unhideWhenUsed/>
    <w:qFormat/>
    <w:uiPriority w:val="99"/>
    <w:pPr>
      <w:keepNext w:val="0"/>
      <w:keepLines w:val="0"/>
      <w:widowControl/>
      <w:suppressLineNumbers w:val="0"/>
      <w:spacing w:before="0" w:beforeAutospacing="0" w:after="0" w:afterAutospacing="0"/>
      <w:ind w:left="0" w:right="0"/>
    </w:pPr>
    <w:rPr>
      <w:rFonts w:hint="default" w:ascii="Calibri" w:hAnsi="Calibri" w:cs="Calibri"/>
      <w:sz w:val="20"/>
      <w:szCs w:val="20"/>
    </w:rPr>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alloon Text"/>
    <w:basedOn w:val="1"/>
    <w:link w:val="10"/>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rPr>
      <w:sz w:val="24"/>
    </w:rPr>
  </w:style>
  <w:style w:type="character" w:styleId="9">
    <w:name w:val="page number"/>
    <w:basedOn w:val="8"/>
    <w:unhideWhenUsed/>
    <w:qFormat/>
    <w:uiPriority w:val="99"/>
  </w:style>
  <w:style w:type="character" w:customStyle="1" w:styleId="10">
    <w:name w:val="批注框文本 Char"/>
    <w:basedOn w:val="8"/>
    <w:link w:val="3"/>
    <w:semiHidden/>
    <w:qFormat/>
    <w:uiPriority w:val="99"/>
    <w:rPr>
      <w:rFonts w:ascii="Times New Roman" w:hAnsi="Times New Roman" w:eastAsia="仿宋_GB2312" w:cs="Times New Roman"/>
      <w:sz w:val="18"/>
      <w:szCs w:val="18"/>
    </w:rPr>
  </w:style>
  <w:style w:type="character" w:customStyle="1" w:styleId="11">
    <w:name w:val="页脚 Char"/>
    <w:basedOn w:val="8"/>
    <w:link w:val="4"/>
    <w:qFormat/>
    <w:uiPriority w:val="99"/>
    <w:rPr>
      <w:rFonts w:ascii="Times New Roman" w:hAnsi="Times New Roman" w:eastAsia="仿宋_GB2312" w:cs="Times New Roman"/>
      <w:sz w:val="18"/>
      <w:szCs w:val="18"/>
    </w:rPr>
  </w:style>
  <w:style w:type="character" w:customStyle="1" w:styleId="12">
    <w:name w:val="页眉 Char"/>
    <w:basedOn w:val="8"/>
    <w:link w:val="5"/>
    <w:qFormat/>
    <w:uiPriority w:val="99"/>
    <w:rPr>
      <w:rFonts w:ascii="Times New Roman" w:hAnsi="Times New Roman" w:eastAsia="仿宋_GB2312" w:cs="Times New Roman"/>
      <w:sz w:val="18"/>
      <w:szCs w:val="18"/>
    </w:rPr>
  </w:style>
  <w:style w:type="character" w:customStyle="1" w:styleId="13">
    <w:name w:val="c_tiao1"/>
    <w:basedOn w:val="8"/>
    <w:qFormat/>
    <w:uiPriority w:val="0"/>
    <w:rPr>
      <w:rFonts w:ascii="宋体" w:hAnsi="宋体" w:eastAsia="宋体" w:cs="宋体"/>
      <w:b/>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14</Pages>
  <Words>5242</Words>
  <Characters>5474</Characters>
  <Lines>16</Lines>
  <Paragraphs>4</Paragraphs>
  <TotalTime>2</TotalTime>
  <ScaleCrop>false</ScaleCrop>
  <LinksUpToDate>false</LinksUpToDate>
  <CharactersWithSpaces>5534</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2021-01-05T19:43:00Z</dcterms:created>
  <dc:creator>AutoBVT</dc:creator>
  <cp:lastModifiedBy>林恩慈</cp:lastModifiedBy>
  <cp:lastPrinted>2024-01-20T02:50:00Z</cp:lastPrinted>
  <dcterms:modified xsi:type="dcterms:W3CDTF">2026-06-02T16:54:37Z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D443AD3D136293922DBE166A748A90A2</vt:lpwstr>
  </property>
</Properties>
</file>