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overflowPunct/>
        <w:topLinePunct w:val="0"/>
        <w:autoSpaceDE/>
        <w:autoSpaceDN/>
        <w:bidi w:val="0"/>
        <w:adjustRightInd/>
        <w:snapToGrid/>
        <w:spacing w:line="340" w:lineRule="exact"/>
        <w:ind w:firstLine="539" w:firstLineChars="174"/>
        <w:textAlignment w:val="auto"/>
        <w:rPr>
          <w:rFonts w:hint="default" w:ascii="Times New Roman" w:hAnsi="Times New Roman" w:eastAsia="仿宋_GB2312" w:cs="Times New Roman"/>
          <w:sz w:val="32"/>
          <w:szCs w:val="32"/>
        </w:rPr>
      </w:pPr>
    </w:p>
    <w:p>
      <w:pPr>
        <w:spacing w:line="840" w:lineRule="exact"/>
        <w:jc w:val="center"/>
        <w:rPr>
          <w:rFonts w:ascii="华文中宋" w:hAnsi="华文中宋" w:eastAsia="华文中宋"/>
          <w:spacing w:val="20"/>
          <w:sz w:val="52"/>
        </w:rPr>
      </w:pPr>
      <w:r>
        <w:rPr>
          <w:rFonts w:hint="eastAsia" w:ascii="华文中宋" w:hAnsi="华文中宋" w:eastAsia="华文中宋"/>
          <w:spacing w:val="20"/>
          <w:sz w:val="44"/>
        </w:rPr>
        <w:t>浙 江 省 高 级 人 民 法 院</w:t>
      </w:r>
    </w:p>
    <w:p>
      <w:pPr>
        <w:spacing w:line="840" w:lineRule="exact"/>
        <w:jc w:val="center"/>
        <w:rPr>
          <w:rFonts w:ascii="华文中宋" w:hAnsi="华文中宋" w:eastAsia="华文中宋"/>
          <w:sz w:val="52"/>
        </w:rPr>
      </w:pPr>
      <w:r>
        <w:rPr>
          <w:rFonts w:hint="eastAsia" w:ascii="华文中宋" w:hAnsi="华文中宋" w:eastAsia="华文中宋"/>
          <w:spacing w:val="240"/>
          <w:sz w:val="52"/>
        </w:rPr>
        <w:t>民事判决</w:t>
      </w:r>
      <w:r>
        <w:rPr>
          <w:rFonts w:hint="eastAsia" w:ascii="华文中宋" w:hAnsi="华文中宋" w:eastAsia="华文中宋"/>
          <w:sz w:val="52"/>
        </w:rPr>
        <w:t>书</w:t>
      </w:r>
    </w:p>
    <w:p>
      <w:pPr>
        <w:spacing w:line="780" w:lineRule="exact"/>
        <w:rPr>
          <w:rFonts w:ascii="Times New Roman" w:hAnsi="Times New Roman" w:eastAsia="仿宋_GB2312"/>
          <w:sz w:val="32"/>
        </w:rPr>
      </w:pPr>
      <w:r>
        <w:rPr>
          <w:sz w:val="32"/>
        </w:rPr>
        <w:t xml:space="preserve"> </w:t>
      </w:r>
    </w:p>
    <w:p>
      <w:pPr>
        <w:keepNext w:val="0"/>
        <w:keepLines w:val="0"/>
        <w:pageBreakBefore w:val="0"/>
        <w:widowControl w:val="0"/>
        <w:kinsoku/>
        <w:wordWrap w:val="0"/>
        <w:overflowPunct/>
        <w:topLinePunct w:val="0"/>
        <w:autoSpaceDE/>
        <w:autoSpaceDN/>
        <w:bidi w:val="0"/>
        <w:adjustRightInd/>
        <w:snapToGrid/>
        <w:spacing w:line="340" w:lineRule="exact"/>
        <w:ind w:firstLine="573"/>
        <w:textAlignment w:val="auto"/>
        <w:rPr>
          <w:rFonts w:hint="default" w:ascii="Times New Roman" w:hAnsi="Times New Roman" w:eastAsia="仿宋_GB2312" w:cs="Times New Roman"/>
          <w:sz w:val="32"/>
          <w:szCs w:val="32"/>
        </w:rPr>
      </w:pPr>
      <w:r>
        <w:rPr>
          <w:rFonts w:ascii="Times New Roman" w:hAnsi="Times New Roman" w:eastAsia="仿宋_GB2312"/>
          <w:sz w:val="32"/>
          <w:szCs w:val="32"/>
        </w:rPr>
        <w:t xml:space="preserve">                             </w:t>
      </w:r>
      <w:r>
        <w:rPr>
          <w:rFonts w:hint="default" w:ascii="Times New Roman" w:hAnsi="Times New Roman" w:eastAsia="仿宋_GB2312" w:cs="Times New Roman"/>
          <w:sz w:val="32"/>
          <w:szCs w:val="32"/>
        </w:rPr>
        <w:t xml:space="preserve"> （202</w:t>
      </w:r>
      <w:r>
        <w:rPr>
          <w:rFonts w:hint="eastAsia" w:cs="Times New Roman"/>
          <w:sz w:val="32"/>
          <w:szCs w:val="32"/>
          <w:lang w:val="en-US" w:eastAsia="zh-CN"/>
        </w:rPr>
        <w:t>5</w:t>
      </w:r>
      <w:r>
        <w:rPr>
          <w:rFonts w:hint="default" w:ascii="Times New Roman" w:hAnsi="Times New Roman" w:eastAsia="仿宋_GB2312" w:cs="Times New Roman"/>
          <w:sz w:val="32"/>
          <w:szCs w:val="32"/>
        </w:rPr>
        <w:t>）浙民终</w:t>
      </w:r>
      <w:r>
        <w:rPr>
          <w:rFonts w:hint="eastAsia" w:cs="Times New Roman"/>
          <w:sz w:val="32"/>
          <w:szCs w:val="32"/>
          <w:lang w:val="en-US" w:eastAsia="zh-CN"/>
        </w:rPr>
        <w:t>1274</w:t>
      </w:r>
      <w:r>
        <w:rPr>
          <w:rFonts w:hint="default" w:ascii="Times New Roman" w:hAnsi="Times New Roman" w:eastAsia="仿宋_GB2312" w:cs="Times New Roman"/>
          <w:sz w:val="32"/>
          <w:szCs w:val="32"/>
        </w:rPr>
        <w:t xml:space="preserve">号   </w:t>
      </w:r>
    </w:p>
    <w:p>
      <w:pPr>
        <w:keepNext w:val="0"/>
        <w:keepLines w:val="0"/>
        <w:pageBreakBefore w:val="0"/>
        <w:widowControl w:val="0"/>
        <w:kinsoku/>
        <w:overflowPunct/>
        <w:topLinePunct w:val="0"/>
        <w:autoSpaceDE/>
        <w:autoSpaceDN/>
        <w:bidi w:val="0"/>
        <w:adjustRightInd/>
        <w:snapToGrid/>
        <w:spacing w:line="340" w:lineRule="exact"/>
        <w:ind w:firstLine="539" w:firstLineChars="174"/>
        <w:textAlignment w:val="auto"/>
        <w:rPr>
          <w:rFonts w:hint="default"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32"/>
        </w:rPr>
      </w:pPr>
      <w:bookmarkStart w:id="8" w:name="_GoBack"/>
      <w:r>
        <w:rPr>
          <w:rFonts w:hint="default" w:ascii="Times New Roman" w:hAnsi="Times New Roman" w:eastAsia="仿宋_GB2312" w:cs="Times New Roman"/>
          <w:sz w:val="32"/>
          <w:szCs w:val="32"/>
        </w:rPr>
        <w:t>上诉人（原审被告）：</w:t>
      </w:r>
      <w:bookmarkStart w:id="0" w:name="WKJC_86f7785920b544c2bc79db960ce19f5d"/>
      <w:r>
        <w:rPr>
          <w:rFonts w:hint="eastAsia" w:cs="Times New Roman"/>
          <w:sz w:val="32"/>
          <w:szCs w:val="32"/>
          <w:lang w:eastAsia="zh-CN"/>
        </w:rPr>
        <w:t>义乌市凯某公司</w:t>
      </w:r>
      <w:r>
        <w:rPr>
          <w:rFonts w:hint="default" w:ascii="Times New Roman" w:hAnsi="Times New Roman" w:eastAsia="仿宋_GB2312" w:cs="Times New Roman"/>
          <w:sz w:val="32"/>
          <w:szCs w:val="32"/>
        </w:rPr>
        <w:t>，</w:t>
      </w:r>
      <w:bookmarkEnd w:id="0"/>
      <w:r>
        <w:rPr>
          <w:rFonts w:hint="default" w:ascii="Times New Roman" w:hAnsi="Times New Roman" w:eastAsia="仿宋_GB2312" w:cs="Times New Roman"/>
          <w:sz w:val="32"/>
          <w:szCs w:val="32"/>
        </w:rPr>
        <w:t>住所地浙江省义乌市。</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被上诉人（原审原告）：</w:t>
      </w:r>
      <w:r>
        <w:rPr>
          <w:rFonts w:hint="eastAsia" w:cs="Times New Roman"/>
          <w:sz w:val="32"/>
          <w:szCs w:val="32"/>
          <w:lang w:eastAsia="zh-CN"/>
        </w:rPr>
        <w:t>高某</w:t>
      </w:r>
      <w:r>
        <w:rPr>
          <w:rFonts w:hint="default" w:ascii="Times New Roman" w:hAnsi="Times New Roman" w:eastAsia="仿宋_GB2312" w:cs="Times New Roman"/>
          <w:sz w:val="32"/>
          <w:szCs w:val="32"/>
        </w:rPr>
        <w:t>，汉族，住浙江省宁波市。</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上诉人</w:t>
      </w:r>
      <w:r>
        <w:rPr>
          <w:rFonts w:hint="eastAsia" w:cs="Times New Roman"/>
          <w:sz w:val="32"/>
          <w:szCs w:val="32"/>
          <w:lang w:eastAsia="zh-CN"/>
        </w:rPr>
        <w:t>义乌市凯某公司</w:t>
      </w:r>
      <w:r>
        <w:rPr>
          <w:rFonts w:hint="default" w:ascii="Times New Roman" w:hAnsi="Times New Roman" w:eastAsia="仿宋_GB2312" w:cs="Times New Roman"/>
          <w:sz w:val="32"/>
          <w:szCs w:val="32"/>
        </w:rPr>
        <w:t>（以下简称</w:t>
      </w:r>
      <w:r>
        <w:rPr>
          <w:rFonts w:hint="eastAsia" w:cs="Times New Roman"/>
          <w:sz w:val="32"/>
          <w:szCs w:val="32"/>
          <w:lang w:eastAsia="zh-CN"/>
        </w:rPr>
        <w:t>凯某公司</w:t>
      </w:r>
      <w:r>
        <w:rPr>
          <w:rFonts w:hint="default" w:ascii="Times New Roman" w:hAnsi="Times New Roman" w:eastAsia="仿宋_GB2312" w:cs="Times New Roman"/>
          <w:sz w:val="32"/>
          <w:szCs w:val="32"/>
        </w:rPr>
        <w:t>）因与被上诉人</w:t>
      </w:r>
      <w:r>
        <w:rPr>
          <w:rFonts w:hint="eastAsia" w:cs="Times New Roman"/>
          <w:sz w:val="32"/>
          <w:szCs w:val="32"/>
          <w:lang w:eastAsia="zh-CN"/>
        </w:rPr>
        <w:t>高某</w:t>
      </w:r>
      <w:r>
        <w:rPr>
          <w:rFonts w:hint="default" w:ascii="Times New Roman" w:hAnsi="Times New Roman" w:eastAsia="仿宋_GB2312" w:cs="Times New Roman"/>
          <w:sz w:val="32"/>
          <w:szCs w:val="32"/>
        </w:rPr>
        <w:t>侵害外观设计专利权纠纷一案，不服浙江省金华市中级人民法院（2025）浙07民初275号民事判决，向本院提起上诉。本院于2025年11月10日立案受理后，</w:t>
      </w:r>
      <w:r>
        <w:rPr>
          <w:rFonts w:hint="default" w:ascii="Times New Roman" w:hAnsi="Times New Roman" w:eastAsia="仿宋_GB2312" w:cs="Times New Roman"/>
          <w:sz w:val="32"/>
          <w:szCs w:val="32"/>
          <w:lang w:eastAsia="zh-CN"/>
        </w:rPr>
        <w:t>依法组成合议庭</w:t>
      </w:r>
      <w:r>
        <w:rPr>
          <w:rFonts w:hint="default" w:ascii="Times New Roman" w:hAnsi="Times New Roman" w:eastAsia="仿宋_GB2312" w:cs="Times New Roman"/>
          <w:sz w:val="32"/>
          <w:szCs w:val="32"/>
        </w:rPr>
        <w:t>进行了审理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val="en-US" w:eastAsia="zh-CN"/>
        </w:rPr>
        <w:t xml:space="preserve">本案现已审理终结。 </w:t>
      </w:r>
    </w:p>
    <w:p>
      <w:pPr>
        <w:keepNext w:val="0"/>
        <w:keepLines w:val="0"/>
        <w:pageBreakBefore w:val="0"/>
        <w:widowControl w:val="0"/>
        <w:kinsoku/>
        <w:wordWrap/>
        <w:overflowPunct/>
        <w:topLinePunct/>
        <w:bidi w:val="0"/>
        <w:spacing w:line="580" w:lineRule="exact"/>
        <w:ind w:firstLine="560"/>
        <w:jc w:val="both"/>
        <w:textAlignment w:val="auto"/>
        <w:rPr>
          <w:rFonts w:hint="eastAsia" w:eastAsia="仿宋_GB2312" w:cs="Times New Roman"/>
          <w:b w:val="0"/>
          <w:bCs w:val="0"/>
          <w:sz w:val="32"/>
          <w:szCs w:val="32"/>
          <w:lang w:val="en-US" w:eastAsia="zh-CN"/>
        </w:rPr>
      </w:pPr>
      <w:r>
        <w:rPr>
          <w:rFonts w:hint="eastAsia" w:cs="Times New Roman"/>
          <w:b w:val="0"/>
          <w:bCs w:val="0"/>
          <w:sz w:val="32"/>
          <w:szCs w:val="32"/>
          <w:lang w:val="zh-CN"/>
        </w:rPr>
        <w:t>凯某公司上诉请求：撤销一审判决，依法改判驳回高某一审全部诉讼请求。事实与理由：高某于2022年9月14日同时申请了手柄</w:t>
      </w:r>
      <w:bookmarkStart w:id="1" w:name="WKJC_405cdb8cfdec4b7f81bcce3d510677d0"/>
      <w:r>
        <w:rPr>
          <w:rFonts w:hint="eastAsia" w:cs="Times New Roman"/>
          <w:b w:val="0"/>
          <w:bCs w:val="0"/>
          <w:sz w:val="32"/>
          <w:szCs w:val="32"/>
          <w:lang w:val="zh-CN"/>
        </w:rPr>
        <w:t>镜</w:t>
      </w:r>
      <w:bookmarkEnd w:id="1"/>
      <w:r>
        <w:rPr>
          <w:rFonts w:hint="eastAsia" w:cs="Times New Roman"/>
          <w:b w:val="0"/>
          <w:bCs w:val="0"/>
          <w:sz w:val="32"/>
          <w:szCs w:val="32"/>
          <w:lang w:val="zh-CN"/>
        </w:rPr>
        <w:t>（圆弧）、手柄镜（方形）专利，国家知识产权局出具的评价报告显示，因手柄镜（方形）属于现有设计而不符合专利授予条件。涉案手柄镜（圆弧）专利与该手持镜（方形）评价报告中显示的抖音平台出现的手持镜并无实质性的差异，仅是将手持镜的方形改成了圆形，因此涉案专利不具有新颖性，应认定涉案专利属于现有设计。二审中，凯某公司认为被诉侵权设计属于现有设计，并以上述手柄镜（方形）专利评价报告中的对比设计</w:t>
      </w:r>
      <w:r>
        <w:rPr>
          <w:rFonts w:hint="eastAsia" w:cs="Times New Roman"/>
          <w:b w:val="0"/>
          <w:bCs w:val="0"/>
          <w:sz w:val="32"/>
          <w:szCs w:val="32"/>
          <w:lang w:val="en-US" w:eastAsia="zh-CN"/>
        </w:rPr>
        <w:t>1作为现有设计抗辩的比对文件。</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高某答辩称，一审判决认定事实清楚，适用法律正确。评价报告中的文件不能明确在显示的时候已处于公开状态，不能作为现有设计的比对文件。请求驳回凯某公司上诉，维持原判。</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高某向一审法院提起诉讼，请求判令凯某公司：一、立即停止制造、销售、许诺销售侵害专利号为ZL2022XXXX6972.0的外观设计专利权的行为，并销毁库存侵权产品和生产模具；二、赔偿高某15万元（包括制止侵权行为所支付的部分合理开支</w:t>
      </w:r>
      <w:bookmarkStart w:id="2" w:name="WKJC_ec1f7e8274954dff876975e53ed192dd"/>
      <w:r>
        <w:rPr>
          <w:rFonts w:hint="eastAsia" w:cs="Times New Roman"/>
          <w:b w:val="0"/>
          <w:bCs w:val="0"/>
          <w:sz w:val="32"/>
          <w:szCs w:val="32"/>
          <w:lang w:val="zh-CN"/>
        </w:rPr>
        <w:t>）</w:t>
      </w:r>
      <w:bookmarkEnd w:id="2"/>
      <w:r>
        <w:rPr>
          <w:rFonts w:hint="eastAsia" w:cs="Times New Roman"/>
          <w:b w:val="0"/>
          <w:bCs w:val="0"/>
          <w:sz w:val="32"/>
          <w:szCs w:val="32"/>
          <w:lang w:val="zh-CN"/>
        </w:rPr>
        <w:t>；三、承担本案全部诉讼费用。</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一审法院认定：高某于2022年9月14日向国家知识产权局申请名为“手柄镜（圆弧）”的外观设计专利，于2023年3月10日获国家知识产权局授权公告，专利号为ZL2022XXXX6972.0。该专利产品是用于整理兼容照的镜子，设计要点在于整体形状，最能表明设计要点的图片或者照片是立体图。高某按期交纳了专利年费，该专利至今合法有效。国家知识产权局于2023年7月19日就该外观设计专利出具外观设计专利权评价报告，初步结论为全部外观设计未发现存在不符合授予专利权条件的缺陷。</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高某的委托代理人向重庆市渝北公证处申请证据保全公证，该公证处于2024年9月26日出具（2024）渝北证字第135830号公证书，该公证书载明：高某于2024年9月19日在1688平台上凯某公司经营的同名网店中，标题为“跨境专供电镀水波纹化妆镜女生手持补妆镜子高清成像少女小镜子”的链接下，购买了被诉侵权产品2件，单价4.16元，实付8.32元。该链接显示一年内700+个成交，产品价格为3.95元-4.16元，品牌显示为“凯某”。店铺显示其经营模式为生产厂家，宣传为“品牌工厂、实力工厂”。高某的委托代理人于2024年9月24日、2024年9月25日在公证处工作人员的监督下，对公证处于2024年9月23日收到并保存的单号为773310567349795的申通快递包裹进行拆包察看，察看结束后，由公证员对证物进行密封。</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一审当庭拆封公证实物，内有被诉侵权产品2个。经比对，高某认为被诉侵权产品的设计与案涉专利构成近似。凯某公司认为二者不相同不近似。同时，凯某公司主张以专利号为ZL202230599111.4，专利名称为“气囊梳（银河系列）”的外观设计专利中的设计2组合状态后视图作为现有设计抗辩的比对文件。该专利申请日为2022年9月9日。将被诉侵权产品与该文件进行比对，凯某公司认为被诉侵权产品与现有设计的背后设计相同。高某认为现有设计为梳子，与本案产品不属于同一类型，也不是相似领域，不能作为现有设计抗辩的比对对象。如需进行比对，高某认为被诉侵权产品的设计与现有设计既不相同也不相似，凯某公司的现有设计不成立。</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另查明，凯某公司系成立于2017年8月17日的有限责任公司（自然人独资），法定代表人刘小红，经营范围为一般项目：塑料制品制造；塑料制品销售；日用品销售；日用百货销售；日用杂品销售；日用杂品制造；制镜及类似品加工等。</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又查明，高某为本案维权进行了公证取证，并聘请律师参加了诉讼。</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一审法院认为，高某系专利号为ZL2022XXXX6972.0，名称为“手柄镜（圆弧）”的外观设计专利权人，该外观设计专利在有效期内，法律状态稳定，且权利人已履行缴纳专利年费的义务，该专利合法有效，应受法律保护。根据双方的诉辩意见，本案的争议焦点为：一、被诉侵权产品是否落入案涉专利权的保护范围；二、凯某公司主张的现有抗辩是否成立；三、如凯某公司构成侵权，应承担</w:t>
      </w:r>
      <w:bookmarkStart w:id="3" w:name="WKJC_211412e8d3294dd9b755720dedb5b1b5"/>
      <w:r>
        <w:rPr>
          <w:rFonts w:hint="eastAsia" w:cs="Times New Roman"/>
          <w:b w:val="0"/>
          <w:bCs w:val="0"/>
          <w:sz w:val="32"/>
          <w:szCs w:val="32"/>
          <w:lang w:val="zh-CN"/>
        </w:rPr>
        <w:t>何</w:t>
      </w:r>
      <w:bookmarkEnd w:id="3"/>
      <w:r>
        <w:rPr>
          <w:rFonts w:hint="eastAsia" w:cs="Times New Roman"/>
          <w:b w:val="0"/>
          <w:bCs w:val="0"/>
          <w:sz w:val="32"/>
          <w:szCs w:val="32"/>
          <w:lang w:val="zh-CN"/>
        </w:rPr>
        <w:t>种民事责任。</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关于争议焦点一，根据《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一条第三款规定，被诉侵权设计与授权外观设计在整体视觉效果上无差异的，人民法院应当认定两者相同；在整体视觉效果上无实质性差异的，应当认定两者近似。据此，判断外观设计是否相同或者近似时，应当按照一般消费者的知识水平和认知能力，遵循全面观察设计特征、综合判断整体效果的基本原则，对所保护的外观设计专利与被诉侵权产品进行比对。本案中，被诉侵权产品与高某案涉专利的产品均为镜子，属于相同种类的产品，可以进行比对。经比对，被诉侵权设计与案涉专利外盒均由圆形镜面和竖直手柄组成，镜子背面均为水波纹图案。被诉侵权产品镜子背面的水波纹路与案涉专利略有区别，但该区别点不足以对二者的整体视觉效果产生实质性影响，根据“整体观察，综合判断”的原则，应认定两者构成近似，即被诉侵权产品落入高某案涉外观设计专利权的保护范围。</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关于争议焦点二，根据《中华人民共和国专利法》第六十七条规定，在专利侵权纠纷中，被控侵权人有证据证明其实施的技术或者设计属于现有技术或者现有设计的，不构成侵犯专利权。</w:t>
      </w:r>
      <w:bookmarkStart w:id="4" w:name="WKJC_10cea33f0ea245ccbf26f27ff5b10afb"/>
      <w:r>
        <w:rPr>
          <w:rFonts w:hint="eastAsia" w:cs="Times New Roman"/>
          <w:b w:val="0"/>
          <w:bCs w:val="0"/>
          <w:sz w:val="32"/>
          <w:szCs w:val="32"/>
          <w:lang w:val="zh-CN"/>
        </w:rPr>
        <w:t>《最高人民法院关于审理侵犯专利权纠纷案件应用法律若干问题的解释》第十四条第二款</w:t>
      </w:r>
      <w:bookmarkEnd w:id="4"/>
      <w:r>
        <w:rPr>
          <w:rFonts w:hint="eastAsia" w:cs="Times New Roman"/>
          <w:b w:val="0"/>
          <w:bCs w:val="0"/>
          <w:sz w:val="32"/>
          <w:szCs w:val="32"/>
          <w:lang w:val="zh-CN"/>
        </w:rPr>
        <w:t>规定，被诉侵权设计与一个现有设计相同或者无实质性差异的，人民法院应当认定被诉侵权人实施的设计属于专利法规定的现有设计。本案中，凯某公司主张以专利号为ZL202230599111.4，专利名称为“气囊梳（银河系列）”的外观设计专利中的设计2组合状态后视图作为现有设计比文件。该专利的申请日为2022年9月9日，早于案涉专利的申请日，但该专利相关的商品为梳子，在商品的功能、用途等方面均与案涉专利不同，与被诉侵权产品非相同或类似商品，不能作为现有设计的比对文件。因此，对凯某公司提出现有设计抗辩，该院不予支持。</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中华人民共和国专利法》第十一条第二款规定，外观设计专利权被授予后，任何单位或者个人未经专利权人许可，都不得实施其专利，即不得为生产经营目的制造、许诺销售、销售、进口其外观设计专利产品。本案中，高某主张凯某公司实施了制造、销售、许诺销售被诉侵权产品的行为侵害了高某的外观设计专利权。该院认为，高某在凯某公司经营的网店经公证购买了被诉侵权产品，可以证明凯某公司已实际销售被诉侵权产品，构成销售侵权行为。凯某公司在其1688店铺内展示被诉侵权产品，对外作出销售的意思表示，其行为已构成许诺销售侵权行为。关于制造行为，凯某公司在其1688店铺显示的经营模式为生产厂家，并宣传系“品牌工厂、实力工厂”，结合其经营范围，可以认定凯某公司实施了制造被诉侵权产品的行为。综上，凯某公司未经高某许可，以生产经营为目的，实施了制造、销售、许诺销售侵权产品的行为，侵犯了高某的案涉专利权。故对高某要求凯某公司停止制造、销售、许诺销售被诉侵权产品的主张，该院予以支持。高某未提供证据证明凯某公司具有生产被诉侵权产品的模具和库存侵权产品，故对上述主张该院不予支持。</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关于争议焦点三，凯某公司未经专利权人许可，以生产经营为目的制造、销售、许诺销售被诉侵权产品，侵犯了涉案专利权，应承担停止侵权、赔偿损失的民事责任。关于赔偿数额，依据《中华人民共和国专利法》第七十一条第二款、第三款之规定，权利人的损失、侵权人获得的利益和专利许可使用费均难以确定的，人民法院可以根据专利权的类型、侵权行为的性质和情节等因素，确定给予三万元以上五百万元以下的赔偿。赔偿数额还应包括权利人为制止侵权行为所支付的合理开支。本案中，高某未举证证明其因被侵权所受到的实际损失或侵权人因侵权行为所获得的利益，该院依法适用法定赔偿。主要考虑以下事实：1.高某提供了涉案外观专利权评价报告，专利权稳定；2.凯某公司实施了制造、销售、许诺销售被诉侵权产品的行为；3.高某为维权客观支出的合理开支，包括公证、委托代理人代为诉讼等费用，酌情确定凯某公司赔偿高某经济损失（含维权合理费用）共计30000元。</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 w:val="0"/>
          <w:bCs w:val="0"/>
          <w:sz w:val="32"/>
          <w:szCs w:val="32"/>
          <w:lang w:val="zh-CN"/>
        </w:rPr>
      </w:pPr>
      <w:r>
        <w:rPr>
          <w:rFonts w:hint="eastAsia" w:cs="Times New Roman"/>
          <w:b w:val="0"/>
          <w:bCs w:val="0"/>
          <w:sz w:val="32"/>
          <w:szCs w:val="32"/>
          <w:lang w:val="zh-CN"/>
        </w:rPr>
        <w:t>综上，一审法院依照《中华人民共和国专利法》第十一条第二款、第六十四条第二款、第六十七条、第七十一条，《最高人民法院关于审理侵犯专利权纠纷案件应用法律若干问题的解释》第八条、第十条、第十一条、第十四条第二款，《中华人民共和国民事诉讼法》第六十七条之规定，于2025年9月25日判决：一、凯某公司立即停止制造、销售、许诺销售落入高某享有的专利号为ZL2022XXXX6972.0，名称为“手柄镜（圆弧）”的外观设计专利权保护范围的产品；二、凯某公司于判决生效之日起十日内赔偿高某经济损失（含维权合理费用）30000元；三、驳回高某的其他诉讼请求。如果未按判决指定的期间履行给付金钱义务，应当依照《中华人民共和国民事诉讼法》第二百六十四条之规定，加倍支付迟延履行期间的债务利息。判决生效后、进入执行程序前，判决认定受到侵害的专利权被宣告无效，当事人申请执行的，人民法院不予受理。进入执行程序后，判决认定受到侵害的专利权被宣告无效的，判决中止执行。有关无效宣告请求审查决定确定发生法律效力的，判决认定的侵害专利权行为视为自始即不存在；进入执行程序的，终结执行。一审案件受理费3300元，由高某负担1320元，由凯某公司负担1980元。</w:t>
      </w:r>
    </w:p>
    <w:p>
      <w:pPr>
        <w:keepNext w:val="0"/>
        <w:keepLines w:val="0"/>
        <w:pageBreakBefore w:val="0"/>
        <w:widowControl w:val="0"/>
        <w:kinsoku/>
        <w:wordWrap/>
        <w:overflowPunct/>
        <w:topLinePunct/>
        <w:bidi w:val="0"/>
        <w:spacing w:line="580" w:lineRule="exact"/>
        <w:ind w:firstLine="56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二审中，</w:t>
      </w:r>
      <w:r>
        <w:rPr>
          <w:rFonts w:hint="eastAsia" w:cs="Times New Roman"/>
          <w:bCs/>
          <w:sz w:val="32"/>
          <w:szCs w:val="32"/>
          <w:lang w:eastAsia="zh-CN"/>
        </w:rPr>
        <w:t>高某</w:t>
      </w:r>
      <w:r>
        <w:rPr>
          <w:rFonts w:hint="default" w:ascii="Times New Roman" w:hAnsi="Times New Roman" w:eastAsia="仿宋_GB2312" w:cs="Times New Roman"/>
          <w:bCs/>
          <w:sz w:val="32"/>
          <w:szCs w:val="32"/>
        </w:rPr>
        <w:t>没有提交新的证据。</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提交一份证据，为国家知识产权局出具的针对名称为手柄镜（方形）、专利号为ZL202330012792.4的外观设计专利的评价报告，拟证明被诉侵权设计属于现有设计。</w:t>
      </w:r>
      <w:r>
        <w:rPr>
          <w:rFonts w:hint="eastAsia" w:cs="Times New Roman"/>
          <w:bCs/>
          <w:sz w:val="32"/>
          <w:szCs w:val="32"/>
          <w:lang w:eastAsia="zh-CN"/>
        </w:rPr>
        <w:t>高某</w:t>
      </w:r>
      <w:r>
        <w:rPr>
          <w:rFonts w:hint="default" w:ascii="Times New Roman" w:hAnsi="Times New Roman" w:eastAsia="仿宋_GB2312" w:cs="Times New Roman"/>
          <w:bCs/>
          <w:sz w:val="32"/>
          <w:szCs w:val="32"/>
        </w:rPr>
        <w:t>经质证认为对该证据的真实性没有异议，但认为不能确定评价报告中对比设计1的视频在发布时处于公开状态，且与本案被诉侵权设计不构成相同或近似，故不能达到其证明目的。</w:t>
      </w:r>
    </w:p>
    <w:p>
      <w:pPr>
        <w:keepNext w:val="0"/>
        <w:keepLines w:val="0"/>
        <w:pageBreakBefore w:val="0"/>
        <w:widowControl w:val="0"/>
        <w:kinsoku/>
        <w:wordWrap/>
        <w:overflowPunct/>
        <w:topLinePunct/>
        <w:bidi w:val="0"/>
        <w:spacing w:line="580" w:lineRule="exact"/>
        <w:ind w:firstLine="56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本院二审另查明，</w:t>
      </w:r>
      <w:r>
        <w:rPr>
          <w:rFonts w:hint="eastAsia" w:cs="Times New Roman"/>
          <w:bCs/>
          <w:sz w:val="32"/>
          <w:szCs w:val="32"/>
          <w:lang w:eastAsia="zh-CN"/>
        </w:rPr>
        <w:t>高某</w:t>
      </w:r>
      <w:r>
        <w:rPr>
          <w:rFonts w:hint="default" w:ascii="Times New Roman" w:hAnsi="Times New Roman" w:eastAsia="仿宋_GB2312" w:cs="Times New Roman"/>
          <w:bCs/>
          <w:sz w:val="32"/>
          <w:szCs w:val="32"/>
        </w:rPr>
        <w:t>于2022年9月14日申请名称为手柄镜（方形）、专利号为ZL202330012792.4的外观设计专利，国家知识产权局对该专利出具的外观设计专利评价报告认为，该专利</w:t>
      </w:r>
      <w:r>
        <w:rPr>
          <w:rFonts w:hint="eastAsia" w:cs="Times New Roman"/>
          <w:bCs/>
          <w:sz w:val="32"/>
          <w:szCs w:val="32"/>
          <w:lang w:eastAsia="zh-CN"/>
        </w:rPr>
        <w:t>与对比设计</w:t>
      </w:r>
      <w:r>
        <w:rPr>
          <w:rFonts w:hint="eastAsia" w:cs="Times New Roman"/>
          <w:bCs/>
          <w:sz w:val="32"/>
          <w:szCs w:val="32"/>
          <w:lang w:val="en-US" w:eastAsia="zh-CN"/>
        </w:rPr>
        <w:t>1近似，故</w:t>
      </w:r>
      <w:r>
        <w:rPr>
          <w:rFonts w:hint="default" w:ascii="Times New Roman" w:hAnsi="Times New Roman" w:eastAsia="仿宋_GB2312" w:cs="Times New Roman"/>
          <w:bCs/>
          <w:sz w:val="32"/>
          <w:szCs w:val="32"/>
        </w:rPr>
        <w:t>不符合授予专利权条件。</w:t>
      </w:r>
      <w:r>
        <w:rPr>
          <w:rFonts w:hint="eastAsia" w:cs="Times New Roman"/>
          <w:bCs/>
          <w:sz w:val="32"/>
          <w:szCs w:val="32"/>
          <w:lang w:eastAsia="zh-CN"/>
        </w:rPr>
        <w:t>该</w:t>
      </w:r>
      <w:r>
        <w:rPr>
          <w:rFonts w:hint="default" w:ascii="Times New Roman" w:hAnsi="Times New Roman" w:eastAsia="仿宋_GB2312" w:cs="Times New Roman"/>
          <w:bCs/>
          <w:sz w:val="32"/>
          <w:szCs w:val="32"/>
        </w:rPr>
        <w:t>对比设计1为抖音用户“小九好物分享”（抖音号</w:t>
      </w:r>
      <w:r>
        <w:rPr>
          <w:rFonts w:hint="eastAsia" w:cs="Times New Roman"/>
          <w:bCs/>
          <w:sz w:val="32"/>
          <w:szCs w:val="32"/>
          <w:lang w:eastAsia="zh-CN"/>
        </w:rPr>
        <w:t>XXXXXXXXXX</w:t>
      </w:r>
      <w:r>
        <w:rPr>
          <w:rFonts w:hint="default" w:ascii="Times New Roman" w:hAnsi="Times New Roman" w:eastAsia="仿宋_GB2312" w:cs="Times New Roman"/>
          <w:bCs/>
          <w:sz w:val="32"/>
          <w:szCs w:val="32"/>
        </w:rPr>
        <w:t>）在显示时间为2022年7月20日发布的短视频，视频中公开了一款手持镜（方形）</w:t>
      </w:r>
      <w:r>
        <w:rPr>
          <w:rFonts w:hint="eastAsia" w:cs="Times New Roman"/>
          <w:bCs/>
          <w:sz w:val="32"/>
          <w:szCs w:val="32"/>
          <w:lang w:eastAsia="zh-CN"/>
        </w:rPr>
        <w:t>的外观设计</w:t>
      </w:r>
      <w:r>
        <w:rPr>
          <w:rFonts w:hint="default" w:ascii="Times New Roman" w:hAnsi="Times New Roman" w:eastAsia="仿宋_GB2312" w:cs="Times New Roman"/>
          <w:bCs/>
          <w:sz w:val="32"/>
          <w:szCs w:val="32"/>
        </w:rPr>
        <w:t>。</w:t>
      </w:r>
      <w:r>
        <w:rPr>
          <w:rFonts w:hint="eastAsia" w:cs="Times New Roman"/>
          <w:bCs/>
          <w:sz w:val="32"/>
          <w:szCs w:val="32"/>
          <w:lang w:eastAsia="zh-CN"/>
        </w:rPr>
        <w:t>经二审核查，</w:t>
      </w:r>
      <w:r>
        <w:rPr>
          <w:rFonts w:hint="default" w:ascii="Times New Roman" w:hAnsi="Times New Roman" w:eastAsia="仿宋_GB2312" w:cs="Times New Roman"/>
          <w:bCs/>
          <w:sz w:val="32"/>
          <w:szCs w:val="32"/>
        </w:rPr>
        <w:t>通过在抖音搜索栏中搜索用户“小九好物分享”（抖音号</w:t>
      </w:r>
      <w:r>
        <w:rPr>
          <w:rFonts w:hint="eastAsia" w:cs="Times New Roman"/>
          <w:bCs/>
          <w:sz w:val="32"/>
          <w:szCs w:val="32"/>
          <w:lang w:eastAsia="zh-CN"/>
        </w:rPr>
        <w:t>XXXXXXXXXX</w:t>
      </w:r>
      <w:r>
        <w:rPr>
          <w:rFonts w:hint="default" w:ascii="Times New Roman" w:hAnsi="Times New Roman" w:eastAsia="仿宋_GB2312" w:cs="Times New Roman"/>
          <w:bCs/>
          <w:sz w:val="32"/>
          <w:szCs w:val="32"/>
        </w:rPr>
        <w:t>），简介显示：视频中所有同款好物都在下方（进入橱窗）</w:t>
      </w:r>
      <w:r>
        <w:rPr>
          <w:rFonts w:hint="eastAsia" w:cs="Times New Roman"/>
          <w:bCs/>
          <w:sz w:val="32"/>
          <w:szCs w:val="32"/>
          <w:lang w:eastAsia="zh-CN"/>
        </w:rPr>
        <w:t>可以购买。该视频</w:t>
      </w:r>
      <w:r>
        <w:rPr>
          <w:rFonts w:hint="default" w:ascii="Times New Roman" w:hAnsi="Times New Roman" w:eastAsia="仿宋_GB2312" w:cs="Times New Roman"/>
          <w:bCs/>
          <w:sz w:val="32"/>
          <w:szCs w:val="32"/>
        </w:rPr>
        <w:t>所有作品都为介绍美食或生活用小商品，</w:t>
      </w:r>
      <w:r>
        <w:rPr>
          <w:rFonts w:hint="eastAsia" w:cs="Times New Roman"/>
          <w:bCs/>
          <w:sz w:val="32"/>
          <w:szCs w:val="32"/>
          <w:lang w:eastAsia="zh-CN"/>
        </w:rPr>
        <w:t>共发布作品</w:t>
      </w:r>
      <w:r>
        <w:rPr>
          <w:rFonts w:hint="eastAsia" w:cs="Times New Roman"/>
          <w:bCs/>
          <w:sz w:val="32"/>
          <w:szCs w:val="32"/>
          <w:lang w:val="en-US" w:eastAsia="zh-CN"/>
        </w:rPr>
        <w:t>551条，最早的视频发布于2021年11月24日，最新的视频发布于2023年7月23日。</w:t>
      </w:r>
      <w:r>
        <w:rPr>
          <w:rFonts w:hint="default" w:ascii="Times New Roman" w:hAnsi="Times New Roman" w:eastAsia="仿宋_GB2312" w:cs="Times New Roman"/>
          <w:bCs/>
          <w:sz w:val="32"/>
          <w:szCs w:val="32"/>
        </w:rPr>
        <w:t>对比设计1的具体链接为https</w:t>
      </w:r>
      <w:bookmarkStart w:id="5" w:name="WKJC_05d84febe27a44928f8dd1d39462b1b7"/>
      <w:r>
        <w:rPr>
          <w:rFonts w:hint="eastAsia" w:cs="Times New Roman"/>
          <w:bCs/>
          <w:sz w:val="32"/>
          <w:szCs w:val="32"/>
          <w:lang w:eastAsia="zh-CN"/>
        </w:rPr>
        <w:t>：</w:t>
      </w:r>
      <w:bookmarkEnd w:id="5"/>
      <w:r>
        <w:rPr>
          <w:rFonts w:hint="default" w:ascii="Times New Roman" w:hAnsi="Times New Roman" w:eastAsia="仿宋_GB2312" w:cs="Times New Roman"/>
          <w:bCs/>
          <w:sz w:val="32"/>
          <w:szCs w:val="32"/>
        </w:rPr>
        <w:t>//v.douyin.com/ib8ArNp/</w:t>
      </w:r>
      <w:r>
        <w:rPr>
          <w:rFonts w:hint="eastAsia" w:cs="Times New Roman"/>
          <w:bCs/>
          <w:sz w:val="32"/>
          <w:szCs w:val="32"/>
          <w:lang w:eastAsia="zh-CN"/>
        </w:rPr>
        <w:t>，标题为“波塔化妆镜”，所配文字为“好看的美妆镜来啦！银色是浪漫的底色，随身携带，浪漫相随”，该视频前后的视频作品标题分别为“懒人搓衣板”“化妆洗漱包”</w:t>
      </w:r>
      <w:r>
        <w:rPr>
          <w:rFonts w:hint="default" w:ascii="Times New Roman" w:hAnsi="Times New Roman" w:eastAsia="仿宋_GB2312" w:cs="Times New Roman"/>
          <w:bCs/>
          <w:sz w:val="32"/>
          <w:szCs w:val="32"/>
        </w:rPr>
        <w:t>。</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在二审中以该对比设计1作为现有设计抗辩的比对文件。本案二审查明的其他事实与一审认定的一致。</w:t>
      </w:r>
    </w:p>
    <w:p>
      <w:pPr>
        <w:keepNext w:val="0"/>
        <w:keepLines w:val="0"/>
        <w:pageBreakBefore w:val="0"/>
        <w:widowControl w:val="0"/>
        <w:kinsoku/>
        <w:wordWrap/>
        <w:overflowPunct/>
        <w:topLinePunct/>
        <w:bidi w:val="0"/>
        <w:spacing w:line="580" w:lineRule="exact"/>
        <w:ind w:firstLine="560"/>
        <w:jc w:val="both"/>
        <w:textAlignment w:val="auto"/>
        <w:rPr>
          <w:rFonts w:hint="default" w:ascii="Times New Roman" w:hAnsi="Times New Roman" w:eastAsia="仿宋_GB2312" w:cs="Times New Roman"/>
          <w:bCs/>
          <w:sz w:val="32"/>
          <w:szCs w:val="32"/>
        </w:rPr>
      </w:pPr>
      <w:r>
        <w:rPr>
          <w:rFonts w:hint="eastAsia" w:cs="Times New Roman"/>
          <w:bCs/>
          <w:sz w:val="32"/>
          <w:szCs w:val="32"/>
          <w:lang w:eastAsia="zh-CN"/>
        </w:rPr>
        <w:t>本院认为，</w:t>
      </w:r>
      <w:r>
        <w:rPr>
          <w:rFonts w:hint="default" w:ascii="Times New Roman" w:hAnsi="Times New Roman" w:eastAsia="仿宋_GB2312" w:cs="Times New Roman"/>
          <w:bCs/>
          <w:sz w:val="32"/>
          <w:szCs w:val="32"/>
        </w:rPr>
        <w:t>二审中，</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对于被诉侵权设计落入涉案专利权保护范围并无异议，故本案二审的争议焦点在于：</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提出的现有设计抗辩是否成立。</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Cs/>
          <w:sz w:val="32"/>
          <w:szCs w:val="32"/>
          <w:lang w:eastAsia="zh-CN"/>
        </w:rPr>
      </w:pPr>
      <w:r>
        <w:rPr>
          <w:rFonts w:hint="default" w:ascii="Times New Roman" w:hAnsi="Times New Roman" w:eastAsia="仿宋_GB2312" w:cs="Times New Roman"/>
          <w:bCs/>
          <w:sz w:val="32"/>
          <w:szCs w:val="32"/>
        </w:rPr>
        <w:t>经释明，</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二审中认为</w:t>
      </w:r>
      <w:r>
        <w:rPr>
          <w:rFonts w:hint="eastAsia" w:cs="Times New Roman"/>
          <w:bCs/>
          <w:sz w:val="32"/>
          <w:szCs w:val="32"/>
          <w:lang w:eastAsia="zh-CN"/>
        </w:rPr>
        <w:t>，因其对被诉侵权设计与涉案专利构成相同无异议，故</w:t>
      </w:r>
      <w:r>
        <w:rPr>
          <w:rFonts w:hint="default" w:ascii="Times New Roman" w:hAnsi="Times New Roman" w:eastAsia="仿宋_GB2312" w:cs="Times New Roman"/>
          <w:bCs/>
          <w:sz w:val="32"/>
          <w:szCs w:val="32"/>
        </w:rPr>
        <w:t>其上诉理由中认为涉案专利属于现有设计而无新颖性的理由</w:t>
      </w:r>
      <w:r>
        <w:rPr>
          <w:rFonts w:hint="eastAsia" w:cs="Times New Roman"/>
          <w:bCs/>
          <w:sz w:val="32"/>
          <w:szCs w:val="32"/>
          <w:lang w:eastAsia="zh-CN"/>
        </w:rPr>
        <w:t>亦</w:t>
      </w:r>
      <w:r>
        <w:rPr>
          <w:rFonts w:hint="default" w:ascii="Times New Roman" w:hAnsi="Times New Roman" w:eastAsia="仿宋_GB2312" w:cs="Times New Roman"/>
          <w:bCs/>
          <w:sz w:val="32"/>
          <w:szCs w:val="32"/>
        </w:rPr>
        <w:t>是指被诉侵权设计属于现有设计，认为被诉侵权设计与上述评价报告中的对比设计1构成近似。《中华人民共和国专利法》</w:t>
      </w:r>
      <w:r>
        <w:rPr>
          <w:rFonts w:hint="eastAsia" w:cs="Times New Roman"/>
          <w:bCs/>
          <w:sz w:val="32"/>
          <w:szCs w:val="32"/>
          <w:lang w:eastAsia="zh-CN"/>
        </w:rPr>
        <w:t>第二十三条第四款规定，本法所称现有设计，是指申请日以前在国内外为公众所知的设计。</w:t>
      </w:r>
      <w:r>
        <w:rPr>
          <w:rFonts w:hint="default" w:ascii="Times New Roman" w:hAnsi="Times New Roman" w:eastAsia="仿宋_GB2312" w:cs="Times New Roman"/>
          <w:bCs/>
          <w:sz w:val="32"/>
          <w:szCs w:val="32"/>
        </w:rPr>
        <w:t>第六十七条规定，在专利侵权纠纷中，被控侵权人有证据证明其实施的设计属于现有设计的，不构成侵犯专利权。《最高人民法院关于审理侵犯专利权纠纷案件应用法律若干问题的解释》第十四条第二款规定，被诉侵权设计与一个现有设计相同或者无实质性差异的，人民法院应当认定被诉侵权人实施的设计属于专利法规定的现有设计。</w:t>
      </w:r>
      <w:r>
        <w:rPr>
          <w:rFonts w:hint="eastAsia" w:cs="Times New Roman"/>
          <w:bCs/>
          <w:sz w:val="32"/>
          <w:szCs w:val="32"/>
          <w:lang w:eastAsia="zh-CN"/>
        </w:rPr>
        <w:t>本院</w:t>
      </w:r>
      <w:r>
        <w:rPr>
          <w:rFonts w:hint="default" w:ascii="Times New Roman" w:hAnsi="Times New Roman" w:eastAsia="仿宋_GB2312" w:cs="Times New Roman"/>
          <w:bCs/>
          <w:sz w:val="32"/>
          <w:szCs w:val="32"/>
        </w:rPr>
        <w:t>认为，</w:t>
      </w:r>
      <w:r>
        <w:rPr>
          <w:rFonts w:hint="eastAsia" w:cs="Times New Roman"/>
          <w:bCs/>
          <w:sz w:val="32"/>
          <w:szCs w:val="32"/>
          <w:lang w:eastAsia="zh-CN"/>
        </w:rPr>
        <w:t>现有设计是指申请日前在国内外为公众所知的设计。判断短视频平台发布的信息是否构成现有设计，应当综合短视频平台信息发布机制，发布者的具体情况，信息的具体内容、发布方式以及发布时间，该短视频号的主要用途等因素，以专利申请日前该视频信息是否实际处于不特定公众能够获得的状态为标准作出判断。</w:t>
      </w:r>
    </w:p>
    <w:p>
      <w:pPr>
        <w:keepNext w:val="0"/>
        <w:keepLines w:val="0"/>
        <w:pageBreakBefore w:val="0"/>
        <w:widowControl w:val="0"/>
        <w:kinsoku/>
        <w:wordWrap/>
        <w:overflowPunct/>
        <w:topLinePunct/>
        <w:bidi w:val="0"/>
        <w:spacing w:line="580" w:lineRule="exact"/>
        <w:ind w:firstLine="560"/>
        <w:jc w:val="both"/>
        <w:textAlignment w:val="auto"/>
        <w:rPr>
          <w:rFonts w:hint="eastAsia" w:cs="Times New Roman"/>
          <w:bCs/>
          <w:sz w:val="32"/>
          <w:szCs w:val="32"/>
          <w:lang w:eastAsia="zh-CN"/>
        </w:rPr>
      </w:pPr>
      <w:r>
        <w:rPr>
          <w:rFonts w:hint="default" w:ascii="Times New Roman" w:hAnsi="Times New Roman" w:eastAsia="仿宋_GB2312" w:cs="Times New Roman"/>
          <w:bCs/>
          <w:sz w:val="32"/>
          <w:szCs w:val="32"/>
        </w:rPr>
        <w:t>本案中，</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用于进行现有设计抗辩的比对文件为</w:t>
      </w:r>
      <w:r>
        <w:rPr>
          <w:rFonts w:hint="eastAsia" w:cs="Times New Roman"/>
          <w:bCs/>
          <w:sz w:val="32"/>
          <w:szCs w:val="32"/>
          <w:lang w:eastAsia="zh-CN"/>
        </w:rPr>
        <w:t>高某</w:t>
      </w:r>
      <w:r>
        <w:rPr>
          <w:rFonts w:hint="default" w:ascii="Times New Roman" w:hAnsi="Times New Roman" w:eastAsia="仿宋_GB2312" w:cs="Times New Roman"/>
          <w:bCs/>
          <w:sz w:val="32"/>
          <w:szCs w:val="32"/>
        </w:rPr>
        <w:t>同日申请的另一专利的评价报告中的对比设计1。</w:t>
      </w:r>
      <w:r>
        <w:rPr>
          <w:rFonts w:hint="eastAsia" w:cs="Times New Roman"/>
          <w:bCs/>
          <w:sz w:val="32"/>
          <w:szCs w:val="32"/>
          <w:lang w:eastAsia="zh-CN"/>
        </w:rPr>
        <w:t>高某</w:t>
      </w:r>
      <w:r>
        <w:rPr>
          <w:rFonts w:hint="default" w:ascii="Times New Roman" w:hAnsi="Times New Roman" w:eastAsia="仿宋_GB2312" w:cs="Times New Roman"/>
          <w:bCs/>
          <w:sz w:val="32"/>
          <w:szCs w:val="32"/>
        </w:rPr>
        <w:t>认为不能确定该视频在显示的时间已处于公开状态，与被诉侵权设计亦不构成相同或近似。</w:t>
      </w:r>
      <w:r>
        <w:rPr>
          <w:rFonts w:hint="eastAsia" w:cs="Times New Roman"/>
          <w:bCs/>
          <w:sz w:val="32"/>
          <w:szCs w:val="32"/>
          <w:lang w:eastAsia="zh-CN"/>
        </w:rPr>
        <w:t>对此，本院分析如下：</w:t>
      </w:r>
    </w:p>
    <w:p>
      <w:pPr>
        <w:keepNext w:val="0"/>
        <w:keepLines w:val="0"/>
        <w:pageBreakBefore w:val="0"/>
        <w:widowControl w:val="0"/>
        <w:numPr>
          <w:ilvl w:val="0"/>
          <w:numId w:val="0"/>
        </w:numPr>
        <w:kinsoku/>
        <w:wordWrap/>
        <w:overflowPunct/>
        <w:topLinePunct/>
        <w:bidi w:val="0"/>
        <w:spacing w:line="580" w:lineRule="exact"/>
        <w:ind w:firstLine="620" w:firstLineChars="200"/>
        <w:jc w:val="both"/>
        <w:textAlignment w:val="auto"/>
        <w:rPr>
          <w:rFonts w:hint="default" w:ascii="Times New Roman" w:hAnsi="Times New Roman" w:eastAsia="仿宋_GB2312" w:cs="Times New Roman"/>
          <w:bCs/>
          <w:sz w:val="32"/>
          <w:szCs w:val="32"/>
        </w:rPr>
      </w:pPr>
      <w:r>
        <w:rPr>
          <w:rFonts w:hint="eastAsia" w:cs="Times New Roman"/>
          <w:bCs/>
          <w:sz w:val="32"/>
          <w:szCs w:val="32"/>
          <w:lang w:eastAsia="zh-CN"/>
        </w:rPr>
        <w:t>第一，关于专利评价报告中的对比设计能否直接援引为现有设计。专利评价报告为国家知识产权局根据专利权人、利害关系人的请求，对已授权的实用新型或外观设计专利进行检索、分析和评价后作出的报告，它不是行政决定，而是作为审理专利侵权纠纷的证据，具有参考价值，但不直接判定专利权的效力。因此，专利评价报告中的对比设计亦同样仅具有参考价值，其是否能认定为现有设计，需要如其他途径获取的现有设计比对文件一样，审查其公开时间、公开状态以及与被诉侵权设计的比对之后才能认定。</w:t>
      </w:r>
    </w:p>
    <w:p>
      <w:pPr>
        <w:keepNext w:val="0"/>
        <w:keepLines w:val="0"/>
        <w:pageBreakBefore w:val="0"/>
        <w:widowControl w:val="0"/>
        <w:numPr>
          <w:ilvl w:val="0"/>
          <w:numId w:val="0"/>
        </w:numPr>
        <w:kinsoku/>
        <w:wordWrap/>
        <w:overflowPunct/>
        <w:topLinePunct/>
        <w:bidi w:val="0"/>
        <w:spacing w:line="580" w:lineRule="exact"/>
        <w:ind w:firstLine="620" w:firstLineChars="200"/>
        <w:jc w:val="both"/>
        <w:textAlignment w:val="auto"/>
        <w:rPr>
          <w:rFonts w:hint="default" w:ascii="Times New Roman" w:hAnsi="Times New Roman" w:eastAsia="仿宋_GB2312" w:cs="Times New Roman"/>
          <w:bCs/>
          <w:sz w:val="32"/>
          <w:szCs w:val="32"/>
        </w:rPr>
      </w:pPr>
      <w:r>
        <w:rPr>
          <w:rFonts w:hint="eastAsia" w:cs="Times New Roman"/>
          <w:bCs/>
          <w:sz w:val="32"/>
          <w:szCs w:val="32"/>
          <w:lang w:eastAsia="zh-CN"/>
        </w:rPr>
        <w:t>第二，关于本案对比设计</w:t>
      </w:r>
      <w:r>
        <w:rPr>
          <w:rFonts w:hint="eastAsia" w:cs="Times New Roman"/>
          <w:bCs/>
          <w:sz w:val="32"/>
          <w:szCs w:val="32"/>
          <w:lang w:val="en-US" w:eastAsia="zh-CN"/>
        </w:rPr>
        <w:t>1是否对公众公开及公开时间。前述对比设计1为抖音用户于</w:t>
      </w:r>
      <w:r>
        <w:rPr>
          <w:rFonts w:hint="default" w:ascii="Times New Roman" w:hAnsi="Times New Roman" w:eastAsia="仿宋_GB2312" w:cs="Times New Roman"/>
          <w:bCs/>
          <w:sz w:val="32"/>
          <w:szCs w:val="32"/>
        </w:rPr>
        <w:t>2022年7月20日</w:t>
      </w:r>
      <w:r>
        <w:rPr>
          <w:rFonts w:hint="eastAsia" w:cs="Times New Roman"/>
          <w:bCs/>
          <w:sz w:val="32"/>
          <w:szCs w:val="32"/>
          <w:lang w:eastAsia="zh-CN"/>
        </w:rPr>
        <w:t>发布的短视频。从抖音平台发布短视频的机制来看</w:t>
      </w:r>
      <w:r>
        <w:rPr>
          <w:rFonts w:hint="default" w:ascii="Times New Roman" w:hAnsi="Times New Roman" w:eastAsia="仿宋_GB2312" w:cs="Times New Roman"/>
          <w:bCs/>
          <w:sz w:val="32"/>
          <w:szCs w:val="32"/>
        </w:rPr>
        <w:t>，</w:t>
      </w:r>
      <w:r>
        <w:rPr>
          <w:rFonts w:hint="eastAsia" w:cs="Times New Roman"/>
          <w:bCs/>
          <w:sz w:val="32"/>
          <w:szCs w:val="32"/>
          <w:lang w:eastAsia="zh-CN"/>
        </w:rPr>
        <w:t>抖音作品发布时间系由系统自动生成，且内容本身不能被编辑修改，故可以确定对比设计</w:t>
      </w:r>
      <w:r>
        <w:rPr>
          <w:rFonts w:hint="eastAsia" w:cs="Times New Roman"/>
          <w:bCs/>
          <w:sz w:val="32"/>
          <w:szCs w:val="32"/>
          <w:lang w:val="en-US" w:eastAsia="zh-CN"/>
        </w:rPr>
        <w:t>1确系于涉案专利申请日前发布。对比设计1</w:t>
      </w:r>
      <w:r>
        <w:rPr>
          <w:rFonts w:hint="default" w:ascii="Times New Roman" w:hAnsi="Times New Roman" w:eastAsia="仿宋_GB2312" w:cs="Times New Roman"/>
          <w:bCs/>
          <w:sz w:val="32"/>
          <w:szCs w:val="32"/>
        </w:rPr>
        <w:t>抖音用户</w:t>
      </w:r>
      <w:r>
        <w:rPr>
          <w:rFonts w:hint="eastAsia" w:cs="Times New Roman"/>
          <w:bCs/>
          <w:sz w:val="32"/>
          <w:szCs w:val="32"/>
          <w:lang w:eastAsia="zh-CN"/>
        </w:rPr>
        <w:t>的名称为“小九好物分享”，简介中明确指明“可通过橱窗购买”这一将抖音平台作为销售平台常见的宣传方式，且该用户一年多时间内连续、多次发布美食和生活商品视频和名称信息，所配文字亦包含明确的推广销售用语。综合考虑该视频信息的发布方式、内容以及该用户发布习惯、配文文字等，可以确定该视频用户从事商品的销售推广工作，在没有相反证据的情况下，可以认定对比设计</w:t>
      </w:r>
      <w:r>
        <w:rPr>
          <w:rFonts w:hint="eastAsia" w:cs="Times New Roman"/>
          <w:bCs/>
          <w:sz w:val="32"/>
          <w:szCs w:val="32"/>
          <w:lang w:val="en-US" w:eastAsia="zh-CN"/>
        </w:rPr>
        <w:t>1在发布时处于公开状态。因此，本院认为，</w:t>
      </w:r>
      <w:r>
        <w:rPr>
          <w:rFonts w:hint="default" w:ascii="Times New Roman" w:hAnsi="Times New Roman" w:eastAsia="仿宋_GB2312" w:cs="Times New Roman"/>
          <w:bCs/>
          <w:sz w:val="32"/>
          <w:szCs w:val="32"/>
        </w:rPr>
        <w:t>对比设计1</w:t>
      </w:r>
      <w:r>
        <w:rPr>
          <w:rFonts w:hint="eastAsia" w:cs="Times New Roman"/>
          <w:bCs/>
          <w:sz w:val="32"/>
          <w:szCs w:val="32"/>
          <w:lang w:eastAsia="zh-CN"/>
        </w:rPr>
        <w:t>在</w:t>
      </w:r>
      <w:r>
        <w:rPr>
          <w:rFonts w:hint="default" w:ascii="Times New Roman" w:hAnsi="Times New Roman" w:eastAsia="仿宋_GB2312" w:cs="Times New Roman"/>
          <w:bCs/>
          <w:sz w:val="32"/>
          <w:szCs w:val="32"/>
        </w:rPr>
        <w:t>涉案专利申请日</w:t>
      </w:r>
      <w:r>
        <w:rPr>
          <w:rFonts w:hint="eastAsia" w:cs="Times New Roman"/>
          <w:bCs/>
          <w:sz w:val="32"/>
          <w:szCs w:val="32"/>
          <w:lang w:eastAsia="zh-CN"/>
        </w:rPr>
        <w:t>前已处于公众所知的状态</w:t>
      </w:r>
      <w:r>
        <w:rPr>
          <w:rFonts w:hint="default" w:ascii="Times New Roman" w:hAnsi="Times New Roman" w:eastAsia="仿宋_GB2312" w:cs="Times New Roman"/>
          <w:bCs/>
          <w:sz w:val="32"/>
          <w:szCs w:val="32"/>
        </w:rPr>
        <w:t>，两者均为手持镜的外观，属于相同种类的外观设计，可以作为本案现有设计与被诉侵权设计进行比对。</w:t>
      </w:r>
    </w:p>
    <w:p>
      <w:pPr>
        <w:keepNext w:val="0"/>
        <w:keepLines w:val="0"/>
        <w:pageBreakBefore w:val="0"/>
        <w:widowControl w:val="0"/>
        <w:numPr>
          <w:ilvl w:val="0"/>
          <w:numId w:val="0"/>
        </w:numPr>
        <w:kinsoku/>
        <w:wordWrap/>
        <w:overflowPunct/>
        <w:topLinePunct/>
        <w:bidi w:val="0"/>
        <w:spacing w:line="580" w:lineRule="exact"/>
        <w:ind w:firstLine="620" w:firstLineChars="200"/>
        <w:jc w:val="both"/>
        <w:textAlignment w:val="auto"/>
        <w:rPr>
          <w:rFonts w:hint="default" w:ascii="Times New Roman" w:hAnsi="Times New Roman" w:eastAsia="仿宋_GB2312" w:cs="Times New Roman"/>
          <w:bCs/>
          <w:sz w:val="32"/>
          <w:szCs w:val="32"/>
        </w:rPr>
      </w:pPr>
      <w:r>
        <w:rPr>
          <w:rFonts w:hint="eastAsia" w:cs="Times New Roman"/>
          <w:bCs/>
          <w:sz w:val="32"/>
          <w:szCs w:val="32"/>
          <w:lang w:eastAsia="zh-CN"/>
        </w:rPr>
        <w:t>第三</w:t>
      </w:r>
      <w:r>
        <w:rPr>
          <w:rFonts w:hint="default" w:ascii="Times New Roman" w:hAnsi="Times New Roman" w:eastAsia="仿宋_GB2312" w:cs="Times New Roman"/>
          <w:bCs/>
          <w:sz w:val="32"/>
          <w:szCs w:val="32"/>
        </w:rPr>
        <w:t>，将该对比设计1与被诉侵权设计进行比对，两者相同点在于：1.整体均呈扁平状，均由镜体和手柄两部分组成；2.镜面嵌于</w:t>
      </w:r>
      <w:bookmarkStart w:id="6" w:name="WKJC_f4f9329f767d461ab87239c01f48ec89"/>
      <w:r>
        <w:rPr>
          <w:rFonts w:hint="default" w:ascii="Times New Roman" w:hAnsi="Times New Roman" w:eastAsia="仿宋_GB2312" w:cs="Times New Roman"/>
          <w:bCs/>
          <w:sz w:val="32"/>
          <w:szCs w:val="32"/>
        </w:rPr>
        <w:t>窄</w:t>
      </w:r>
      <w:bookmarkEnd w:id="6"/>
      <w:r>
        <w:rPr>
          <w:rFonts w:hint="default" w:ascii="Times New Roman" w:hAnsi="Times New Roman" w:eastAsia="仿宋_GB2312" w:cs="Times New Roman"/>
          <w:bCs/>
          <w:sz w:val="32"/>
          <w:szCs w:val="32"/>
        </w:rPr>
        <w:t>边镜</w:t>
      </w:r>
      <w:r>
        <w:rPr>
          <w:rFonts w:hint="eastAsia" w:cs="Times New Roman"/>
          <w:bCs/>
          <w:sz w:val="32"/>
          <w:szCs w:val="32"/>
          <w:lang w:eastAsia="zh-CN"/>
        </w:rPr>
        <w:t>框</w:t>
      </w:r>
      <w:r>
        <w:rPr>
          <w:rFonts w:hint="default" w:ascii="Times New Roman" w:hAnsi="Times New Roman" w:eastAsia="仿宋_GB2312" w:cs="Times New Roman"/>
          <w:bCs/>
          <w:sz w:val="32"/>
          <w:szCs w:val="32"/>
        </w:rPr>
        <w:t>内；3.产品背面有水波纹状褶皱凹凸设计；4.手柄与镜体均一体式自然过渡连接，均位于镜体中线上，手柄均近似长方形，尾端均有弧形倒角，长度与镜体竖向长度均近似等长；5.手柄一周有一圈凸起包边。两者区别点主要在于：1.对比设计1镜体为方形，被诉侵权设计镜体为圆形；2.对比设计1镜体背面中间有英文字母，被诉侵权设计无此设计。对此，</w:t>
      </w:r>
      <w:r>
        <w:rPr>
          <w:rFonts w:hint="eastAsia" w:cs="Times New Roman"/>
          <w:bCs/>
          <w:sz w:val="32"/>
          <w:szCs w:val="32"/>
          <w:lang w:eastAsia="zh-CN"/>
        </w:rPr>
        <w:t>本院</w:t>
      </w:r>
      <w:r>
        <w:rPr>
          <w:rFonts w:hint="default" w:ascii="Times New Roman" w:hAnsi="Times New Roman" w:eastAsia="仿宋_GB2312" w:cs="Times New Roman"/>
          <w:bCs/>
          <w:sz w:val="32"/>
          <w:szCs w:val="32"/>
        </w:rPr>
        <w:t>认为，</w:t>
      </w:r>
      <w:r>
        <w:rPr>
          <w:rFonts w:hint="eastAsia" w:cs="Times New Roman"/>
          <w:bCs/>
          <w:sz w:val="32"/>
          <w:szCs w:val="32"/>
          <w:lang w:eastAsia="zh-CN"/>
        </w:rPr>
        <w:t>结合涉案专利评价报告中显示的涉案专利的设计特征，</w:t>
      </w:r>
      <w:r>
        <w:rPr>
          <w:rFonts w:hint="default" w:ascii="Times New Roman" w:hAnsi="Times New Roman" w:eastAsia="仿宋_GB2312" w:cs="Times New Roman"/>
          <w:bCs/>
          <w:sz w:val="32"/>
          <w:szCs w:val="32"/>
        </w:rPr>
        <w:t>对比设计1与被诉侵权设计整体比例、手柄形状、镜体和手柄的连接方式均较为相近，尤其是产品背面的凹凸纹理、雕花等的具体设计上基本相同，</w:t>
      </w:r>
      <w:r>
        <w:rPr>
          <w:rFonts w:hint="eastAsia" w:cs="Times New Roman"/>
          <w:bCs/>
          <w:sz w:val="32"/>
          <w:szCs w:val="32"/>
          <w:lang w:eastAsia="zh-CN"/>
        </w:rPr>
        <w:t>使得两者整体视觉效果较为相近。</w:t>
      </w:r>
      <w:r>
        <w:rPr>
          <w:rFonts w:hint="default" w:ascii="Times New Roman" w:hAnsi="Times New Roman" w:eastAsia="仿宋_GB2312" w:cs="Times New Roman"/>
          <w:bCs/>
          <w:sz w:val="32"/>
          <w:szCs w:val="32"/>
        </w:rPr>
        <w:t>而手持镜产品大多呈圆形或方形，将方形改为圆形为该类</w:t>
      </w:r>
      <w:r>
        <w:rPr>
          <w:rFonts w:hint="eastAsia" w:cs="Times New Roman"/>
          <w:bCs/>
          <w:sz w:val="32"/>
          <w:szCs w:val="32"/>
          <w:lang w:eastAsia="zh-CN"/>
        </w:rPr>
        <w:t>设计</w:t>
      </w:r>
      <w:r>
        <w:rPr>
          <w:rFonts w:hint="default" w:ascii="Times New Roman" w:hAnsi="Times New Roman" w:eastAsia="仿宋_GB2312" w:cs="Times New Roman"/>
          <w:bCs/>
          <w:sz w:val="32"/>
          <w:szCs w:val="32"/>
        </w:rPr>
        <w:t>在形状上的简单替换，不足以</w:t>
      </w:r>
      <w:r>
        <w:rPr>
          <w:rFonts w:hint="eastAsia" w:cs="Times New Roman"/>
          <w:bCs/>
          <w:sz w:val="32"/>
          <w:szCs w:val="32"/>
          <w:lang w:eastAsia="zh-CN"/>
        </w:rPr>
        <w:t>实质性</w:t>
      </w:r>
      <w:r>
        <w:rPr>
          <w:rFonts w:hint="default" w:ascii="Times New Roman" w:hAnsi="Times New Roman" w:eastAsia="仿宋_GB2312" w:cs="Times New Roman"/>
          <w:bCs/>
          <w:sz w:val="32"/>
          <w:szCs w:val="32"/>
        </w:rPr>
        <w:t>影响两者的整体视觉效果。因此，从涉案专利的设计特征</w:t>
      </w:r>
      <w:r>
        <w:rPr>
          <w:rFonts w:hint="eastAsia" w:cs="Times New Roman"/>
          <w:bCs/>
          <w:sz w:val="32"/>
          <w:szCs w:val="32"/>
          <w:lang w:eastAsia="zh-CN"/>
        </w:rPr>
        <w:t>出发进行整体观察、综合比对，本院认为，</w:t>
      </w:r>
      <w:r>
        <w:rPr>
          <w:rFonts w:hint="default" w:ascii="Times New Roman" w:hAnsi="Times New Roman" w:eastAsia="仿宋_GB2312" w:cs="Times New Roman"/>
          <w:bCs/>
          <w:sz w:val="32"/>
          <w:szCs w:val="32"/>
        </w:rPr>
        <w:t>对比设计1与被诉侵权设计</w:t>
      </w:r>
      <w:r>
        <w:rPr>
          <w:rFonts w:hint="eastAsia" w:cs="Times New Roman"/>
          <w:bCs/>
          <w:sz w:val="32"/>
          <w:szCs w:val="32"/>
          <w:lang w:eastAsia="zh-CN"/>
        </w:rPr>
        <w:t>整体视觉效果无实质性差异</w:t>
      </w:r>
      <w:r>
        <w:rPr>
          <w:rFonts w:hint="default" w:ascii="Times New Roman" w:hAnsi="Times New Roman" w:eastAsia="仿宋_GB2312" w:cs="Times New Roman"/>
          <w:bCs/>
          <w:sz w:val="32"/>
          <w:szCs w:val="32"/>
        </w:rPr>
        <w:t>，</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提出的现有设计抗辩成立。</w:t>
      </w:r>
    </w:p>
    <w:p>
      <w:pPr>
        <w:keepNext w:val="0"/>
        <w:keepLines w:val="0"/>
        <w:pageBreakBefore w:val="0"/>
        <w:widowControl w:val="0"/>
        <w:kinsoku/>
        <w:wordWrap/>
        <w:overflowPunct/>
        <w:topLinePunct/>
        <w:bidi w:val="0"/>
        <w:spacing w:line="580" w:lineRule="exact"/>
        <w:ind w:firstLine="560"/>
        <w:jc w:val="both"/>
        <w:textAlignment w:val="auto"/>
        <w:rPr>
          <w:rFonts w:hint="default" w:ascii="Times New Roman" w:hAnsi="Times New Roman" w:eastAsia="仿宋_GB2312" w:cs="Times New Roman"/>
          <w:bCs/>
          <w:sz w:val="32"/>
          <w:szCs w:val="32"/>
        </w:rPr>
      </w:pPr>
      <w:r>
        <w:rPr>
          <w:rFonts w:hint="default" w:ascii="Times New Roman" w:hAnsi="Times New Roman" w:eastAsia="仿宋_GB2312" w:cs="Times New Roman"/>
          <w:bCs/>
          <w:sz w:val="32"/>
          <w:szCs w:val="32"/>
        </w:rPr>
        <w:t>因被诉侵权设计属于现有设计，故</w:t>
      </w:r>
      <w:r>
        <w:rPr>
          <w:rFonts w:hint="eastAsia" w:cs="Times New Roman"/>
          <w:bCs/>
          <w:sz w:val="32"/>
          <w:szCs w:val="32"/>
          <w:lang w:eastAsia="zh-CN"/>
        </w:rPr>
        <w:t>凯某公司</w:t>
      </w:r>
      <w:r>
        <w:rPr>
          <w:rFonts w:hint="default" w:ascii="Times New Roman" w:hAnsi="Times New Roman" w:eastAsia="仿宋_GB2312" w:cs="Times New Roman"/>
          <w:bCs/>
          <w:sz w:val="32"/>
          <w:szCs w:val="32"/>
        </w:rPr>
        <w:t>的行为不构成侵权，</w:t>
      </w:r>
      <w:r>
        <w:rPr>
          <w:rFonts w:hint="eastAsia" w:cs="Times New Roman"/>
          <w:bCs/>
          <w:sz w:val="32"/>
          <w:szCs w:val="32"/>
          <w:lang w:eastAsia="zh-CN"/>
        </w:rPr>
        <w:t>高某</w:t>
      </w:r>
      <w:r>
        <w:rPr>
          <w:rFonts w:hint="default" w:ascii="Times New Roman" w:hAnsi="Times New Roman" w:eastAsia="仿宋_GB2312" w:cs="Times New Roman"/>
          <w:bCs/>
          <w:sz w:val="32"/>
          <w:szCs w:val="32"/>
        </w:rPr>
        <w:t>的诉讼请求均不能成立，应予驳回。</w:t>
      </w:r>
    </w:p>
    <w:p>
      <w:pPr>
        <w:keepNext w:val="0"/>
        <w:keepLines w:val="0"/>
        <w:pageBreakBefore w:val="0"/>
        <w:widowControl w:val="0"/>
        <w:tabs>
          <w:tab w:val="left" w:pos="8280"/>
        </w:tabs>
        <w:kinsoku/>
        <w:wordWrap/>
        <w:overflowPunct/>
        <w:autoSpaceDE w:val="0"/>
        <w:autoSpaceDN w:val="0"/>
        <w:bidi w:val="0"/>
        <w:adjustRightInd w:val="0"/>
        <w:snapToGrid w:val="0"/>
        <w:spacing w:line="580" w:lineRule="exact"/>
        <w:ind w:firstLine="620" w:firstLineChars="200"/>
        <w:jc w:val="both"/>
        <w:textAlignment w:val="auto"/>
        <w:rPr>
          <w:rFonts w:hint="eastAsia" w:cs="Times New Roman"/>
          <w:kern w:val="0"/>
          <w:sz w:val="32"/>
          <w:szCs w:val="32"/>
          <w:lang w:val="en-US" w:eastAsia="zh-CN"/>
        </w:rPr>
      </w:pPr>
      <w:r>
        <w:rPr>
          <w:rFonts w:hint="default" w:ascii="Times New Roman" w:hAnsi="Times New Roman" w:eastAsia="仿宋_GB2312" w:cs="Times New Roman"/>
          <w:b w:val="0"/>
          <w:bCs w:val="0"/>
          <w:sz w:val="32"/>
          <w:szCs w:val="32"/>
          <w:lang w:val="zh-CN"/>
        </w:rPr>
        <w:t>综上，</w:t>
      </w:r>
      <w:r>
        <w:rPr>
          <w:rFonts w:hint="eastAsia" w:cs="Times New Roman"/>
          <w:kern w:val="0"/>
          <w:sz w:val="32"/>
          <w:szCs w:val="32"/>
          <w:lang w:val="en-US" w:eastAsia="zh-CN"/>
        </w:rPr>
        <w:t>凯某公司的上诉理由成立，对其上诉请求应予支持。一审判决认定事实清楚、适用法律正确，但因二审出现新证据，应予改判。依照《中华人民共和国专利法》第二十三条第四款，第六十七条，《最高人民法院关于审理侵犯专利权纠纷案件应用法律若干问题的解释》第十四条第二款，《中华人民共和国民事诉讼法》第一百七十七条第一款第二项之规定，判决如下：</w:t>
      </w:r>
    </w:p>
    <w:p>
      <w:pPr>
        <w:keepNext w:val="0"/>
        <w:keepLines w:val="0"/>
        <w:pageBreakBefore w:val="0"/>
        <w:widowControl w:val="0"/>
        <w:tabs>
          <w:tab w:val="left" w:pos="8280"/>
        </w:tabs>
        <w:kinsoku/>
        <w:wordWrap/>
        <w:overflowPunct/>
        <w:autoSpaceDE w:val="0"/>
        <w:autoSpaceDN w:val="0"/>
        <w:bidi w:val="0"/>
        <w:adjustRightInd w:val="0"/>
        <w:snapToGrid w:val="0"/>
        <w:spacing w:line="580" w:lineRule="exact"/>
        <w:ind w:firstLine="620" w:firstLineChars="200"/>
        <w:jc w:val="both"/>
        <w:textAlignment w:val="auto"/>
        <w:rPr>
          <w:rFonts w:hint="eastAsia" w:cs="Times New Roman"/>
          <w:kern w:val="0"/>
          <w:sz w:val="32"/>
          <w:szCs w:val="32"/>
          <w:lang w:val="en-US" w:eastAsia="zh-CN"/>
        </w:rPr>
      </w:pPr>
      <w:r>
        <w:rPr>
          <w:rFonts w:hint="eastAsia" w:cs="Times New Roman"/>
          <w:kern w:val="0"/>
          <w:sz w:val="32"/>
          <w:szCs w:val="32"/>
          <w:lang w:val="en-US" w:eastAsia="zh-CN"/>
        </w:rPr>
        <w:t>一、撤销浙江省金华市中级人民法院（2025）浙07民初275号民事判决；</w:t>
      </w:r>
    </w:p>
    <w:p>
      <w:pPr>
        <w:keepNext w:val="0"/>
        <w:keepLines w:val="0"/>
        <w:pageBreakBefore w:val="0"/>
        <w:widowControl w:val="0"/>
        <w:tabs>
          <w:tab w:val="left" w:pos="8280"/>
        </w:tabs>
        <w:kinsoku/>
        <w:wordWrap/>
        <w:overflowPunct/>
        <w:autoSpaceDE w:val="0"/>
        <w:autoSpaceDN w:val="0"/>
        <w:bidi w:val="0"/>
        <w:adjustRightInd w:val="0"/>
        <w:snapToGrid w:val="0"/>
        <w:spacing w:line="580" w:lineRule="exact"/>
        <w:ind w:firstLine="620" w:firstLineChars="200"/>
        <w:jc w:val="both"/>
        <w:textAlignment w:val="auto"/>
        <w:rPr>
          <w:rFonts w:hint="eastAsia" w:cs="Times New Roman"/>
          <w:kern w:val="0"/>
          <w:sz w:val="32"/>
          <w:szCs w:val="32"/>
          <w:lang w:val="en-US" w:eastAsia="zh-CN"/>
        </w:rPr>
      </w:pPr>
      <w:r>
        <w:rPr>
          <w:rFonts w:hint="eastAsia" w:cs="Times New Roman"/>
          <w:kern w:val="0"/>
          <w:sz w:val="32"/>
          <w:szCs w:val="32"/>
          <w:lang w:val="en-US" w:eastAsia="zh-CN"/>
        </w:rPr>
        <w:t>二、驳回高某全部诉讼请求。</w:t>
      </w:r>
    </w:p>
    <w:p>
      <w:pPr>
        <w:keepNext w:val="0"/>
        <w:keepLines w:val="0"/>
        <w:pageBreakBefore w:val="0"/>
        <w:widowControl w:val="0"/>
        <w:tabs>
          <w:tab w:val="left" w:pos="8280"/>
        </w:tabs>
        <w:kinsoku/>
        <w:wordWrap/>
        <w:overflowPunct/>
        <w:autoSpaceDE w:val="0"/>
        <w:autoSpaceDN w:val="0"/>
        <w:bidi w:val="0"/>
        <w:adjustRightInd w:val="0"/>
        <w:snapToGrid w:val="0"/>
        <w:spacing w:line="580" w:lineRule="exact"/>
        <w:ind w:firstLine="620" w:firstLineChars="200"/>
        <w:jc w:val="both"/>
        <w:textAlignment w:val="auto"/>
        <w:rPr>
          <w:rFonts w:hint="eastAsia" w:ascii="Times New Roman" w:hAnsi="Times New Roman" w:eastAsia="仿宋_GB2312" w:cs="Times New Roman"/>
          <w:kern w:val="0"/>
          <w:sz w:val="32"/>
          <w:szCs w:val="32"/>
          <w:lang w:val="en-US" w:eastAsia="zh-CN"/>
        </w:rPr>
      </w:pPr>
      <w:r>
        <w:rPr>
          <w:rFonts w:hint="eastAsia" w:cs="Times New Roman"/>
          <w:kern w:val="0"/>
          <w:sz w:val="32"/>
          <w:szCs w:val="32"/>
          <w:lang w:val="en-US" w:eastAsia="zh-CN"/>
        </w:rPr>
        <w:t>一审案件受理费3300元，二审案件受理费550元，均由高某负担。</w:t>
      </w:r>
    </w:p>
    <w:p>
      <w:pPr>
        <w:keepNext w:val="0"/>
        <w:keepLines w:val="0"/>
        <w:pageBreakBefore w:val="0"/>
        <w:widowControl w:val="0"/>
        <w:kinsoku/>
        <w:wordWrap/>
        <w:overflowPunct/>
        <w:topLinePunct w:val="0"/>
        <w:autoSpaceDE/>
        <w:autoSpaceDN/>
        <w:bidi w:val="0"/>
        <w:adjustRightInd/>
        <w:snapToGrid/>
        <w:spacing w:line="580" w:lineRule="exact"/>
        <w:ind w:firstLine="620" w:firstLineChars="200"/>
        <w:jc w:val="both"/>
        <w:textAlignment w:val="auto"/>
      </w:pPr>
      <w:r>
        <w:rPr>
          <w:rFonts w:hint="default" w:ascii="Times New Roman" w:hAnsi="Times New Roman" w:eastAsia="仿宋_GB2312" w:cs="Times New Roman"/>
          <w:sz w:val="32"/>
          <w:szCs w:val="32"/>
          <w:lang w:val="en-US" w:eastAsia="zh-CN"/>
        </w:rPr>
        <w:t>本判决为终审判决。</w:t>
      </w:r>
    </w:p>
    <w:bookmarkEnd w:id="8"/>
    <w:p>
      <w:pPr>
        <w:pStyle w:val="2"/>
        <w:keepNext w:val="0"/>
        <w:keepLines w:val="0"/>
        <w:pageBreakBefore w:val="0"/>
        <w:kinsoku/>
        <w:wordWrap/>
        <w:overflowPunct/>
        <w:bidi w:val="0"/>
        <w:spacing w:line="560" w:lineRule="exact"/>
        <w:textAlignment w:val="auto"/>
      </w:pPr>
    </w:p>
    <w:p>
      <w:pPr>
        <w:pStyle w:val="2"/>
      </w:pPr>
    </w:p>
    <w:p>
      <w:pPr>
        <w:tabs>
          <w:tab w:val="left" w:pos="4304"/>
        </w:tabs>
        <w:spacing w:line="592" w:lineRule="exact"/>
        <w:ind w:firstLine="4349" w:firstLineChars="1403"/>
        <w:rPr>
          <w:rFonts w:hint="eastAsia" w:eastAsia="仿宋_GB2312"/>
          <w:sz w:val="32"/>
          <w:szCs w:val="32"/>
          <w:lang w:eastAsia="zh-CN"/>
        </w:rPr>
      </w:pPr>
      <w:r>
        <w:rPr>
          <w:sz w:val="32"/>
          <w:szCs w:val="32"/>
        </w:rPr>
        <w:t xml:space="preserve">审  判  长    </w:t>
      </w:r>
      <w:r>
        <w:rPr>
          <w:rFonts w:hint="eastAsia"/>
          <w:sz w:val="32"/>
          <w:szCs w:val="32"/>
          <w:lang w:eastAsia="zh-CN"/>
        </w:rPr>
        <w:t>陈</w:t>
      </w:r>
      <w:r>
        <w:rPr>
          <w:rFonts w:hint="eastAsia"/>
          <w:sz w:val="32"/>
          <w:szCs w:val="32"/>
        </w:rPr>
        <w:t xml:space="preserve">      </w:t>
      </w:r>
      <w:r>
        <w:rPr>
          <w:rFonts w:hint="eastAsia"/>
          <w:sz w:val="32"/>
          <w:szCs w:val="32"/>
          <w:lang w:eastAsia="zh-CN"/>
        </w:rPr>
        <w:t>为</w:t>
      </w:r>
    </w:p>
    <w:p>
      <w:pPr>
        <w:tabs>
          <w:tab w:val="left" w:pos="6456"/>
          <w:tab w:val="left" w:pos="6725"/>
          <w:tab w:val="left" w:pos="7263"/>
        </w:tabs>
        <w:spacing w:line="592" w:lineRule="exact"/>
        <w:ind w:firstLine="4349" w:firstLineChars="1403"/>
        <w:rPr>
          <w:rFonts w:hint="eastAsia" w:eastAsia="仿宋_GB2312"/>
          <w:sz w:val="32"/>
          <w:szCs w:val="32"/>
          <w:lang w:eastAsia="zh-CN"/>
        </w:rPr>
      </w:pPr>
      <w:r>
        <w:rPr>
          <w:sz w:val="32"/>
          <w:szCs w:val="32"/>
        </w:rPr>
        <w:t xml:space="preserve">审  判  员    </w:t>
      </w:r>
      <w:r>
        <w:rPr>
          <w:rFonts w:hint="eastAsia"/>
          <w:sz w:val="32"/>
          <w:szCs w:val="32"/>
          <w:lang w:eastAsia="zh-CN"/>
        </w:rPr>
        <w:t>沈</w:t>
      </w:r>
      <w:r>
        <w:rPr>
          <w:rFonts w:hint="eastAsia"/>
          <w:sz w:val="32"/>
          <w:szCs w:val="32"/>
        </w:rPr>
        <w:t xml:space="preserve">  </w:t>
      </w:r>
      <w:r>
        <w:rPr>
          <w:rFonts w:hint="eastAsia"/>
          <w:sz w:val="32"/>
          <w:szCs w:val="32"/>
          <w:lang w:val="en-US" w:eastAsia="zh-CN"/>
        </w:rPr>
        <w:t xml:space="preserve">  </w:t>
      </w:r>
      <w:r>
        <w:rPr>
          <w:rFonts w:hint="eastAsia"/>
          <w:sz w:val="32"/>
          <w:szCs w:val="32"/>
        </w:rPr>
        <w:t xml:space="preserve">  </w:t>
      </w:r>
      <w:r>
        <w:rPr>
          <w:rFonts w:hint="eastAsia"/>
          <w:sz w:val="32"/>
          <w:szCs w:val="32"/>
          <w:lang w:eastAsia="zh-CN"/>
        </w:rPr>
        <w:t>佳</w:t>
      </w:r>
    </w:p>
    <w:p>
      <w:pPr>
        <w:tabs>
          <w:tab w:val="left" w:pos="5918"/>
          <w:tab w:val="left" w:pos="6456"/>
          <w:tab w:val="left" w:pos="7263"/>
        </w:tabs>
        <w:spacing w:line="592" w:lineRule="exact"/>
        <w:ind w:left="108" w:leftChars="40" w:firstLine="4235" w:firstLineChars="1366"/>
        <w:rPr>
          <w:rFonts w:hint="eastAsia" w:eastAsia="仿宋_GB2312"/>
          <w:lang w:eastAsia="zh-CN"/>
        </w:rPr>
      </w:pPr>
      <w:r>
        <w:rPr>
          <w:sz w:val="32"/>
          <w:szCs w:val="32"/>
        </w:rPr>
        <w:t xml:space="preserve">审  判  员    </w:t>
      </w:r>
      <w:r>
        <w:rPr>
          <w:rFonts w:hint="eastAsia"/>
          <w:sz w:val="32"/>
          <w:szCs w:val="32"/>
          <w:lang w:eastAsia="zh-CN"/>
        </w:rPr>
        <w:t>郭</w:t>
      </w:r>
      <w:r>
        <w:rPr>
          <w:rFonts w:hint="eastAsia"/>
          <w:sz w:val="32"/>
          <w:szCs w:val="32"/>
        </w:rPr>
        <w:t xml:space="preserve"> </w:t>
      </w:r>
      <w:r>
        <w:rPr>
          <w:rFonts w:hint="eastAsia"/>
          <w:sz w:val="32"/>
          <w:szCs w:val="32"/>
          <w:lang w:val="en-US" w:eastAsia="zh-CN"/>
        </w:rPr>
        <w:t xml:space="preserve"> </w:t>
      </w:r>
      <w:r>
        <w:rPr>
          <w:rFonts w:hint="eastAsia"/>
          <w:sz w:val="32"/>
          <w:szCs w:val="32"/>
          <w:lang w:eastAsia="zh-CN"/>
        </w:rPr>
        <w:t>剑</w:t>
      </w:r>
      <w:r>
        <w:rPr>
          <w:rFonts w:hint="eastAsia"/>
          <w:sz w:val="32"/>
          <w:szCs w:val="32"/>
        </w:rPr>
        <w:t xml:space="preserve">  </w:t>
      </w:r>
      <w:r>
        <w:rPr>
          <w:rFonts w:hint="eastAsia"/>
          <w:sz w:val="32"/>
          <w:szCs w:val="32"/>
          <w:lang w:eastAsia="zh-CN"/>
        </w:rPr>
        <w:t>霞</w:t>
      </w:r>
    </w:p>
    <w:p>
      <w:pPr>
        <w:pStyle w:val="2"/>
      </w:pPr>
    </w:p>
    <w:p>
      <w:pPr>
        <w:tabs>
          <w:tab w:val="left" w:pos="5918"/>
        </w:tabs>
        <w:spacing w:line="592" w:lineRule="exact"/>
        <w:ind w:firstLine="4349" w:firstLineChars="1403"/>
        <w:rPr>
          <w:sz w:val="32"/>
          <w:szCs w:val="32"/>
        </w:rPr>
      </w:pPr>
    </w:p>
    <w:tbl>
      <w:tblPr>
        <w:tblStyle w:val="14"/>
        <w:tblW w:w="3945" w:type="dxa"/>
        <w:tblInd w:w="438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9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945" w:type="dxa"/>
            <w:tcBorders>
              <w:top w:val="nil"/>
              <w:left w:val="nil"/>
              <w:bottom w:val="nil"/>
              <w:right w:val="nil"/>
            </w:tcBorders>
            <w:noWrap w:val="0"/>
            <w:vAlign w:val="top"/>
          </w:tcPr>
          <w:p>
            <w:pPr>
              <w:spacing w:line="592" w:lineRule="exact"/>
              <w:jc w:val="distribute"/>
              <w:rPr>
                <w:sz w:val="32"/>
                <w:szCs w:val="32"/>
              </w:rPr>
            </w:pPr>
            <w:bookmarkStart w:id="7" w:name="WKJC_dbbf2edf36ce45b1ab9b105bace25fb8"/>
            <w:r>
              <w:rPr>
                <w:rFonts w:hint="eastAsia"/>
                <w:w w:val="96"/>
                <w:sz w:val="32"/>
                <w:szCs w:val="32"/>
                <w:lang w:eastAsia="zh-CN" w:bidi="ar"/>
              </w:rPr>
              <w:t>二〇二五年</w:t>
            </w:r>
            <w:bookmarkEnd w:id="7"/>
            <w:r>
              <w:rPr>
                <w:rFonts w:hint="eastAsia"/>
                <w:w w:val="96"/>
                <w:sz w:val="32"/>
                <w:szCs w:val="32"/>
                <w:lang w:eastAsia="zh-CN" w:bidi="ar"/>
              </w:rPr>
              <w:t>十二</w:t>
            </w:r>
            <w:r>
              <w:rPr>
                <w:w w:val="96"/>
                <w:sz w:val="32"/>
                <w:szCs w:val="32"/>
                <w:lang w:bidi="ar"/>
              </w:rPr>
              <w:t>月</w:t>
            </w:r>
            <w:r>
              <w:rPr>
                <w:rFonts w:hint="eastAsia"/>
                <w:w w:val="96"/>
                <w:sz w:val="32"/>
                <w:szCs w:val="32"/>
                <w:lang w:eastAsia="zh" w:bidi="ar"/>
              </w:rPr>
              <w:t>二</w:t>
            </w:r>
            <w:r>
              <w:rPr>
                <w:rFonts w:hint="eastAsia"/>
                <w:w w:val="96"/>
                <w:sz w:val="32"/>
                <w:szCs w:val="32"/>
                <w:lang w:eastAsia="zh-CN" w:bidi="ar"/>
              </w:rPr>
              <w:t>十</w:t>
            </w:r>
            <w:r>
              <w:rPr>
                <w:rFonts w:hint="eastAsia"/>
                <w:w w:val="96"/>
                <w:sz w:val="32"/>
                <w:szCs w:val="32"/>
                <w:lang w:eastAsia="zh" w:bidi="ar"/>
              </w:rPr>
              <w:t>四</w:t>
            </w:r>
            <w:r>
              <w:rPr>
                <w:w w:val="96"/>
                <w:sz w:val="32"/>
                <w:szCs w:val="32"/>
                <w:lang w:bidi="ar"/>
              </w:rPr>
              <w:t>日</w:t>
            </w:r>
          </w:p>
        </w:tc>
      </w:tr>
    </w:tbl>
    <w:p>
      <w:pPr>
        <w:tabs>
          <w:tab w:val="left" w:pos="4304"/>
          <w:tab w:val="left" w:pos="5649"/>
          <w:tab w:val="left" w:pos="5918"/>
          <w:tab w:val="left" w:pos="6456"/>
          <w:tab w:val="left" w:pos="7801"/>
          <w:tab w:val="left" w:pos="8070"/>
        </w:tabs>
        <w:spacing w:line="592" w:lineRule="exact"/>
        <w:rPr>
          <w:sz w:val="32"/>
          <w:szCs w:val="32"/>
        </w:rPr>
      </w:pPr>
    </w:p>
    <w:p>
      <w:pPr>
        <w:tabs>
          <w:tab w:val="left" w:pos="4304"/>
          <w:tab w:val="left" w:pos="5649"/>
          <w:tab w:val="left" w:pos="5918"/>
          <w:tab w:val="left" w:pos="6456"/>
          <w:tab w:val="left" w:pos="7801"/>
          <w:tab w:val="left" w:pos="8070"/>
        </w:tabs>
        <w:spacing w:line="592" w:lineRule="exact"/>
      </w:pPr>
      <w:r>
        <w:rPr>
          <w:sz w:val="32"/>
          <w:szCs w:val="32"/>
        </w:rPr>
        <w:t xml:space="preserve">                            </w:t>
      </w:r>
      <w:r>
        <w:rPr>
          <w:spacing w:val="143"/>
          <w:kern w:val="0"/>
          <w:sz w:val="32"/>
          <w:szCs w:val="32"/>
          <w:fitText w:val="1533" w:id="-956649950"/>
        </w:rPr>
        <w:t>书记</w:t>
      </w:r>
      <w:r>
        <w:rPr>
          <w:spacing w:val="0"/>
          <w:kern w:val="0"/>
          <w:sz w:val="32"/>
          <w:szCs w:val="32"/>
          <w:fitText w:val="1533" w:id="-956649950"/>
        </w:rPr>
        <w:t>员</w:t>
      </w:r>
      <w:r>
        <w:rPr>
          <w:kern w:val="0"/>
          <w:sz w:val="32"/>
          <w:szCs w:val="32"/>
        </w:rPr>
        <w:t xml:space="preserve">    </w:t>
      </w:r>
      <w:r>
        <w:rPr>
          <w:rFonts w:hint="eastAsia"/>
          <w:kern w:val="0"/>
          <w:sz w:val="32"/>
          <w:szCs w:val="32"/>
          <w:lang w:eastAsia="zh-CN"/>
        </w:rPr>
        <w:t>王</w:t>
      </w:r>
      <w:r>
        <w:rPr>
          <w:sz w:val="32"/>
          <w:szCs w:val="32"/>
        </w:rPr>
        <w:t xml:space="preserve">  </w:t>
      </w:r>
      <w:r>
        <w:rPr>
          <w:rFonts w:hint="eastAsia"/>
          <w:sz w:val="32"/>
          <w:szCs w:val="32"/>
          <w:lang w:eastAsia="zh-CN"/>
        </w:rPr>
        <w:t>莉</w:t>
      </w:r>
      <w:r>
        <w:rPr>
          <w:rFonts w:hint="eastAsia"/>
          <w:sz w:val="32"/>
          <w:szCs w:val="32"/>
          <w:lang w:val="en-US" w:eastAsia="zh-CN"/>
        </w:rPr>
        <w:t xml:space="preserve">  莉</w:t>
      </w:r>
    </w:p>
    <w:sectPr>
      <w:footerReference r:id="rId3" w:type="default"/>
      <w:footerReference r:id="rId4" w:type="even"/>
      <w:pgSz w:w="11907" w:h="16840"/>
      <w:pgMar w:top="1928" w:right="1474" w:bottom="1497" w:left="1474" w:header="851" w:footer="1531" w:gutter="0"/>
      <w:pgNumType w:start="1"/>
      <w:cols w:space="720" w:num="1"/>
      <w:docGrid w:type="linesAndChars" w:linePitch="600" w:charSpace="-21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00007A87" w:usb1="80000000" w:usb2="00000008"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ahoma">
    <w:altName w:val="DejaVu Sans"/>
    <w:panose1 w:val="020B0804030504040204"/>
    <w:charset w:val="00"/>
    <w:family w:val="swiss"/>
    <w:pitch w:val="default"/>
    <w:sig w:usb0="00000000" w:usb1="00000000" w:usb2="00000029" w:usb3="00000000" w:csb0="200101FF" w:csb1="20280000"/>
  </w:font>
  <w:font w:name="仿宋">
    <w:altName w:val="方正仿宋_GBK"/>
    <w:panose1 w:val="02010609060101010101"/>
    <w:charset w:val="86"/>
    <w:family w:val="modern"/>
    <w:pitch w:val="default"/>
    <w:sig w:usb0="00000000" w:usb1="00000000"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方正书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方正黑体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uto" w:vAnchor="text" w:hAnchor="margin" w:xAlign="outside" w:y="1"/>
      <w:ind w:left="397" w:right="397"/>
      <w:rPr>
        <w:rStyle w:val="16"/>
        <w:rFonts w:ascii="仿宋_GB2312"/>
        <w:sz w:val="30"/>
      </w:rPr>
    </w:pPr>
    <w:r>
      <w:rPr>
        <w:rStyle w:val="16"/>
        <w:rFonts w:hint="eastAsia" w:ascii="仿宋_GB2312"/>
        <w:sz w:val="30"/>
      </w:rPr>
      <w:t>·</w:t>
    </w:r>
    <w:r>
      <w:rPr>
        <w:rStyle w:val="16"/>
        <w:rFonts w:ascii="仿宋_GB2312"/>
        <w:sz w:val="30"/>
      </w:rPr>
      <w:fldChar w:fldCharType="begin"/>
    </w:r>
    <w:r>
      <w:rPr>
        <w:rStyle w:val="16"/>
        <w:rFonts w:ascii="仿宋_GB2312"/>
        <w:sz w:val="30"/>
      </w:rPr>
      <w:instrText xml:space="preserve"> PAGE </w:instrText>
    </w:r>
    <w:r>
      <w:rPr>
        <w:rStyle w:val="16"/>
        <w:rFonts w:ascii="仿宋_GB2312"/>
        <w:sz w:val="30"/>
      </w:rPr>
      <w:fldChar w:fldCharType="separate"/>
    </w:r>
    <w:r>
      <w:rPr>
        <w:rStyle w:val="16"/>
        <w:rFonts w:ascii="仿宋_GB2312"/>
        <w:sz w:val="30"/>
      </w:rPr>
      <w:t>78</w:t>
    </w:r>
    <w:r>
      <w:rPr>
        <w:rStyle w:val="16"/>
        <w:rFonts w:ascii="仿宋_GB2312"/>
        <w:sz w:val="30"/>
      </w:rPr>
      <w:fldChar w:fldCharType="end"/>
    </w:r>
    <w:r>
      <w:rPr>
        <w:rStyle w:val="16"/>
        <w:rFonts w:hint="eastAsia" w:ascii="仿宋_GB2312"/>
        <w:sz w:val="30"/>
      </w:rPr>
      <w:t>·</w:t>
    </w:r>
  </w:p>
  <w:p>
    <w:pPr>
      <w:pStyle w:val="11"/>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framePr w:wrap="auto" w:vAnchor="text" w:hAnchor="margin" w:xAlign="outside" w:y="1"/>
      <w:rPr>
        <w:rStyle w:val="16"/>
      </w:rPr>
    </w:pPr>
    <w:r>
      <w:rPr>
        <w:rStyle w:val="16"/>
      </w:rPr>
      <w:fldChar w:fldCharType="begin"/>
    </w:r>
    <w:r>
      <w:rPr>
        <w:rStyle w:val="16"/>
      </w:rPr>
      <w:instrText xml:space="preserve">PAGE  </w:instrText>
    </w:r>
    <w:r>
      <w:rPr>
        <w:rStyle w:val="16"/>
      </w:rPr>
      <w:fldChar w:fldCharType="separate"/>
    </w:r>
    <w:r>
      <w:rPr>
        <w:rStyle w:val="16"/>
      </w:rPr>
      <w:t>1</w:t>
    </w:r>
    <w:r>
      <w:rPr>
        <w:rStyle w:val="16"/>
      </w:rPr>
      <w:fldChar w:fldCharType="end"/>
    </w:r>
  </w:p>
  <w:p>
    <w:pPr>
      <w:pStyle w:val="11"/>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true"/>
  <w:bordersDoNotSurroundFooter w:val="tru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165BD"/>
    <w:rsid w:val="000200C8"/>
    <w:rsid w:val="00026440"/>
    <w:rsid w:val="00026989"/>
    <w:rsid w:val="00030F1F"/>
    <w:rsid w:val="0005441D"/>
    <w:rsid w:val="00064F8B"/>
    <w:rsid w:val="00073C1F"/>
    <w:rsid w:val="00074573"/>
    <w:rsid w:val="000829CC"/>
    <w:rsid w:val="000B451D"/>
    <w:rsid w:val="000C2DEE"/>
    <w:rsid w:val="000F345B"/>
    <w:rsid w:val="00113947"/>
    <w:rsid w:val="001165BD"/>
    <w:rsid w:val="0012669C"/>
    <w:rsid w:val="00134D82"/>
    <w:rsid w:val="00143C70"/>
    <w:rsid w:val="0014668B"/>
    <w:rsid w:val="00167907"/>
    <w:rsid w:val="00171269"/>
    <w:rsid w:val="001B6952"/>
    <w:rsid w:val="001C33A6"/>
    <w:rsid w:val="00202C00"/>
    <w:rsid w:val="0022002D"/>
    <w:rsid w:val="00220866"/>
    <w:rsid w:val="002216D0"/>
    <w:rsid w:val="00225ABA"/>
    <w:rsid w:val="00234E88"/>
    <w:rsid w:val="0025109A"/>
    <w:rsid w:val="00294DE3"/>
    <w:rsid w:val="002963C4"/>
    <w:rsid w:val="002A5FCD"/>
    <w:rsid w:val="002B67B1"/>
    <w:rsid w:val="002B77FA"/>
    <w:rsid w:val="002C043C"/>
    <w:rsid w:val="002C4191"/>
    <w:rsid w:val="002C4BA1"/>
    <w:rsid w:val="002C7AAA"/>
    <w:rsid w:val="00320998"/>
    <w:rsid w:val="00342177"/>
    <w:rsid w:val="00354ECF"/>
    <w:rsid w:val="003624F5"/>
    <w:rsid w:val="003720E1"/>
    <w:rsid w:val="00374A4E"/>
    <w:rsid w:val="00376040"/>
    <w:rsid w:val="00376801"/>
    <w:rsid w:val="00382B10"/>
    <w:rsid w:val="003851AB"/>
    <w:rsid w:val="003A62F7"/>
    <w:rsid w:val="003A6CBD"/>
    <w:rsid w:val="003C5996"/>
    <w:rsid w:val="003E0A8A"/>
    <w:rsid w:val="003F67DD"/>
    <w:rsid w:val="00426EB7"/>
    <w:rsid w:val="00437E09"/>
    <w:rsid w:val="004443F6"/>
    <w:rsid w:val="00447112"/>
    <w:rsid w:val="00451321"/>
    <w:rsid w:val="0045508E"/>
    <w:rsid w:val="00480C46"/>
    <w:rsid w:val="004A0059"/>
    <w:rsid w:val="004E5CA8"/>
    <w:rsid w:val="004F2C6A"/>
    <w:rsid w:val="00521B59"/>
    <w:rsid w:val="005228C0"/>
    <w:rsid w:val="00524775"/>
    <w:rsid w:val="00545895"/>
    <w:rsid w:val="0055286A"/>
    <w:rsid w:val="005706D6"/>
    <w:rsid w:val="00575686"/>
    <w:rsid w:val="005A2E48"/>
    <w:rsid w:val="005C40BF"/>
    <w:rsid w:val="005F74AC"/>
    <w:rsid w:val="0061073F"/>
    <w:rsid w:val="006129A1"/>
    <w:rsid w:val="006130DD"/>
    <w:rsid w:val="006414D7"/>
    <w:rsid w:val="006475D1"/>
    <w:rsid w:val="00650E4E"/>
    <w:rsid w:val="006554AE"/>
    <w:rsid w:val="0066183E"/>
    <w:rsid w:val="00677098"/>
    <w:rsid w:val="006874B6"/>
    <w:rsid w:val="006A6163"/>
    <w:rsid w:val="006B3458"/>
    <w:rsid w:val="0072585D"/>
    <w:rsid w:val="00727353"/>
    <w:rsid w:val="00734407"/>
    <w:rsid w:val="007378DA"/>
    <w:rsid w:val="00745448"/>
    <w:rsid w:val="00757530"/>
    <w:rsid w:val="007866A6"/>
    <w:rsid w:val="007A41F5"/>
    <w:rsid w:val="007A4EE7"/>
    <w:rsid w:val="007B0577"/>
    <w:rsid w:val="007C28A3"/>
    <w:rsid w:val="007D15CC"/>
    <w:rsid w:val="0082048B"/>
    <w:rsid w:val="00834595"/>
    <w:rsid w:val="008348B1"/>
    <w:rsid w:val="00845AC4"/>
    <w:rsid w:val="008553F2"/>
    <w:rsid w:val="008704EE"/>
    <w:rsid w:val="00877AB7"/>
    <w:rsid w:val="00883D46"/>
    <w:rsid w:val="00890556"/>
    <w:rsid w:val="0089585C"/>
    <w:rsid w:val="008A5EB8"/>
    <w:rsid w:val="008C2EF9"/>
    <w:rsid w:val="008D22F3"/>
    <w:rsid w:val="008F1BF5"/>
    <w:rsid w:val="008F3C57"/>
    <w:rsid w:val="00971E83"/>
    <w:rsid w:val="009836BD"/>
    <w:rsid w:val="00985C63"/>
    <w:rsid w:val="009B1BCD"/>
    <w:rsid w:val="009E6B03"/>
    <w:rsid w:val="009E6E08"/>
    <w:rsid w:val="009F5E03"/>
    <w:rsid w:val="00A21729"/>
    <w:rsid w:val="00A53262"/>
    <w:rsid w:val="00A834E1"/>
    <w:rsid w:val="00A870D4"/>
    <w:rsid w:val="00A87597"/>
    <w:rsid w:val="00AA09D5"/>
    <w:rsid w:val="00AC4BC9"/>
    <w:rsid w:val="00AC6179"/>
    <w:rsid w:val="00AD5658"/>
    <w:rsid w:val="00B17FE8"/>
    <w:rsid w:val="00B23A8A"/>
    <w:rsid w:val="00B24138"/>
    <w:rsid w:val="00B52BB2"/>
    <w:rsid w:val="00B62673"/>
    <w:rsid w:val="00B6521F"/>
    <w:rsid w:val="00B816E2"/>
    <w:rsid w:val="00B9798A"/>
    <w:rsid w:val="00BA4280"/>
    <w:rsid w:val="00BA5206"/>
    <w:rsid w:val="00BB1E82"/>
    <w:rsid w:val="00BC51F2"/>
    <w:rsid w:val="00BC5B7F"/>
    <w:rsid w:val="00BD1D5E"/>
    <w:rsid w:val="00BD47BC"/>
    <w:rsid w:val="00C010AD"/>
    <w:rsid w:val="00C01888"/>
    <w:rsid w:val="00C035CB"/>
    <w:rsid w:val="00C56577"/>
    <w:rsid w:val="00C60A80"/>
    <w:rsid w:val="00C757F1"/>
    <w:rsid w:val="00C949BE"/>
    <w:rsid w:val="00CD0866"/>
    <w:rsid w:val="00CF40C0"/>
    <w:rsid w:val="00CF5D46"/>
    <w:rsid w:val="00D016A7"/>
    <w:rsid w:val="00D1050E"/>
    <w:rsid w:val="00D13C01"/>
    <w:rsid w:val="00D171CC"/>
    <w:rsid w:val="00D24531"/>
    <w:rsid w:val="00D264E6"/>
    <w:rsid w:val="00D27252"/>
    <w:rsid w:val="00D57FB3"/>
    <w:rsid w:val="00D802F6"/>
    <w:rsid w:val="00D83794"/>
    <w:rsid w:val="00DE0CF1"/>
    <w:rsid w:val="00DE2EEE"/>
    <w:rsid w:val="00E2686D"/>
    <w:rsid w:val="00E407D2"/>
    <w:rsid w:val="00E46774"/>
    <w:rsid w:val="00E51819"/>
    <w:rsid w:val="00E52287"/>
    <w:rsid w:val="00E625A7"/>
    <w:rsid w:val="00EB3B51"/>
    <w:rsid w:val="00EC3D7D"/>
    <w:rsid w:val="00EE4C09"/>
    <w:rsid w:val="00F0270C"/>
    <w:rsid w:val="00F3486A"/>
    <w:rsid w:val="00F35EFB"/>
    <w:rsid w:val="00F568A6"/>
    <w:rsid w:val="00F57B01"/>
    <w:rsid w:val="00F64B1A"/>
    <w:rsid w:val="00F7155E"/>
    <w:rsid w:val="00F719CB"/>
    <w:rsid w:val="00F72EE3"/>
    <w:rsid w:val="00F7385F"/>
    <w:rsid w:val="00F81420"/>
    <w:rsid w:val="00F9200D"/>
    <w:rsid w:val="00FB78E2"/>
    <w:rsid w:val="03FF6AA1"/>
    <w:rsid w:val="0ADF6617"/>
    <w:rsid w:val="0EFFA46D"/>
    <w:rsid w:val="13BFF4E5"/>
    <w:rsid w:val="175F293F"/>
    <w:rsid w:val="17B35D9E"/>
    <w:rsid w:val="17FFDE22"/>
    <w:rsid w:val="1B6FF31F"/>
    <w:rsid w:val="1BBFB98D"/>
    <w:rsid w:val="1C7E58C6"/>
    <w:rsid w:val="1DFE8CAA"/>
    <w:rsid w:val="1FFF550E"/>
    <w:rsid w:val="25DF88A4"/>
    <w:rsid w:val="26CFA982"/>
    <w:rsid w:val="27CF7879"/>
    <w:rsid w:val="27F53D72"/>
    <w:rsid w:val="29F54E63"/>
    <w:rsid w:val="2CEF0A5E"/>
    <w:rsid w:val="2FF70D35"/>
    <w:rsid w:val="35DB34F2"/>
    <w:rsid w:val="36975C53"/>
    <w:rsid w:val="37F35037"/>
    <w:rsid w:val="37F68048"/>
    <w:rsid w:val="39F9E056"/>
    <w:rsid w:val="3DDEBB36"/>
    <w:rsid w:val="3DEAE00D"/>
    <w:rsid w:val="3DEC99E0"/>
    <w:rsid w:val="3E7D7BF6"/>
    <w:rsid w:val="3EF74CF7"/>
    <w:rsid w:val="3F4B7209"/>
    <w:rsid w:val="3F5D4813"/>
    <w:rsid w:val="3F716327"/>
    <w:rsid w:val="3F977859"/>
    <w:rsid w:val="3FDD4E0A"/>
    <w:rsid w:val="3FDD5D96"/>
    <w:rsid w:val="3FDE3BD2"/>
    <w:rsid w:val="3FDF6D48"/>
    <w:rsid w:val="3FE7F3EE"/>
    <w:rsid w:val="3FF68975"/>
    <w:rsid w:val="4BD37921"/>
    <w:rsid w:val="4DF72DB6"/>
    <w:rsid w:val="4E7F63D0"/>
    <w:rsid w:val="4EFD00B0"/>
    <w:rsid w:val="4F710F29"/>
    <w:rsid w:val="4F7FA609"/>
    <w:rsid w:val="4FB8380A"/>
    <w:rsid w:val="53DD3FE3"/>
    <w:rsid w:val="557C75B8"/>
    <w:rsid w:val="55E71278"/>
    <w:rsid w:val="57FFA259"/>
    <w:rsid w:val="596F3E76"/>
    <w:rsid w:val="5B6D64AA"/>
    <w:rsid w:val="5CF4F629"/>
    <w:rsid w:val="5D3FEDA6"/>
    <w:rsid w:val="5DF90455"/>
    <w:rsid w:val="5EB91EFF"/>
    <w:rsid w:val="5EFFF1E6"/>
    <w:rsid w:val="5FBF55D7"/>
    <w:rsid w:val="5FBFE994"/>
    <w:rsid w:val="5FDFADFE"/>
    <w:rsid w:val="5FEBD3D4"/>
    <w:rsid w:val="64D796E1"/>
    <w:rsid w:val="67349110"/>
    <w:rsid w:val="677A7860"/>
    <w:rsid w:val="67BFE582"/>
    <w:rsid w:val="67EE3B1E"/>
    <w:rsid w:val="6AFC29CB"/>
    <w:rsid w:val="6B3C0043"/>
    <w:rsid w:val="6B6ADB76"/>
    <w:rsid w:val="6BD7FE48"/>
    <w:rsid w:val="6BEB2FC4"/>
    <w:rsid w:val="6D2F38A0"/>
    <w:rsid w:val="6D7EE876"/>
    <w:rsid w:val="6DDE895A"/>
    <w:rsid w:val="6FFF5DB3"/>
    <w:rsid w:val="70FF72CB"/>
    <w:rsid w:val="72BF1EC8"/>
    <w:rsid w:val="73FA06FE"/>
    <w:rsid w:val="73FA7302"/>
    <w:rsid w:val="753FD9F8"/>
    <w:rsid w:val="75934D12"/>
    <w:rsid w:val="75B7DC78"/>
    <w:rsid w:val="767C64C1"/>
    <w:rsid w:val="76EF2B85"/>
    <w:rsid w:val="76FD1230"/>
    <w:rsid w:val="77D70CFF"/>
    <w:rsid w:val="77F70B3C"/>
    <w:rsid w:val="77FD35B0"/>
    <w:rsid w:val="77FE0BC1"/>
    <w:rsid w:val="77FF5C7D"/>
    <w:rsid w:val="785F5021"/>
    <w:rsid w:val="786A843F"/>
    <w:rsid w:val="79EE3A5B"/>
    <w:rsid w:val="7ADDB2EA"/>
    <w:rsid w:val="7AF29C3E"/>
    <w:rsid w:val="7AFFE8BD"/>
    <w:rsid w:val="7B7E450E"/>
    <w:rsid w:val="7BBF8DC1"/>
    <w:rsid w:val="7BCC269D"/>
    <w:rsid w:val="7BDEE45E"/>
    <w:rsid w:val="7BEF389A"/>
    <w:rsid w:val="7BF23456"/>
    <w:rsid w:val="7BF51750"/>
    <w:rsid w:val="7BFC871D"/>
    <w:rsid w:val="7BFD9162"/>
    <w:rsid w:val="7CD014EA"/>
    <w:rsid w:val="7CFBC0CB"/>
    <w:rsid w:val="7D2F5DC8"/>
    <w:rsid w:val="7D7F50F6"/>
    <w:rsid w:val="7DB7BF49"/>
    <w:rsid w:val="7DFDECC4"/>
    <w:rsid w:val="7EDA0760"/>
    <w:rsid w:val="7EF4C889"/>
    <w:rsid w:val="7EF7A900"/>
    <w:rsid w:val="7EFC3D0E"/>
    <w:rsid w:val="7EFF49C6"/>
    <w:rsid w:val="7EFF68B8"/>
    <w:rsid w:val="7EFF762D"/>
    <w:rsid w:val="7F4F68BF"/>
    <w:rsid w:val="7F4F87C4"/>
    <w:rsid w:val="7F5CF614"/>
    <w:rsid w:val="7F5D3831"/>
    <w:rsid w:val="7F6FCDC5"/>
    <w:rsid w:val="7F77477A"/>
    <w:rsid w:val="7F7B5A95"/>
    <w:rsid w:val="7F7E4956"/>
    <w:rsid w:val="7F7FA2FF"/>
    <w:rsid w:val="7F8FA546"/>
    <w:rsid w:val="7FAD5263"/>
    <w:rsid w:val="7FBE3B3F"/>
    <w:rsid w:val="7FBF3B5C"/>
    <w:rsid w:val="7FE69B8E"/>
    <w:rsid w:val="7FEF1871"/>
    <w:rsid w:val="7FEF1E09"/>
    <w:rsid w:val="7FF7F52A"/>
    <w:rsid w:val="7FFD426E"/>
    <w:rsid w:val="7FFDFE0C"/>
    <w:rsid w:val="7FFEF999"/>
    <w:rsid w:val="7FFFDEAF"/>
    <w:rsid w:val="859D2B39"/>
    <w:rsid w:val="8DBE5000"/>
    <w:rsid w:val="8DFD96FA"/>
    <w:rsid w:val="9EF05AFE"/>
    <w:rsid w:val="9F47E84C"/>
    <w:rsid w:val="9F4C2C7A"/>
    <w:rsid w:val="9F7D7A16"/>
    <w:rsid w:val="9FAF09EF"/>
    <w:rsid w:val="ADF30D81"/>
    <w:rsid w:val="ADFD79D2"/>
    <w:rsid w:val="AEDF4C7A"/>
    <w:rsid w:val="AEFFC751"/>
    <w:rsid w:val="AF7F1CE8"/>
    <w:rsid w:val="AFFF7877"/>
    <w:rsid w:val="B0FCF60B"/>
    <w:rsid w:val="B57F01CB"/>
    <w:rsid w:val="B6FF0493"/>
    <w:rsid w:val="B6FFEEC7"/>
    <w:rsid w:val="B733AB92"/>
    <w:rsid w:val="B77DFE52"/>
    <w:rsid w:val="B7E8F516"/>
    <w:rsid w:val="B7FF283C"/>
    <w:rsid w:val="BAFFEB90"/>
    <w:rsid w:val="BBF78DD3"/>
    <w:rsid w:val="BBFD7B81"/>
    <w:rsid w:val="BE7870FE"/>
    <w:rsid w:val="BEE3F93F"/>
    <w:rsid w:val="BEFF208F"/>
    <w:rsid w:val="BF6FAE71"/>
    <w:rsid w:val="BF735BE4"/>
    <w:rsid w:val="BF7E8A8B"/>
    <w:rsid w:val="BFB7BAF2"/>
    <w:rsid w:val="BFD78355"/>
    <w:rsid w:val="BFDF2436"/>
    <w:rsid w:val="BFDF8721"/>
    <w:rsid w:val="BFE849F9"/>
    <w:rsid w:val="BFEFE29D"/>
    <w:rsid w:val="C1AD4D97"/>
    <w:rsid w:val="C75FD719"/>
    <w:rsid w:val="C7F7B0AF"/>
    <w:rsid w:val="CB677CBB"/>
    <w:rsid w:val="CBBD0A53"/>
    <w:rsid w:val="CDFE3F80"/>
    <w:rsid w:val="CE7CF915"/>
    <w:rsid w:val="CE9B8153"/>
    <w:rsid w:val="CEAFAB29"/>
    <w:rsid w:val="CEEFC268"/>
    <w:rsid w:val="CF362EEA"/>
    <w:rsid w:val="CFF5F3F6"/>
    <w:rsid w:val="D3F7C8F4"/>
    <w:rsid w:val="D5EFFE6A"/>
    <w:rsid w:val="D6F37797"/>
    <w:rsid w:val="D6FF00D5"/>
    <w:rsid w:val="D7FD5A1C"/>
    <w:rsid w:val="DADA0786"/>
    <w:rsid w:val="DB37FDE1"/>
    <w:rsid w:val="DBBE58D3"/>
    <w:rsid w:val="DBBE610F"/>
    <w:rsid w:val="DC8EB9C4"/>
    <w:rsid w:val="DF6D075B"/>
    <w:rsid w:val="DF9FC89F"/>
    <w:rsid w:val="DFC78267"/>
    <w:rsid w:val="DFC7CBB8"/>
    <w:rsid w:val="DFDF6618"/>
    <w:rsid w:val="DFF7E9E8"/>
    <w:rsid w:val="E1101DE3"/>
    <w:rsid w:val="E1F72C06"/>
    <w:rsid w:val="E757284E"/>
    <w:rsid w:val="E773D64B"/>
    <w:rsid w:val="E7BF177B"/>
    <w:rsid w:val="E7FC428C"/>
    <w:rsid w:val="E9BA8AE2"/>
    <w:rsid w:val="E9EBF3E6"/>
    <w:rsid w:val="E9F3C732"/>
    <w:rsid w:val="E9FB1CE2"/>
    <w:rsid w:val="EADEFDE5"/>
    <w:rsid w:val="EAFB9FEA"/>
    <w:rsid w:val="EBEFE097"/>
    <w:rsid w:val="EBFF0903"/>
    <w:rsid w:val="EDE8CDAA"/>
    <w:rsid w:val="EE9FAEAA"/>
    <w:rsid w:val="EEFF3A26"/>
    <w:rsid w:val="EF1FCFF3"/>
    <w:rsid w:val="EF7786AC"/>
    <w:rsid w:val="EF933817"/>
    <w:rsid w:val="EFCFBBBB"/>
    <w:rsid w:val="EFDCCE5A"/>
    <w:rsid w:val="EFF6A70D"/>
    <w:rsid w:val="EFF79357"/>
    <w:rsid w:val="EFFE4053"/>
    <w:rsid w:val="F17752C9"/>
    <w:rsid w:val="F3FBCF7F"/>
    <w:rsid w:val="F5D79CB3"/>
    <w:rsid w:val="F68EBC52"/>
    <w:rsid w:val="F6A31FC1"/>
    <w:rsid w:val="F6FB33CE"/>
    <w:rsid w:val="F7775EE2"/>
    <w:rsid w:val="F7B7B3B3"/>
    <w:rsid w:val="F7CF747F"/>
    <w:rsid w:val="F7FB0CC5"/>
    <w:rsid w:val="F8730464"/>
    <w:rsid w:val="F87E694D"/>
    <w:rsid w:val="F87F86CA"/>
    <w:rsid w:val="F92C2CA7"/>
    <w:rsid w:val="F96D43E0"/>
    <w:rsid w:val="F9753BCF"/>
    <w:rsid w:val="F9D56204"/>
    <w:rsid w:val="F9EF5CDC"/>
    <w:rsid w:val="F9FF420B"/>
    <w:rsid w:val="F9FF5A09"/>
    <w:rsid w:val="F9FFD9A8"/>
    <w:rsid w:val="FA770556"/>
    <w:rsid w:val="FAD720C6"/>
    <w:rsid w:val="FAFBC99D"/>
    <w:rsid w:val="FB5F6712"/>
    <w:rsid w:val="FB5F8DCE"/>
    <w:rsid w:val="FB7FF9A5"/>
    <w:rsid w:val="FB9D443C"/>
    <w:rsid w:val="FBB9B5F3"/>
    <w:rsid w:val="FBEB5094"/>
    <w:rsid w:val="FCEFCB4A"/>
    <w:rsid w:val="FD5DF763"/>
    <w:rsid w:val="FD944236"/>
    <w:rsid w:val="FDBFEBCE"/>
    <w:rsid w:val="FDC78932"/>
    <w:rsid w:val="FDF6B623"/>
    <w:rsid w:val="FDF97550"/>
    <w:rsid w:val="FDFF5A99"/>
    <w:rsid w:val="FDFF88D8"/>
    <w:rsid w:val="FEAF98DC"/>
    <w:rsid w:val="FEB76BCD"/>
    <w:rsid w:val="FEFD0250"/>
    <w:rsid w:val="FF1F86AF"/>
    <w:rsid w:val="FF3CEB9B"/>
    <w:rsid w:val="FF7C96CF"/>
    <w:rsid w:val="FF7EED3F"/>
    <w:rsid w:val="FF8BE5F6"/>
    <w:rsid w:val="FFA96507"/>
    <w:rsid w:val="FFBB711F"/>
    <w:rsid w:val="FFCE9572"/>
    <w:rsid w:val="FFCFA555"/>
    <w:rsid w:val="FFD80B5F"/>
    <w:rsid w:val="FFDE2EA8"/>
    <w:rsid w:val="FFEC4622"/>
    <w:rsid w:val="FFEFE0F4"/>
    <w:rsid w:val="FFF0124A"/>
    <w:rsid w:val="FFF5D487"/>
    <w:rsid w:val="FFFB6B0F"/>
    <w:rsid w:val="FFFED913"/>
    <w:rsid w:val="FFFF22B7"/>
    <w:rsid w:val="FFFFA208"/>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0" w:name="caption" w:locked="1"/>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ocked="1"/>
    <w:lsdException w:qFormat="1" w:unhideWhenUsed="0" w:uiPriority="0" w:semiHidden="0" w:name="Emphasis" w:locked="1"/>
    <w:lsdException w:qFormat="1" w:unhideWhenUsed="0" w:uiPriority="0" w:semiHidden="0" w:name="Document Map"/>
    <w:lsdException w:qFormat="1" w:unhideWhenUsed="0"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ocked="1"/>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仿宋_GB2312" w:cs="Times New Roman"/>
      <w:kern w:val="2"/>
      <w:sz w:val="28"/>
      <w:lang w:val="en-US" w:eastAsia="zh-CN" w:bidi="ar-SA"/>
    </w:rPr>
  </w:style>
  <w:style w:type="paragraph" w:styleId="3">
    <w:name w:val="heading 1"/>
    <w:basedOn w:val="1"/>
    <w:next w:val="1"/>
    <w:qFormat/>
    <w:locked/>
    <w:uiPriority w:val="9"/>
    <w:pPr>
      <w:keepNext/>
      <w:keepLines/>
      <w:spacing w:line="596" w:lineRule="exact"/>
      <w:ind w:firstLine="600" w:firstLineChars="200"/>
      <w:outlineLvl w:val="0"/>
    </w:pPr>
    <w:rPr>
      <w:rFonts w:ascii="Times New Roman" w:hAnsi="Times New Roman" w:eastAsia="仿宋_GB2312" w:cs="Times New Roman"/>
      <w:b/>
      <w:kern w:val="44"/>
      <w:sz w:val="30"/>
    </w:rPr>
  </w:style>
  <w:style w:type="character" w:default="1" w:styleId="15">
    <w:name w:val="Default Paragraph Font"/>
    <w:semiHidden/>
    <w:qFormat/>
    <w:uiPriority w:val="0"/>
  </w:style>
  <w:style w:type="table" w:default="1" w:styleId="14">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line="500" w:lineRule="atLeast"/>
      <w:jc w:val="left"/>
    </w:pPr>
    <w:rPr>
      <w:rFonts w:eastAsia="楷体_GB2312"/>
      <w:kern w:val="0"/>
      <w:sz w:val="28"/>
      <w:szCs w:val="20"/>
    </w:rPr>
  </w:style>
  <w:style w:type="paragraph" w:styleId="4">
    <w:name w:val="Document Map"/>
    <w:basedOn w:val="1"/>
    <w:link w:val="17"/>
    <w:qFormat/>
    <w:uiPriority w:val="0"/>
    <w:rPr>
      <w:rFonts w:ascii="宋体" w:eastAsia="宋体"/>
      <w:sz w:val="18"/>
      <w:szCs w:val="18"/>
    </w:rPr>
  </w:style>
  <w:style w:type="paragraph" w:styleId="5">
    <w:name w:val="annotation text"/>
    <w:basedOn w:val="1"/>
    <w:qFormat/>
    <w:uiPriority w:val="0"/>
    <w:pPr>
      <w:jc w:val="left"/>
    </w:pPr>
  </w:style>
  <w:style w:type="paragraph" w:styleId="6">
    <w:name w:val="Body Text Indent"/>
    <w:basedOn w:val="1"/>
    <w:link w:val="18"/>
    <w:qFormat/>
    <w:uiPriority w:val="0"/>
    <w:pPr>
      <w:spacing w:line="594" w:lineRule="exact"/>
      <w:ind w:firstLine="538" w:firstLineChars="174"/>
    </w:pPr>
    <w:rPr>
      <w:sz w:val="32"/>
    </w:rPr>
  </w:style>
  <w:style w:type="paragraph" w:styleId="7">
    <w:name w:val="Plain Text"/>
    <w:basedOn w:val="1"/>
    <w:link w:val="19"/>
    <w:qFormat/>
    <w:uiPriority w:val="99"/>
    <w:rPr>
      <w:rFonts w:ascii="宋体" w:hAnsi="Courier New" w:eastAsia="宋体"/>
      <w:sz w:val="21"/>
      <w:szCs w:val="21"/>
    </w:rPr>
  </w:style>
  <w:style w:type="paragraph" w:styleId="8">
    <w:name w:val="Date"/>
    <w:basedOn w:val="1"/>
    <w:next w:val="1"/>
    <w:link w:val="20"/>
    <w:qFormat/>
    <w:uiPriority w:val="0"/>
    <w:rPr>
      <w:kern w:val="0"/>
      <w:sz w:val="20"/>
    </w:rPr>
  </w:style>
  <w:style w:type="paragraph" w:styleId="9">
    <w:name w:val="Body Text Indent 2"/>
    <w:basedOn w:val="1"/>
    <w:link w:val="21"/>
    <w:qFormat/>
    <w:uiPriority w:val="0"/>
    <w:pPr>
      <w:spacing w:after="120" w:line="480" w:lineRule="auto"/>
      <w:ind w:left="420" w:leftChars="200"/>
    </w:pPr>
  </w:style>
  <w:style w:type="paragraph" w:styleId="10">
    <w:name w:val="Balloon Text"/>
    <w:basedOn w:val="1"/>
    <w:link w:val="22"/>
    <w:qFormat/>
    <w:uiPriority w:val="0"/>
    <w:rPr>
      <w:sz w:val="18"/>
      <w:szCs w:val="18"/>
    </w:rPr>
  </w:style>
  <w:style w:type="paragraph" w:styleId="11">
    <w:name w:val="footer"/>
    <w:basedOn w:val="1"/>
    <w:link w:val="23"/>
    <w:qFormat/>
    <w:uiPriority w:val="0"/>
    <w:pPr>
      <w:tabs>
        <w:tab w:val="center" w:pos="4153"/>
        <w:tab w:val="right" w:pos="8306"/>
      </w:tabs>
      <w:snapToGrid w:val="0"/>
      <w:jc w:val="left"/>
    </w:pPr>
    <w:rPr>
      <w:kern w:val="0"/>
      <w:sz w:val="20"/>
    </w:rPr>
  </w:style>
  <w:style w:type="paragraph" w:styleId="12">
    <w:name w:val="header"/>
    <w:basedOn w:val="1"/>
    <w:link w:val="24"/>
    <w:semiHidden/>
    <w:qFormat/>
    <w:uiPriority w:val="0"/>
    <w:pPr>
      <w:pBdr>
        <w:bottom w:val="single" w:color="auto" w:sz="6" w:space="1"/>
      </w:pBdr>
      <w:tabs>
        <w:tab w:val="center" w:pos="4153"/>
        <w:tab w:val="right" w:pos="8306"/>
      </w:tabs>
      <w:snapToGrid w:val="0"/>
      <w:jc w:val="center"/>
    </w:pPr>
    <w:rPr>
      <w:kern w:val="0"/>
      <w:sz w:val="18"/>
      <w:szCs w:val="18"/>
    </w:rPr>
  </w:style>
  <w:style w:type="paragraph" w:styleId="13">
    <w:name w:val="Body Text First Indent 2"/>
    <w:qFormat/>
    <w:uiPriority w:val="0"/>
    <w:pPr>
      <w:widowControl w:val="0"/>
      <w:ind w:firstLine="880" w:firstLineChars="200"/>
      <w:jc w:val="both"/>
    </w:pPr>
    <w:rPr>
      <w:rFonts w:ascii="Times New Roman" w:hAnsi="Times New Roman" w:eastAsia="宋体" w:cs="Times New Roman"/>
      <w:kern w:val="2"/>
      <w:sz w:val="21"/>
      <w:szCs w:val="24"/>
      <w:lang w:val="en-US" w:eastAsia="zh-CN" w:bidi="ar-SA"/>
    </w:rPr>
  </w:style>
  <w:style w:type="character" w:styleId="16">
    <w:name w:val="page number"/>
    <w:qFormat/>
    <w:uiPriority w:val="0"/>
    <w:rPr>
      <w:rFonts w:cs="Times New Roman"/>
    </w:rPr>
  </w:style>
  <w:style w:type="character" w:customStyle="1" w:styleId="17">
    <w:name w:val="文档结构图 Char"/>
    <w:link w:val="4"/>
    <w:qFormat/>
    <w:uiPriority w:val="0"/>
    <w:rPr>
      <w:rFonts w:ascii="宋体" w:hAnsi="Times New Roman"/>
      <w:kern w:val="2"/>
      <w:sz w:val="18"/>
      <w:szCs w:val="18"/>
    </w:rPr>
  </w:style>
  <w:style w:type="character" w:customStyle="1" w:styleId="18">
    <w:name w:val="正文文本缩进 Char"/>
    <w:link w:val="6"/>
    <w:qFormat/>
    <w:uiPriority w:val="0"/>
    <w:rPr>
      <w:rFonts w:ascii="Times New Roman" w:hAnsi="Times New Roman" w:eastAsia="仿宋_GB2312"/>
      <w:kern w:val="2"/>
      <w:sz w:val="32"/>
    </w:rPr>
  </w:style>
  <w:style w:type="character" w:customStyle="1" w:styleId="19">
    <w:name w:val="纯文本 Char1"/>
    <w:link w:val="7"/>
    <w:qFormat/>
    <w:locked/>
    <w:uiPriority w:val="99"/>
    <w:rPr>
      <w:rFonts w:ascii="宋体" w:hAnsi="Courier New" w:cs="Courier New"/>
      <w:kern w:val="2"/>
      <w:sz w:val="21"/>
      <w:szCs w:val="21"/>
    </w:rPr>
  </w:style>
  <w:style w:type="character" w:customStyle="1" w:styleId="20">
    <w:name w:val="日期 Char"/>
    <w:link w:val="8"/>
    <w:qFormat/>
    <w:locked/>
    <w:uiPriority w:val="0"/>
    <w:rPr>
      <w:rFonts w:ascii="Times New Roman" w:hAnsi="Times New Roman" w:eastAsia="仿宋_GB2312" w:cs="Times New Roman"/>
      <w:sz w:val="20"/>
      <w:szCs w:val="20"/>
    </w:rPr>
  </w:style>
  <w:style w:type="character" w:customStyle="1" w:styleId="21">
    <w:name w:val="正文文本缩进 2 Char"/>
    <w:link w:val="9"/>
    <w:qFormat/>
    <w:uiPriority w:val="0"/>
    <w:rPr>
      <w:rFonts w:ascii="Times New Roman" w:hAnsi="Times New Roman" w:eastAsia="仿宋_GB2312"/>
      <w:kern w:val="2"/>
      <w:sz w:val="28"/>
    </w:rPr>
  </w:style>
  <w:style w:type="character" w:customStyle="1" w:styleId="22">
    <w:name w:val="批注框文本 Char"/>
    <w:basedOn w:val="15"/>
    <w:link w:val="10"/>
    <w:qFormat/>
    <w:uiPriority w:val="0"/>
    <w:rPr>
      <w:rFonts w:ascii="Times New Roman" w:hAnsi="Times New Roman" w:eastAsia="仿宋_GB2312"/>
      <w:kern w:val="2"/>
      <w:sz w:val="18"/>
      <w:szCs w:val="18"/>
    </w:rPr>
  </w:style>
  <w:style w:type="character" w:customStyle="1" w:styleId="23">
    <w:name w:val="页脚 Char"/>
    <w:link w:val="11"/>
    <w:qFormat/>
    <w:locked/>
    <w:uiPriority w:val="0"/>
    <w:rPr>
      <w:rFonts w:ascii="Times New Roman" w:hAnsi="Times New Roman" w:eastAsia="仿宋_GB2312" w:cs="Times New Roman"/>
      <w:sz w:val="20"/>
      <w:szCs w:val="20"/>
    </w:rPr>
  </w:style>
  <w:style w:type="character" w:customStyle="1" w:styleId="24">
    <w:name w:val="页眉 Char"/>
    <w:link w:val="12"/>
    <w:semiHidden/>
    <w:qFormat/>
    <w:locked/>
    <w:uiPriority w:val="0"/>
    <w:rPr>
      <w:rFonts w:ascii="Times New Roman" w:hAnsi="Times New Roman" w:eastAsia="仿宋_GB2312" w:cs="Times New Roman"/>
      <w:sz w:val="18"/>
      <w:szCs w:val="18"/>
    </w:rPr>
  </w:style>
  <w:style w:type="paragraph" w:customStyle="1" w:styleId="25">
    <w:name w:val="Char"/>
    <w:basedOn w:val="1"/>
    <w:qFormat/>
    <w:uiPriority w:val="0"/>
    <w:rPr>
      <w:rFonts w:eastAsia="宋体"/>
      <w:sz w:val="21"/>
      <w:szCs w:val="21"/>
    </w:rPr>
  </w:style>
  <w:style w:type="character" w:customStyle="1" w:styleId="26">
    <w:name w:val="style_kwd1"/>
    <w:qFormat/>
    <w:uiPriority w:val="0"/>
    <w:rPr>
      <w:rFonts w:cs="Times New Roman"/>
      <w:shd w:val="clear" w:color="auto" w:fill="FFFFA6"/>
    </w:rPr>
  </w:style>
  <w:style w:type="paragraph" w:customStyle="1" w:styleId="27">
    <w:name w:val="List Paragraph"/>
    <w:basedOn w:val="1"/>
    <w:qFormat/>
    <w:uiPriority w:val="0"/>
    <w:pPr>
      <w:ind w:firstLine="420" w:firstLineChars="200"/>
    </w:pPr>
  </w:style>
  <w:style w:type="character" w:customStyle="1" w:styleId="28">
    <w:name w:val="纯文本 Char"/>
    <w:qFormat/>
    <w:uiPriority w:val="0"/>
    <w:rPr>
      <w:rFonts w:ascii="宋体" w:hAnsi="Courier New" w:cs="Courier New"/>
      <w:kern w:val="2"/>
      <w:sz w:val="21"/>
      <w:szCs w:val="21"/>
    </w:rPr>
  </w:style>
  <w:style w:type="paragraph" w:customStyle="1" w:styleId="29">
    <w:name w:val=" Char Char Char Char"/>
    <w:qFormat/>
    <w:uiPriority w:val="0"/>
    <w:pPr>
      <w:shd w:val="clear" w:color="auto" w:fill="000080"/>
      <w:adjustRightInd w:val="0"/>
      <w:spacing w:line="436" w:lineRule="exact"/>
      <w:ind w:left="357"/>
      <w:outlineLvl w:val="3"/>
    </w:pPr>
    <w:rPr>
      <w:rFonts w:ascii="Tahoma" w:hAnsi="Tahoma" w:eastAsia="宋体" w:cs="Times New Roman"/>
      <w:b/>
      <w:sz w:val="24"/>
      <w:szCs w:val="24"/>
      <w:lang w:val="en-US" w:eastAsia="zh-CN" w:bidi="ar-SA"/>
    </w:rPr>
  </w:style>
  <w:style w:type="character" w:customStyle="1" w:styleId="30">
    <w:name w:val="Plain Text Char"/>
    <w:semiHidden/>
    <w:qFormat/>
    <w:locked/>
    <w:uiPriority w:val="0"/>
    <w:rPr>
      <w:rFonts w:ascii="宋体" w:hAnsi="Courier New" w:eastAsia="宋体" w:cs="Courier New"/>
      <w:kern w:val="2"/>
      <w:sz w:val="21"/>
      <w:szCs w:val="21"/>
      <w:lang w:val="en-US" w:eastAsia="zh-CN" w:bidi="ar-SA"/>
    </w:rPr>
  </w:style>
  <w:style w:type="paragraph" w:customStyle="1" w:styleId="31">
    <w:name w:val="样式1"/>
    <w:basedOn w:val="1"/>
    <w:qFormat/>
    <w:uiPriority w:val="0"/>
    <w:pPr>
      <w:ind w:firstLine="602" w:firstLineChars="200"/>
    </w:pPr>
    <w:rPr>
      <w:rFonts w:ascii="仿宋" w:hAnsi="仿宋" w:eastAsia="仿宋"/>
      <w:sz w:val="30"/>
      <w:szCs w:val="30"/>
    </w:rPr>
  </w:style>
  <w:style w:type="paragraph" w:customStyle="1" w:styleId="32">
    <w:name w:val="Default"/>
    <w:qFormat/>
    <w:uiPriority w:val="0"/>
    <w:pPr>
      <w:widowControl w:val="0"/>
      <w:autoSpaceDE w:val="0"/>
      <w:autoSpaceDN w:val="0"/>
      <w:adjustRightInd w:val="0"/>
    </w:pPr>
    <w:rPr>
      <w:rFonts w:ascii="宋体" w:hAnsi="宋体" w:eastAsia="宋体" w:cs="宋体"/>
      <w:color w:val="000000"/>
      <w:sz w:val="24"/>
      <w:szCs w:val="24"/>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Company>Hewlett-Packard Company</Company>
  <Pages>12</Pages>
  <Words>8132</Words>
  <Characters>46356</Characters>
  <Lines>386</Lines>
  <Paragraphs>108</Paragraphs>
  <TotalTime>216</TotalTime>
  <ScaleCrop>false</ScaleCrop>
  <LinksUpToDate>false</LinksUpToDate>
  <CharactersWithSpaces>54380</CharactersWithSpaces>
  <Application>WPS Office_11.8.2.10489_F1E327BC-269C-435d-A152-05C5408002CA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2021-07-19T17:35:00Z</dcterms:created>
  <dc:creator>hp</dc:creator>
  <cp:lastModifiedBy>姜镭</cp:lastModifiedBy>
  <cp:lastPrinted>2022-12-22T02:48:00Z</cp:lastPrinted>
  <dcterms:modified xsi:type="dcterms:W3CDTF">2026-06-17T16:27:01Z</dcterms:modified>
  <dc:title>浙 江 省 高 级 人 民 法 院</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2052-11.8.2.10489</vt:lpwstr>
  </property>
  <property fmtid="{D5CDD505-2E9C-101B-9397-08002B2CF9AE}" pid="3" name="ICV">
    <vt:lpwstr>95BE33C12BD4A20881354B69E5D4B695_43</vt:lpwstr>
  </property>
</Properties>
</file>