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template.macroEnabledTemplate.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spacing w:before="0" w:beforeAutospacing="0" w:after="0" w:afterAutospacing="0" w:line="600" w:lineRule="exact"/>
        <w:ind w:left="0" w:right="0"/>
        <w:jc w:val="center"/>
        <w:rPr>
          <w:rFonts w:hint="default" w:ascii="华文中宋" w:hAnsi="华文中宋" w:eastAsia="华文中宋" w:cs="Times New Roman"/>
          <w:spacing w:val="20"/>
          <w:kern w:val="2"/>
          <w:sz w:val="44"/>
          <w:szCs w:val="44"/>
          <mc:AlternateContent>
            <mc:Choice Requires="wpsCustomData">
              <wpsCustomData:relSz val="two"/>
              <wpsCustomData:relSzCs val="two"/>
            </mc:Choice>
          </mc:AlternateContent>
        </w:rPr>
      </w:pPr>
    </w:p>
    <w:p>
      <w:pPr>
        <w:keepNext w:val="0"/>
        <w:keepLines w:val="0"/>
        <w:widowControl w:val="0"/>
        <w:suppressLineNumbers w:val="0"/>
        <w:spacing w:before="0" w:beforeAutospacing="0" w:after="0" w:afterAutospacing="0" w:line="840" w:lineRule="exact"/>
        <w:ind w:left="0" w:right="0"/>
        <w:jc w:val="center"/>
        <w:rPr>
          <w:rFonts w:hint="default" w:ascii="华文中宋" w:hAnsi="华文中宋" w:eastAsia="华文中宋" w:cs="Times New Roman"/>
          <w:spacing w:val="20"/>
          <w:kern w:val="2"/>
          <w:sz w:val="52"/>
          <w:szCs w:val="52"/>
          <mc:AlternateContent>
            <mc:Choice Requires="wpsCustomData">
              <wpsCustomData:relSz val="one"/>
              <wpsCustomData:relSzCs val="one"/>
            </mc:Choice>
          </mc:AlternateContent>
        </w:rPr>
      </w:pPr>
      <w:r>
        <w:rPr>
          <w:rFonts w:hint="default" w:ascii="华文中宋" w:hAnsi="华文中宋" w:eastAsia="华文中宋" w:cs="华文中宋"/>
          <w:spacing w:val="20"/>
          <w:kern w:val="2"/>
          <w:sz w:val="44"/>
          <w:szCs w:val="44"/>
          <w:lang w:val="en-US" w:eastAsia="zh-CN" w:bidi="ar"/>
          <mc:AlternateContent>
            <mc:Choice Requires="wpsCustomData">
              <wpsCustomData:relSz val="two"/>
              <wpsCustomData:relSzCs val="two"/>
            </mc:Choice>
          </mc:AlternateContent>
        </w:rPr>
        <w:t>浙</w:t>
      </w:r>
      <w:r>
        <w:rPr>
          <w:rFonts w:hint="default" w:ascii="华文中宋" w:hAnsi="华文中宋" w:eastAsia="华文中宋" w:cs="Times New Roman"/>
          <w:spacing w:val="20"/>
          <w:kern w:val="2"/>
          <w:sz w:val="44"/>
          <w:szCs w:val="44"/>
          <w:lang w:val="en-US" w:eastAsia="zh-CN" w:bidi="ar"/>
          <mc:AlternateContent>
            <mc:Choice Requires="wpsCustomData">
              <wpsCustomData:relSz val="two"/>
              <wpsCustomData:relSzCs val="two"/>
            </mc:Choice>
          </mc:AlternateContent>
        </w:rPr>
        <w:t xml:space="preserve"> </w:t>
      </w:r>
      <w:r>
        <w:rPr>
          <w:rFonts w:hint="default" w:ascii="华文中宋" w:hAnsi="华文中宋" w:eastAsia="华文中宋" w:cs="华文中宋"/>
          <w:spacing w:val="20"/>
          <w:kern w:val="2"/>
          <w:sz w:val="44"/>
          <w:szCs w:val="44"/>
          <w:lang w:val="en-US" w:eastAsia="zh-CN" w:bidi="ar"/>
          <mc:AlternateContent>
            <mc:Choice Requires="wpsCustomData">
              <wpsCustomData:relSz val="two"/>
              <wpsCustomData:relSzCs val="two"/>
            </mc:Choice>
          </mc:AlternateContent>
        </w:rPr>
        <w:t>江</w:t>
      </w:r>
      <w:r>
        <w:rPr>
          <w:rFonts w:hint="default" w:ascii="华文中宋" w:hAnsi="华文中宋" w:eastAsia="华文中宋" w:cs="Times New Roman"/>
          <w:spacing w:val="20"/>
          <w:kern w:val="2"/>
          <w:sz w:val="44"/>
          <w:szCs w:val="44"/>
          <w:lang w:val="en-US" w:eastAsia="zh-CN" w:bidi="ar"/>
          <mc:AlternateContent>
            <mc:Choice Requires="wpsCustomData">
              <wpsCustomData:relSz val="two"/>
              <wpsCustomData:relSzCs val="two"/>
            </mc:Choice>
          </mc:AlternateContent>
        </w:rPr>
        <w:t xml:space="preserve"> </w:t>
      </w:r>
      <w:r>
        <w:rPr>
          <w:rFonts w:hint="default" w:ascii="华文中宋" w:hAnsi="华文中宋" w:eastAsia="华文中宋" w:cs="华文中宋"/>
          <w:spacing w:val="20"/>
          <w:kern w:val="2"/>
          <w:sz w:val="44"/>
          <w:szCs w:val="44"/>
          <w:lang w:val="en-US" w:eastAsia="zh-CN" w:bidi="ar"/>
          <mc:AlternateContent>
            <mc:Choice Requires="wpsCustomData">
              <wpsCustomData:relSz val="two"/>
              <wpsCustomData:relSzCs val="two"/>
            </mc:Choice>
          </mc:AlternateContent>
        </w:rPr>
        <w:t>省</w:t>
      </w:r>
      <w:r>
        <w:rPr>
          <w:rFonts w:hint="default" w:ascii="华文中宋" w:hAnsi="华文中宋" w:eastAsia="华文中宋" w:cs="Times New Roman"/>
          <w:spacing w:val="20"/>
          <w:kern w:val="2"/>
          <w:sz w:val="44"/>
          <w:szCs w:val="44"/>
          <w:lang w:val="en-US" w:eastAsia="zh-CN" w:bidi="ar"/>
          <mc:AlternateContent>
            <mc:Choice Requires="wpsCustomData">
              <wpsCustomData:relSz val="two"/>
              <wpsCustomData:relSzCs val="two"/>
            </mc:Choice>
          </mc:AlternateContent>
        </w:rPr>
        <w:t xml:space="preserve"> </w:t>
      </w:r>
      <w:r>
        <w:rPr>
          <w:rFonts w:hint="default" w:ascii="华文中宋" w:hAnsi="华文中宋" w:eastAsia="华文中宋" w:cs="华文中宋"/>
          <w:spacing w:val="20"/>
          <w:kern w:val="2"/>
          <w:sz w:val="44"/>
          <w:szCs w:val="44"/>
          <w:lang w:val="en-US" w:eastAsia="zh-CN" w:bidi="ar"/>
          <mc:AlternateContent>
            <mc:Choice Requires="wpsCustomData">
              <wpsCustomData:relSz val="two"/>
              <wpsCustomData:relSzCs val="two"/>
            </mc:Choice>
          </mc:AlternateContent>
        </w:rPr>
        <w:t>高</w:t>
      </w:r>
      <w:r>
        <w:rPr>
          <w:rFonts w:hint="default" w:ascii="华文中宋" w:hAnsi="华文中宋" w:eastAsia="华文中宋" w:cs="Times New Roman"/>
          <w:spacing w:val="20"/>
          <w:kern w:val="2"/>
          <w:sz w:val="44"/>
          <w:szCs w:val="44"/>
          <w:lang w:val="en-US" w:eastAsia="zh-CN" w:bidi="ar"/>
          <mc:AlternateContent>
            <mc:Choice Requires="wpsCustomData">
              <wpsCustomData:relSz val="two"/>
              <wpsCustomData:relSzCs val="two"/>
            </mc:Choice>
          </mc:AlternateContent>
        </w:rPr>
        <w:t xml:space="preserve"> </w:t>
      </w:r>
      <w:r>
        <w:rPr>
          <w:rFonts w:hint="default" w:ascii="华文中宋" w:hAnsi="华文中宋" w:eastAsia="华文中宋" w:cs="华文中宋"/>
          <w:spacing w:val="20"/>
          <w:kern w:val="2"/>
          <w:sz w:val="44"/>
          <w:szCs w:val="44"/>
          <w:lang w:val="en-US" w:eastAsia="zh-CN" w:bidi="ar"/>
          <mc:AlternateContent>
            <mc:Choice Requires="wpsCustomData">
              <wpsCustomData:relSz val="two"/>
              <wpsCustomData:relSzCs val="two"/>
            </mc:Choice>
          </mc:AlternateContent>
        </w:rPr>
        <w:t>级</w:t>
      </w:r>
      <w:r>
        <w:rPr>
          <w:rFonts w:hint="default" w:ascii="华文中宋" w:hAnsi="华文中宋" w:eastAsia="华文中宋" w:cs="Times New Roman"/>
          <w:spacing w:val="20"/>
          <w:kern w:val="2"/>
          <w:sz w:val="44"/>
          <w:szCs w:val="44"/>
          <w:lang w:val="en-US" w:eastAsia="zh-CN" w:bidi="ar"/>
          <mc:AlternateContent>
            <mc:Choice Requires="wpsCustomData">
              <wpsCustomData:relSz val="two"/>
              <wpsCustomData:relSzCs val="two"/>
            </mc:Choice>
          </mc:AlternateContent>
        </w:rPr>
        <w:t xml:space="preserve"> </w:t>
      </w:r>
      <w:r>
        <w:rPr>
          <w:rFonts w:hint="default" w:ascii="华文中宋" w:hAnsi="华文中宋" w:eastAsia="华文中宋" w:cs="华文中宋"/>
          <w:spacing w:val="20"/>
          <w:kern w:val="2"/>
          <w:sz w:val="44"/>
          <w:szCs w:val="44"/>
          <w:lang w:val="en-US" w:eastAsia="zh-CN" w:bidi="ar"/>
          <mc:AlternateContent>
            <mc:Choice Requires="wpsCustomData">
              <wpsCustomData:relSz val="two"/>
              <wpsCustomData:relSzCs val="two"/>
            </mc:Choice>
          </mc:AlternateContent>
        </w:rPr>
        <w:t>人</w:t>
      </w:r>
      <w:r>
        <w:rPr>
          <w:rFonts w:hint="default" w:ascii="华文中宋" w:hAnsi="华文中宋" w:eastAsia="华文中宋" w:cs="Times New Roman"/>
          <w:spacing w:val="20"/>
          <w:kern w:val="2"/>
          <w:sz w:val="44"/>
          <w:szCs w:val="44"/>
          <w:lang w:val="en-US" w:eastAsia="zh-CN" w:bidi="ar"/>
          <mc:AlternateContent>
            <mc:Choice Requires="wpsCustomData">
              <wpsCustomData:relSz val="two"/>
              <wpsCustomData:relSzCs val="two"/>
            </mc:Choice>
          </mc:AlternateContent>
        </w:rPr>
        <w:t xml:space="preserve"> </w:t>
      </w:r>
      <w:r>
        <w:rPr>
          <w:rFonts w:hint="default" w:ascii="华文中宋" w:hAnsi="华文中宋" w:eastAsia="华文中宋" w:cs="华文中宋"/>
          <w:spacing w:val="20"/>
          <w:kern w:val="2"/>
          <w:sz w:val="44"/>
          <w:szCs w:val="44"/>
          <w:lang w:val="en-US" w:eastAsia="zh-CN" w:bidi="ar"/>
          <mc:AlternateContent>
            <mc:Choice Requires="wpsCustomData">
              <wpsCustomData:relSz val="two"/>
              <wpsCustomData:relSzCs val="two"/>
            </mc:Choice>
          </mc:AlternateContent>
        </w:rPr>
        <w:t>民</w:t>
      </w:r>
      <w:r>
        <w:rPr>
          <w:rFonts w:hint="default" w:ascii="华文中宋" w:hAnsi="华文中宋" w:eastAsia="华文中宋" w:cs="Times New Roman"/>
          <w:spacing w:val="20"/>
          <w:kern w:val="2"/>
          <w:sz w:val="44"/>
          <w:szCs w:val="44"/>
          <w:lang w:val="en-US" w:eastAsia="zh-CN" w:bidi="ar"/>
          <mc:AlternateContent>
            <mc:Choice Requires="wpsCustomData">
              <wpsCustomData:relSz val="two"/>
              <wpsCustomData:relSzCs val="two"/>
            </mc:Choice>
          </mc:AlternateContent>
        </w:rPr>
        <w:t xml:space="preserve"> </w:t>
      </w:r>
      <w:r>
        <w:rPr>
          <w:rFonts w:hint="default" w:ascii="华文中宋" w:hAnsi="华文中宋" w:eastAsia="华文中宋" w:cs="华文中宋"/>
          <w:spacing w:val="20"/>
          <w:kern w:val="2"/>
          <w:sz w:val="44"/>
          <w:szCs w:val="44"/>
          <w:lang w:val="en-US" w:eastAsia="zh-CN" w:bidi="ar"/>
          <mc:AlternateContent>
            <mc:Choice Requires="wpsCustomData">
              <wpsCustomData:relSz val="two"/>
              <wpsCustomData:relSzCs val="two"/>
            </mc:Choice>
          </mc:AlternateContent>
        </w:rPr>
        <w:t>法</w:t>
      </w:r>
      <w:r>
        <w:rPr>
          <w:rFonts w:hint="default" w:ascii="华文中宋" w:hAnsi="华文中宋" w:eastAsia="华文中宋" w:cs="Times New Roman"/>
          <w:spacing w:val="20"/>
          <w:kern w:val="2"/>
          <w:sz w:val="44"/>
          <w:szCs w:val="44"/>
          <w:lang w:val="en-US" w:eastAsia="zh-CN" w:bidi="ar"/>
          <mc:AlternateContent>
            <mc:Choice Requires="wpsCustomData">
              <wpsCustomData:relSz val="two"/>
              <wpsCustomData:relSzCs val="two"/>
            </mc:Choice>
          </mc:AlternateContent>
        </w:rPr>
        <w:t xml:space="preserve"> </w:t>
      </w:r>
      <w:r>
        <w:rPr>
          <w:rFonts w:hint="default" w:ascii="华文中宋" w:hAnsi="华文中宋" w:eastAsia="华文中宋" w:cs="华文中宋"/>
          <w:spacing w:val="20"/>
          <w:kern w:val="2"/>
          <w:sz w:val="44"/>
          <w:szCs w:val="44"/>
          <w:lang w:val="en-US" w:eastAsia="zh-CN" w:bidi="ar"/>
          <mc:AlternateContent>
            <mc:Choice Requires="wpsCustomData">
              <wpsCustomData:relSz val="two"/>
              <wpsCustomData:relSzCs val="two"/>
            </mc:Choice>
          </mc:AlternateContent>
        </w:rPr>
        <w:t>院</w:t>
      </w:r>
    </w:p>
    <w:p>
      <w:pPr>
        <w:keepNext w:val="0"/>
        <w:keepLines w:val="0"/>
        <w:widowControl w:val="0"/>
        <w:suppressLineNumbers w:val="0"/>
        <w:spacing w:before="0" w:beforeAutospacing="0" w:after="0" w:afterAutospacing="0" w:line="840" w:lineRule="exact"/>
        <w:ind w:left="0" w:right="0"/>
        <w:jc w:val="center"/>
        <w:rPr>
          <w:rFonts w:hint="default" w:ascii="华文中宋" w:hAnsi="华文中宋" w:eastAsia="华文中宋" w:cs="Times New Roman"/>
          <w:kern w:val="2"/>
          <w:sz w:val="52"/>
          <w:szCs w:val="52"/>
          <mc:AlternateContent>
            <mc:Choice Requires="wpsCustomData">
              <wpsCustomData:relSz val="one"/>
              <wpsCustomData:relSzCs val="one"/>
            </mc:Choice>
          </mc:AlternateContent>
        </w:rPr>
      </w:pPr>
      <w:r>
        <w:rPr>
          <w:rFonts w:hint="default" w:ascii="华文中宋" w:hAnsi="华文中宋" w:eastAsia="华文中宋" w:cs="华文中宋"/>
          <w:spacing w:val="240"/>
          <w:kern w:val="2"/>
          <w:sz w:val="52"/>
          <w:szCs w:val="52"/>
          <w:lang w:val="en-US" w:eastAsia="zh-CN" w:bidi="ar"/>
          <mc:AlternateContent>
            <mc:Choice Requires="wpsCustomData">
              <wpsCustomData:relSz val="one"/>
              <wpsCustomData:relSzCs val="one"/>
            </mc:Choice>
          </mc:AlternateContent>
        </w:rPr>
        <w:t>民事判决</w:t>
      </w:r>
      <w:r>
        <w:rPr>
          <w:rFonts w:hint="default" w:ascii="华文中宋" w:hAnsi="华文中宋" w:eastAsia="华文中宋" w:cs="华文中宋"/>
          <w:kern w:val="2"/>
          <w:sz w:val="52"/>
          <w:szCs w:val="52"/>
          <w:lang w:val="en-US" w:eastAsia="zh-CN" w:bidi="ar"/>
          <mc:AlternateContent>
            <mc:Choice Requires="wpsCustomData">
              <wpsCustomData:relSz val="one"/>
              <wpsCustomData:relSzCs val="one"/>
            </mc:Choice>
          </mc:AlternateContent>
        </w:rPr>
        <w:t>书</w:t>
      </w:r>
    </w:p>
    <w:p>
      <w:pPr>
        <w:keepNext w:val="0"/>
        <w:keepLines w:val="0"/>
        <w:widowControl w:val="0"/>
        <w:suppressLineNumbers w:val="0"/>
        <w:spacing w:before="0" w:beforeAutospacing="0" w:after="0" w:afterAutospacing="0" w:line="780" w:lineRule="exact"/>
        <w:ind w:left="0" w:right="0"/>
        <w:jc w:val="both"/>
        <w:rPr>
          <w:rFonts w:hint="default" w:ascii="Times New Roman" w:hAnsi="Times New Roman" w:eastAsia="仿宋_GB2312" w:cs="Times New Roman"/>
          <w:kern w:val="2"/>
          <w:sz w:val="32"/>
          <w:szCs w:val="32"/>
          <mc:AlternateContent>
            <mc:Choice Requires="wpsCustomData">
              <wpsCustomData:relSz val="three"/>
              <wpsCustomData:relSzCs val="three"/>
            </mc:Choice>
          </mc:AlternateContent>
        </w:rPr>
      </w:pPr>
      <w:r>
        <w:rPr>
          <w:rFonts w:hint="default" w:ascii="Calibri" w:hAnsi="Calibri" w:eastAsia="宋体" w:cs="Times New Roman"/>
          <w:kern w:val="2"/>
          <w:sz w:val="32"/>
          <w:szCs w:val="32"/>
          <w:lang w:val="en-US" w:eastAsia="zh-CN" w:bidi="ar"/>
          <mc:AlternateContent>
            <mc:Choice Requires="wpsCustomData">
              <wpsCustomData:relSz val="three"/>
              <wpsCustomData:relSzCs val="three"/>
            </mc:Choice>
          </mc:AlternateContent>
        </w:rPr>
        <w:t xml:space="preserve"> </w:t>
      </w:r>
    </w:p>
    <w:p>
      <w:pPr>
        <w:keepNext w:val="0"/>
        <w:keepLines w:val="0"/>
        <w:widowControl w:val="0"/>
        <w:suppressLineNumbers w:val="0"/>
        <w:wordWrap w:val="0"/>
        <w:autoSpaceDE w:val="0"/>
        <w:autoSpaceDN/>
        <w:spacing w:before="0" w:beforeAutospacing="0" w:after="0" w:afterAutospacing="0" w:line="340" w:lineRule="exact"/>
        <w:ind w:left="0" w:right="0" w:firstLine="573"/>
        <w:jc w:val="both"/>
        <w:rPr>
          <w:rFonts w:hint="default" w:ascii="Times New Roman" w:hAnsi="Times New Roman" w:eastAsia="仿宋_GB2312" w:cs="Times New Roman"/>
          <w:kern w:val="2"/>
          <w:sz w:val="32"/>
          <w:szCs w:val="32"/>
          <mc:AlternateContent>
            <mc:Choice Requires="wpsCustomData">
              <wpsCustomData:relSz val="three"/>
              <wpsCustomData:relSzCs val="three"/>
            </mc:Choice>
          </mc:AlternateContent>
        </w:rPr>
      </w:pP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 xml:space="preserve">                              </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2024</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）浙民终</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898</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号</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 xml:space="preserve">   </w:t>
      </w:r>
    </w:p>
    <w:p>
      <w:pPr>
        <w:keepNext w:val="0"/>
        <w:keepLines w:val="0"/>
        <w:widowControl w:val="0"/>
        <w:suppressLineNumbers w:val="0"/>
        <w:autoSpaceDE w:val="0"/>
        <w:autoSpaceDN/>
        <w:spacing w:before="0" w:beforeAutospacing="0" w:after="0" w:afterAutospacing="0" w:line="340" w:lineRule="exact"/>
        <w:ind w:left="0" w:right="0" w:firstLine="550" w:firstLineChars="174"/>
        <w:jc w:val="both"/>
        <w:rPr>
          <w:rFonts w:hint="default" w:ascii="Times New Roman" w:hAnsi="Times New Roman" w:eastAsia="仿宋_GB2312" w:cs="Times New Roman"/>
          <w:kern w:val="2"/>
          <w:sz w:val="32"/>
          <w:szCs w:val="32"/>
          <mc:AlternateContent>
            <mc:Choice Requires="wpsCustomData">
              <wpsCustomData:relSz val="three"/>
              <wpsCustomData:relSzCs val="three"/>
            </mc:Choice>
          </mc:AlternateContent>
        </w:rPr>
      </w:pP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 xml:space="preserve"> </w:t>
      </w:r>
    </w:p>
    <w:p>
      <w:pPr>
        <w:pStyle w:val="4"/>
        <w:keepNext w:val="0"/>
        <w:keepLines w:val="0"/>
        <w:pageBreakBefore w:val="0"/>
        <w:widowControl w:val="0"/>
        <w:suppressLineNumbers w:val="0"/>
        <w:kinsoku/>
        <w:wordWrap/>
        <w:overflowPunct w:val="0"/>
        <w:autoSpaceDE w:val="0"/>
        <w:autoSpaceDN w:val="0"/>
        <w:bidi w:val="0"/>
        <w:adjustRightInd/>
        <w:spacing w:before="0" w:beforeAutospacing="0" w:after="0" w:afterAutospacing="0" w:line="652" w:lineRule="exact"/>
        <w:ind w:left="0" w:right="0" w:firstLine="632" w:firstLineChars="200"/>
        <w:jc w:val="left"/>
        <w:textAlignment w:val="auto"/>
        <w:rPr>
          <w:rFonts w:hint="default" w:ascii="Times New Roman" w:hAnsi="Times New Roman" w:eastAsia="仿宋_GB2312" w:cs="Times New Roman"/>
          <w:kern w:val="0"/>
          <w:sz w:val="32"/>
          <w:szCs w:val="32"/>
          <mc:AlternateContent>
            <mc:Choice Requires="wpsCustomData">
              <wpsCustomData:relSz val="three"/>
              <wpsCustomData:relSzCs val="three"/>
            </mc:Choice>
          </mc:AlternateContent>
        </w:rPr>
      </w:pPr>
      <w:bookmarkStart w:id="0" w:name="_GoBack"/>
      <w:r>
        <w:rPr>
          <w:rFonts w:hint="default" w:ascii="仿宋_GB2312" w:hAnsi="Times New Roman" w:eastAsia="仿宋_GB2312" w:cs="仿宋_GB2312"/>
          <w:kern w:val="0"/>
          <w:sz w:val="32"/>
          <w:szCs w:val="32"/>
          <w:lang w:val="en-US" w:eastAsia="zh-CN" w:bidi="ar"/>
          <mc:AlternateContent>
            <mc:Choice Requires="wpsCustomData">
              <wpsCustomData:relSz val="three"/>
              <wpsCustomData:relSzCs val="three"/>
            </mc:Choice>
          </mc:AlternateContent>
        </w:rPr>
        <w:t>上诉人（原审被告）：台州市简某公司，住所地浙江省台州市。</w:t>
      </w:r>
    </w:p>
    <w:p>
      <w:pPr>
        <w:pStyle w:val="4"/>
        <w:keepNext w:val="0"/>
        <w:keepLines w:val="0"/>
        <w:pageBreakBefore w:val="0"/>
        <w:widowControl w:val="0"/>
        <w:suppressLineNumbers w:val="0"/>
        <w:kinsoku/>
        <w:wordWrap/>
        <w:overflowPunct w:val="0"/>
        <w:autoSpaceDE w:val="0"/>
        <w:autoSpaceDN w:val="0"/>
        <w:bidi w:val="0"/>
        <w:adjustRightInd/>
        <w:spacing w:before="0" w:beforeAutospacing="0" w:after="0" w:afterAutospacing="0" w:line="652" w:lineRule="exact"/>
        <w:ind w:left="0" w:right="0" w:firstLine="632" w:firstLineChars="200"/>
        <w:jc w:val="left"/>
        <w:textAlignment w:val="auto"/>
        <w:rPr>
          <w:rFonts w:hint="default" w:ascii="Times New Roman" w:hAnsi="Times New Roman" w:eastAsia="仿宋_GB2312" w:cs="Times New Roman"/>
          <w:kern w:val="0"/>
          <w:sz w:val="32"/>
          <w:szCs w:val="32"/>
          <mc:AlternateContent>
            <mc:Choice Requires="wpsCustomData">
              <wpsCustomData:relSz val="three"/>
              <wpsCustomData:relSzCs val="three"/>
            </mc:Choice>
          </mc:AlternateContent>
        </w:rPr>
      </w:pPr>
      <w:r>
        <w:rPr>
          <w:rFonts w:hint="default" w:ascii="仿宋_GB2312" w:hAnsi="Times New Roman" w:eastAsia="仿宋_GB2312" w:cs="仿宋_GB2312"/>
          <w:kern w:val="0"/>
          <w:sz w:val="32"/>
          <w:szCs w:val="32"/>
          <w:lang w:val="en-US" w:eastAsia="zh-CN" w:bidi="ar"/>
          <mc:AlternateContent>
            <mc:Choice Requires="wpsCustomData">
              <wpsCustomData:relSz val="three"/>
              <wpsCustomData:relSzCs val="three"/>
            </mc:Choice>
          </mc:AlternateContent>
        </w:rPr>
        <w:t>被上诉人（原审原告）：浙江家某公司，住所地浙江省台州市。</w:t>
      </w:r>
    </w:p>
    <w:p>
      <w:pPr>
        <w:pStyle w:val="4"/>
        <w:keepNext w:val="0"/>
        <w:keepLines w:val="0"/>
        <w:pageBreakBefore w:val="0"/>
        <w:widowControl w:val="0"/>
        <w:suppressLineNumbers w:val="0"/>
        <w:kinsoku/>
        <w:wordWrap/>
        <w:overflowPunct w:val="0"/>
        <w:autoSpaceDE w:val="0"/>
        <w:autoSpaceDN w:val="0"/>
        <w:bidi w:val="0"/>
        <w:adjustRightInd/>
        <w:spacing w:before="0" w:beforeAutospacing="0" w:after="0" w:afterAutospacing="0" w:line="652" w:lineRule="exact"/>
        <w:ind w:left="0" w:right="0" w:firstLine="632" w:firstLineChars="200"/>
        <w:jc w:val="both"/>
        <w:textAlignment w:val="auto"/>
        <w:rPr>
          <w:rFonts w:hint="default" w:ascii="Times New Roman" w:hAnsi="Times New Roman" w:eastAsia="仿宋_GB2312" w:cs="Times New Roman"/>
          <w:kern w:val="0"/>
          <w:sz w:val="32"/>
          <w:szCs w:val="32"/>
          <mc:AlternateContent>
            <mc:Choice Requires="wpsCustomData">
              <wpsCustomData:relSz val="three"/>
              <wpsCustomData:relSzCs val="three"/>
            </mc:Choice>
          </mc:AlternateContent>
        </w:rPr>
      </w:pPr>
      <w:r>
        <w:rPr>
          <w:rFonts w:hint="default" w:ascii="仿宋_GB2312" w:hAnsi="Times New Roman" w:eastAsia="仿宋_GB2312" w:cs="仿宋_GB2312"/>
          <w:kern w:val="0"/>
          <w:sz w:val="32"/>
          <w:szCs w:val="32"/>
          <w:lang w:val="en-US" w:eastAsia="zh-CN" w:bidi="ar"/>
          <mc:AlternateContent>
            <mc:Choice Requires="wpsCustomData">
              <wpsCustomData:relSz val="three"/>
              <wpsCustomData:relSzCs val="three"/>
            </mc:Choice>
          </mc:AlternateContent>
        </w:rPr>
        <w:t>上诉人台州市简某公司（以下简称简某公司）因与被上诉人浙江家某公司（以下简称家某公司）侵害外观设计专利权纠纷一案，不服浙江省台州市中级人民法院（</w:t>
      </w:r>
      <w:r>
        <w:rPr>
          <w:rFonts w:hint="default" w:ascii="Times New Roman" w:hAnsi="Times New Roman" w:eastAsia="仿宋_GB2312" w:cs="Times New Roman"/>
          <w:kern w:val="0"/>
          <w:sz w:val="32"/>
          <w:szCs w:val="32"/>
          <w:lang w:val="en-US" w:eastAsia="zh-CN" w:bidi="ar"/>
          <mc:AlternateContent>
            <mc:Choice Requires="wpsCustomData">
              <wpsCustomData:relSz val="three"/>
              <wpsCustomData:relSzCs val="three"/>
            </mc:Choice>
          </mc:AlternateContent>
        </w:rPr>
        <w:t>2024</w:t>
      </w:r>
      <w:r>
        <w:rPr>
          <w:rFonts w:hint="default" w:ascii="仿宋_GB2312" w:hAnsi="Times New Roman" w:eastAsia="仿宋_GB2312" w:cs="仿宋_GB2312"/>
          <w:kern w:val="0"/>
          <w:sz w:val="32"/>
          <w:szCs w:val="32"/>
          <w:lang w:val="en-US" w:eastAsia="zh-CN" w:bidi="ar"/>
          <mc:AlternateContent>
            <mc:Choice Requires="wpsCustomData">
              <wpsCustomData:relSz val="three"/>
              <wpsCustomData:relSzCs val="three"/>
            </mc:Choice>
          </mc:AlternateContent>
        </w:rPr>
        <w:t>）浙</w:t>
      </w:r>
      <w:r>
        <w:rPr>
          <w:rFonts w:hint="default" w:ascii="Times New Roman" w:hAnsi="Times New Roman" w:eastAsia="仿宋_GB2312" w:cs="Times New Roman"/>
          <w:kern w:val="0"/>
          <w:sz w:val="32"/>
          <w:szCs w:val="32"/>
          <w:lang w:val="en-US" w:eastAsia="zh-CN" w:bidi="ar"/>
          <mc:AlternateContent>
            <mc:Choice Requires="wpsCustomData">
              <wpsCustomData:relSz val="three"/>
              <wpsCustomData:relSzCs val="three"/>
            </mc:Choice>
          </mc:AlternateContent>
        </w:rPr>
        <w:t>10</w:t>
      </w:r>
      <w:r>
        <w:rPr>
          <w:rFonts w:hint="default" w:ascii="仿宋_GB2312" w:hAnsi="Times New Roman" w:eastAsia="仿宋_GB2312" w:cs="仿宋_GB2312"/>
          <w:kern w:val="0"/>
          <w:sz w:val="32"/>
          <w:szCs w:val="32"/>
          <w:lang w:val="en-US" w:eastAsia="zh-CN" w:bidi="ar"/>
          <mc:AlternateContent>
            <mc:Choice Requires="wpsCustomData">
              <wpsCustomData:relSz val="three"/>
              <wpsCustomData:relSzCs val="three"/>
            </mc:Choice>
          </mc:AlternateContent>
        </w:rPr>
        <w:t>民初</w:t>
      </w:r>
      <w:r>
        <w:rPr>
          <w:rFonts w:hint="default" w:ascii="Times New Roman" w:hAnsi="Times New Roman" w:eastAsia="仿宋_GB2312" w:cs="Times New Roman"/>
          <w:kern w:val="0"/>
          <w:sz w:val="32"/>
          <w:szCs w:val="32"/>
          <w:lang w:val="en-US" w:eastAsia="zh-CN" w:bidi="ar"/>
          <mc:AlternateContent>
            <mc:Choice Requires="wpsCustomData">
              <wpsCustomData:relSz val="three"/>
              <wpsCustomData:relSzCs val="three"/>
            </mc:Choice>
          </mc:AlternateContent>
        </w:rPr>
        <w:t>167</w:t>
      </w:r>
      <w:r>
        <w:rPr>
          <w:rFonts w:hint="default" w:ascii="仿宋_GB2312" w:hAnsi="Times New Roman" w:eastAsia="仿宋_GB2312" w:cs="仿宋_GB2312"/>
          <w:kern w:val="0"/>
          <w:sz w:val="32"/>
          <w:szCs w:val="32"/>
          <w:lang w:val="en-US" w:eastAsia="zh-CN" w:bidi="ar"/>
          <mc:AlternateContent>
            <mc:Choice Requires="wpsCustomData">
              <wpsCustomData:relSz val="three"/>
              <wpsCustomData:relSzCs val="three"/>
            </mc:Choice>
          </mc:AlternateContent>
        </w:rPr>
        <w:t>号民事判决，向本院提起上诉。本院于</w:t>
      </w:r>
      <w:r>
        <w:rPr>
          <w:rFonts w:hint="default" w:ascii="Times New Roman" w:hAnsi="Times New Roman" w:eastAsia="仿宋_GB2312" w:cs="Times New Roman"/>
          <w:kern w:val="0"/>
          <w:sz w:val="32"/>
          <w:szCs w:val="32"/>
          <w:lang w:val="en-US" w:eastAsia="zh-CN" w:bidi="ar"/>
          <mc:AlternateContent>
            <mc:Choice Requires="wpsCustomData">
              <wpsCustomData:relSz val="three"/>
              <wpsCustomData:relSzCs val="three"/>
            </mc:Choice>
          </mc:AlternateContent>
        </w:rPr>
        <w:t>2024</w:t>
      </w:r>
      <w:r>
        <w:rPr>
          <w:rFonts w:hint="default" w:ascii="仿宋_GB2312" w:hAnsi="Times New Roman" w:eastAsia="仿宋_GB2312" w:cs="仿宋_GB2312"/>
          <w:kern w:val="0"/>
          <w:sz w:val="32"/>
          <w:szCs w:val="32"/>
          <w:lang w:val="en-US" w:eastAsia="zh-CN" w:bidi="ar"/>
          <mc:AlternateContent>
            <mc:Choice Requires="wpsCustomData">
              <wpsCustomData:relSz val="three"/>
              <wpsCustomData:relSzCs val="three"/>
            </mc:Choice>
          </mc:AlternateContent>
        </w:rPr>
        <w:t>年</w:t>
      </w:r>
      <w:r>
        <w:rPr>
          <w:rFonts w:hint="default" w:ascii="Times New Roman" w:hAnsi="Times New Roman" w:eastAsia="仿宋_GB2312" w:cs="Times New Roman"/>
          <w:kern w:val="0"/>
          <w:sz w:val="32"/>
          <w:szCs w:val="32"/>
          <w:lang w:val="en-US" w:eastAsia="zh-CN" w:bidi="ar"/>
          <mc:AlternateContent>
            <mc:Choice Requires="wpsCustomData">
              <wpsCustomData:relSz val="three"/>
              <wpsCustomData:relSzCs val="three"/>
            </mc:Choice>
          </mc:AlternateContent>
        </w:rPr>
        <w:t>7</w:t>
      </w:r>
      <w:r>
        <w:rPr>
          <w:rFonts w:hint="default" w:ascii="仿宋_GB2312" w:hAnsi="Times New Roman" w:eastAsia="仿宋_GB2312" w:cs="仿宋_GB2312"/>
          <w:kern w:val="0"/>
          <w:sz w:val="32"/>
          <w:szCs w:val="32"/>
          <w:lang w:val="en-US" w:eastAsia="zh-CN" w:bidi="ar"/>
          <mc:AlternateContent>
            <mc:Choice Requires="wpsCustomData">
              <wpsCustomData:relSz val="three"/>
              <wpsCustomData:relSzCs val="three"/>
            </mc:Choice>
          </mc:AlternateContent>
        </w:rPr>
        <w:t>月</w:t>
      </w:r>
      <w:r>
        <w:rPr>
          <w:rFonts w:hint="default" w:ascii="Times New Roman" w:hAnsi="Times New Roman" w:eastAsia="仿宋_GB2312" w:cs="Times New Roman"/>
          <w:kern w:val="0"/>
          <w:sz w:val="32"/>
          <w:szCs w:val="32"/>
          <w:lang w:val="en-US" w:eastAsia="zh-CN" w:bidi="ar"/>
          <mc:AlternateContent>
            <mc:Choice Requires="wpsCustomData">
              <wpsCustomData:relSz val="three"/>
              <wpsCustomData:relSzCs val="three"/>
            </mc:Choice>
          </mc:AlternateContent>
        </w:rPr>
        <w:t>19</w:t>
      </w:r>
      <w:r>
        <w:rPr>
          <w:rFonts w:hint="default" w:ascii="仿宋_GB2312" w:hAnsi="Times New Roman" w:eastAsia="仿宋_GB2312" w:cs="仿宋_GB2312"/>
          <w:kern w:val="0"/>
          <w:sz w:val="32"/>
          <w:szCs w:val="32"/>
          <w:lang w:val="en-US" w:eastAsia="zh-CN" w:bidi="ar"/>
          <mc:AlternateContent>
            <mc:Choice Requires="wpsCustomData">
              <wpsCustomData:relSz val="three"/>
              <wpsCustomData:relSzCs val="three"/>
            </mc:Choice>
          </mc:AlternateContent>
        </w:rPr>
        <w:t>日立案受理后，依法组成合议庭进行了审理。本案现已审理终结。</w:t>
      </w:r>
    </w:p>
    <w:p>
      <w:pPr>
        <w:keepNext w:val="0"/>
        <w:keepLines w:val="0"/>
        <w:pageBreakBefore w:val="0"/>
        <w:widowControl w:val="0"/>
        <w:suppressLineNumbers w:val="0"/>
        <w:kinsoku/>
        <w:wordWrap/>
        <w:bidi w:val="0"/>
        <w:adjustRightInd/>
        <w:spacing w:before="0" w:beforeAutospacing="0" w:after="0" w:afterAutospacing="0" w:line="652" w:lineRule="exact"/>
        <w:ind w:left="0" w:right="0" w:firstLine="632" w:firstLineChars="200"/>
        <w:jc w:val="both"/>
        <w:textAlignment w:val="auto"/>
        <w:rPr>
          <w:rFonts w:hint="default" w:ascii="Times New Roman" w:hAnsi="Times New Roman" w:eastAsia="仿宋_GB2312" w:cs="Times New Roman"/>
          <w:kern w:val="2"/>
          <w:sz w:val="32"/>
          <w:szCs w:val="32"/>
          <mc:AlternateContent>
            <mc:Choice Requires="wpsCustomData">
              <wpsCustomData:relSz val="three"/>
              <wpsCustomData:relSzCs val="three"/>
            </mc:Choice>
          </mc:AlternateContent>
        </w:rPr>
      </w:pP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简某公司上诉请求（变更后）：撤销一审判决，依法改判驳回家某公司的诉讼请求或发回重审。事实与理由：被诉侵权设计未落入涉案专利权保护范围。</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1.</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同一被诉侵权设计应当只落入一项外观设计专利权的保护范围，否则会产生权利冲突。（</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2022</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）浙民终</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136</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号生效判决已认定被诉侵权设计落入</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ZL2020XXXX6650.0</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号专利权保护范围，则不应再认定其落入涉案专利权的保护范围。家某公司曾以</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ZL2020XXXX6650.0</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号专利提起（</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2022</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）浙</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10</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民初</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709</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号诉讼，主张被诉侵权设计侵权，说明其自认被诉侵权设计与涉案专利不构成近似。</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家某公司针对</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ZL2020XXXX6650.0</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号专利权无效宣告决定提起行政诉讼时，主张被诉侵权设计与涉案专利具有“显著区别”，说明家某公司认可被诉侵权设计未落入涉案专利权保护范围。</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3.</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2022</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）浙民终</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136</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号判决已经认定台州市泓亦家居用品有限公司（以下简称泓亦公司）依据本案涉案专利提出的现有设计抗辩不成立，据此可以推定被诉侵权设计与涉案专利不构成近似，现有设计的比对和侵权比对均应遵循相同规则，否则将导致裁判结果矛盾。</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4.</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与本案情况相同的（</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2024</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）浙民终</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275</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号案件已进入再审审查程序，可能被改判不侵权。本案有必要中止审理，以待最高人民法院再审裁判结果。</w:t>
      </w:r>
    </w:p>
    <w:p>
      <w:pPr>
        <w:keepNext w:val="0"/>
        <w:keepLines w:val="0"/>
        <w:pageBreakBefore w:val="0"/>
        <w:widowControl w:val="0"/>
        <w:suppressLineNumbers w:val="0"/>
        <w:kinsoku/>
        <w:wordWrap/>
        <w:bidi w:val="0"/>
        <w:adjustRightInd/>
        <w:spacing w:before="0" w:beforeAutospacing="0" w:after="0" w:afterAutospacing="0" w:line="652" w:lineRule="exact"/>
        <w:ind w:left="0" w:right="0" w:firstLine="632" w:firstLineChars="200"/>
        <w:jc w:val="both"/>
        <w:textAlignment w:val="auto"/>
        <w:rPr>
          <w:rFonts w:hint="default" w:ascii="Times New Roman" w:hAnsi="Times New Roman" w:eastAsia="仿宋_GB2312" w:cs="Times New Roman"/>
          <w:kern w:val="2"/>
          <w:sz w:val="32"/>
          <w:szCs w:val="32"/>
          <mc:AlternateContent>
            <mc:Choice Requires="wpsCustomData">
              <wpsCustomData:relSz val="three"/>
              <wpsCustomData:relSzCs val="three"/>
            </mc:Choice>
          </mc:AlternateContent>
        </w:rPr>
      </w:pP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家某公司辩称，本案权利基础与被诉侵权产品与（</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2024</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）浙民终</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275</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号案件相同，法院已作出生效判决，认定被诉侵权设计落入涉案专利权的保护范围。</w:t>
      </w:r>
    </w:p>
    <w:p>
      <w:pPr>
        <w:keepNext w:val="0"/>
        <w:keepLines w:val="0"/>
        <w:pageBreakBefore w:val="0"/>
        <w:widowControl w:val="0"/>
        <w:suppressLineNumbers w:val="0"/>
        <w:kinsoku/>
        <w:wordWrap/>
        <w:bidi w:val="0"/>
        <w:adjustRightInd/>
        <w:spacing w:before="0" w:beforeAutospacing="0" w:after="0" w:afterAutospacing="0" w:line="652" w:lineRule="exact"/>
        <w:ind w:left="0" w:right="0" w:firstLine="632" w:firstLineChars="200"/>
        <w:jc w:val="both"/>
        <w:textAlignment w:val="auto"/>
        <w:rPr>
          <w:rFonts w:hint="default" w:ascii="Times New Roman" w:hAnsi="Times New Roman" w:eastAsia="仿宋_GB2312" w:cs="Times New Roman"/>
          <w:kern w:val="2"/>
          <w:sz w:val="32"/>
          <w:szCs w:val="32"/>
          <mc:AlternateContent>
            <mc:Choice Requires="wpsCustomData">
              <wpsCustomData:relSz val="three"/>
              <wpsCustomData:relSzCs val="three"/>
            </mc:Choice>
          </mc:AlternateContent>
        </w:rPr>
      </w:pP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家某公司向一审法院起诉，请求判令简某公司：</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1.</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立即停止对家某公司“粮食存放桶”的外观设计专利（专利号：</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ZL2019XXXX6892.4</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）的生产、销售、许诺销售的侵权行为，并销毁库存侵权产品、半成品及制造侵权产品的设备和模具；</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赔偿家某公司经济损失以及因调查和制止简某公司侵权行为所支付的律师费、公证费、交通费等合理维权费用，合计</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10</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万元；</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3.</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承担本案诉讼费。</w:t>
      </w:r>
    </w:p>
    <w:p>
      <w:pPr>
        <w:keepNext w:val="0"/>
        <w:keepLines w:val="0"/>
        <w:pageBreakBefore w:val="0"/>
        <w:widowControl w:val="0"/>
        <w:suppressLineNumbers w:val="0"/>
        <w:kinsoku/>
        <w:wordWrap/>
        <w:bidi w:val="0"/>
        <w:adjustRightInd/>
        <w:spacing w:before="0" w:beforeAutospacing="0" w:after="0" w:afterAutospacing="0" w:line="652" w:lineRule="exact"/>
        <w:ind w:left="0" w:right="0" w:firstLine="632" w:firstLineChars="200"/>
        <w:jc w:val="both"/>
        <w:textAlignment w:val="auto"/>
        <w:rPr>
          <w:rFonts w:hint="default" w:ascii="Times New Roman" w:hAnsi="Times New Roman" w:eastAsia="仿宋_GB2312" w:cs="Times New Roman"/>
          <w:kern w:val="2"/>
          <w:sz w:val="32"/>
          <w:szCs w:val="32"/>
          <mc:AlternateContent>
            <mc:Choice Requires="wpsCustomData">
              <wpsCustomData:relSz val="three"/>
              <wpsCustomData:relSzCs val="three"/>
            </mc:Choice>
          </mc:AlternateContent>
        </w:rPr>
      </w:pP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一审法院认定事实：</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2019</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年</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7</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月</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日，家某公司向国家知识产权局申请名称为“粮食存放桶”的外观设计专利，并于同年</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12</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月</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27</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日获得授权公告，专利号为</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ZL2019XXXX6892.4</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，该专利现处于有效状态。</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2020</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年</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4</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月</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28</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日，国家知识产权局出具外观设计专利权评价报告，认为涉案专利全部外观设计未发现存在不符合授予专利权条件的缺陷。专利授权公告的简要说明载明，本外观设计产品的用途：用于存放粮食的容器；本外观设计的设计要点：在于形状；最能表明本设计要点的图片或照片：立体图。</w:t>
      </w:r>
    </w:p>
    <w:p>
      <w:pPr>
        <w:keepNext w:val="0"/>
        <w:keepLines w:val="0"/>
        <w:pageBreakBefore w:val="0"/>
        <w:widowControl w:val="0"/>
        <w:suppressLineNumbers w:val="0"/>
        <w:kinsoku/>
        <w:wordWrap/>
        <w:bidi w:val="0"/>
        <w:adjustRightInd/>
        <w:spacing w:before="0" w:beforeAutospacing="0" w:after="0" w:afterAutospacing="0" w:line="652" w:lineRule="exact"/>
        <w:ind w:left="0" w:right="0" w:firstLine="632" w:firstLineChars="200"/>
        <w:jc w:val="both"/>
        <w:textAlignment w:val="auto"/>
        <w:rPr>
          <w:rFonts w:hint="default" w:ascii="Times New Roman" w:hAnsi="Times New Roman" w:eastAsia="仿宋_GB2312" w:cs="Times New Roman"/>
          <w:kern w:val="2"/>
          <w:sz w:val="32"/>
          <w:szCs w:val="32"/>
          <mc:AlternateContent>
            <mc:Choice Requires="wpsCustomData">
              <wpsCustomData:relSz val="three"/>
              <wpsCustomData:relSzCs val="three"/>
            </mc:Choice>
          </mc:AlternateContent>
        </w:rPr>
      </w:pP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2024</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年</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1</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月</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12</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日，家某公司代理人蒋某向浙江省台州市合信公证处申请，对涉嫌侵害家某公司知识产权的侵权行为办理保全证据公证，该公证处于同年</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1</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月</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23</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日出具（</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2024</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）浙台合证字第</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301</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号公证书。根据上述公证书及附件记载：简某公司在拼多多平台经营的“泓亦家居简洁专卖店”中，销售一款名称为“五谷杂粮分格收纳分类装米桶家用分隔防虫防潮密封食品储存罐”的商品，已拼</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1.5</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万件，商品评价</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2578</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条。同年</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1</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月</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12</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日，购买该链接中尺寸为“【五分格杂粮桶】出口日本”的商品一件，实付：</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49</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元（免运费）。订单编号：</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240112-605169960471330</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，韵达快递运单号：</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46335494506785</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，快递于同年</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1</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月</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13</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日被签收。商品包装纸箱上标明“制造商：台州市简某公司”，商品合格证上标明“产品名称：分类杂粮桶，生产商：台州市简某公司”等信息。家某公司为此支付公证费用。</w:t>
      </w:r>
    </w:p>
    <w:p>
      <w:pPr>
        <w:keepNext w:val="0"/>
        <w:keepLines w:val="0"/>
        <w:pageBreakBefore w:val="0"/>
        <w:widowControl w:val="0"/>
        <w:suppressLineNumbers w:val="0"/>
        <w:kinsoku/>
        <w:wordWrap/>
        <w:bidi w:val="0"/>
        <w:adjustRightInd/>
        <w:spacing w:before="0" w:beforeAutospacing="0" w:after="0" w:afterAutospacing="0" w:line="652" w:lineRule="exact"/>
        <w:ind w:left="0" w:right="0" w:firstLine="632" w:firstLineChars="200"/>
        <w:jc w:val="both"/>
        <w:textAlignment w:val="auto"/>
        <w:rPr>
          <w:rFonts w:hint="default" w:ascii="Times New Roman" w:hAnsi="Times New Roman" w:eastAsia="仿宋_GB2312" w:cs="Times New Roman"/>
          <w:kern w:val="2"/>
          <w:sz w:val="32"/>
          <w:szCs w:val="32"/>
          <mc:AlternateContent>
            <mc:Choice Requires="wpsCustomData">
              <wpsCustomData:relSz val="three"/>
              <wpsCustomData:relSzCs val="three"/>
            </mc:Choice>
          </mc:AlternateContent>
        </w:rPr>
      </w:pP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2024</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年</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1</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月</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15</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日，家某公司代理人蒋某向浙江省台州市合信公证处申请，对涉嫌侵犯家某公司知识产权的侵权行为办理保全证据公证，该公证处于同年</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1</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月</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29</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日出具（</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2024</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）浙台合证字第</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366</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公证书。根据上述公证书及附件记载：泓亦公司在</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1688</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平台经营的“台州市泓亦家居用品有限公司”中，销售一款名称为“厨房五谷杂粮分隔收纳盒装粮食的密封储存罐米箱神器粗粮分格米桶”的商品，销量为一年内</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1300+</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。同年</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1</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月</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15</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日，购买该链接中颜色分类为“五分格高透普通款”的商品一件，实付款</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51.5</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元（含运费</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5</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元）。订单编号：</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2046640548439926688</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，韵达快递运单号：</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433681431485543</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，快递于同年</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1</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月</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17</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日被签收。商品包装纸箱上标明“制造商：台州市简某公司”，产品合格证上标明“产品名称：分类杂粮桶，生产商：台州市简某公司”等信息。家某公司为此支付了公证费用。</w:t>
      </w:r>
    </w:p>
    <w:p>
      <w:pPr>
        <w:keepNext w:val="0"/>
        <w:keepLines w:val="0"/>
        <w:pageBreakBefore w:val="0"/>
        <w:widowControl w:val="0"/>
        <w:suppressLineNumbers w:val="0"/>
        <w:kinsoku/>
        <w:wordWrap/>
        <w:bidi w:val="0"/>
        <w:adjustRightInd/>
        <w:spacing w:before="0" w:beforeAutospacing="0" w:after="0" w:afterAutospacing="0" w:line="652" w:lineRule="exact"/>
        <w:ind w:left="0" w:right="0" w:firstLine="632" w:firstLineChars="200"/>
        <w:jc w:val="both"/>
        <w:textAlignment w:val="auto"/>
        <w:rPr>
          <w:rFonts w:hint="default" w:ascii="Times New Roman" w:hAnsi="Times New Roman" w:eastAsia="仿宋_GB2312" w:cs="Times New Roman"/>
          <w:kern w:val="2"/>
          <w:sz w:val="32"/>
          <w:szCs w:val="32"/>
          <mc:AlternateContent>
            <mc:Choice Requires="wpsCustomData">
              <wpsCustomData:relSz val="three"/>
              <wpsCustomData:relSzCs val="three"/>
            </mc:Choice>
          </mc:AlternateContent>
        </w:rPr>
      </w:pP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一审另查明，</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2021</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年</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6</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月</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8</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日，浙江省宁波市中级人民法院立案受理的（</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2021</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）浙</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02</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民初</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1438</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号陈波与泓亦公司、浙江天猫网络有限公司侵害外观设计专利权纠纷一案中，陈波主张泓亦公司制造、销售、许诺销售的与本案被诉侵权产品款式相同的产品侵害其专利号为</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ZL2020XXXX6650.0</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的外观设计专利，泓亦公司以本案案涉专利主张现有设计抗辩，该院认为泓亦公司的现有设计抗辩不成立，判决泓亦公司立即停止侵权行为，并于判决生效后十日内赔偿陈波经济损失及维权合理费用共计</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5</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万元。后泓亦公司上诉至本院，本院于</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2022</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年</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3</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月</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29</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日作出（</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2022</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）浙民终</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136</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号民事判决，维持原判。</w:t>
      </w:r>
    </w:p>
    <w:p>
      <w:pPr>
        <w:keepNext w:val="0"/>
        <w:keepLines w:val="0"/>
        <w:pageBreakBefore w:val="0"/>
        <w:widowControl w:val="0"/>
        <w:suppressLineNumbers w:val="0"/>
        <w:kinsoku/>
        <w:wordWrap/>
        <w:bidi w:val="0"/>
        <w:adjustRightInd/>
        <w:spacing w:before="0" w:beforeAutospacing="0" w:after="0" w:afterAutospacing="0" w:line="652" w:lineRule="exact"/>
        <w:ind w:left="0" w:right="0" w:firstLine="632" w:firstLineChars="200"/>
        <w:jc w:val="both"/>
        <w:textAlignment w:val="auto"/>
        <w:rPr>
          <w:rFonts w:hint="default" w:ascii="Times New Roman" w:hAnsi="Times New Roman" w:eastAsia="仿宋_GB2312" w:cs="Times New Roman"/>
          <w:kern w:val="2"/>
          <w:sz w:val="32"/>
          <w:szCs w:val="32"/>
          <mc:AlternateContent>
            <mc:Choice Requires="wpsCustomData">
              <wpsCustomData:relSz val="three"/>
              <wpsCustomData:relSzCs val="three"/>
            </mc:Choice>
          </mc:AlternateContent>
        </w:rPr>
      </w:pP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2022</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年</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8</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月</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1</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日，一审法院另案受理家某公司与泓亦公司、简某公司等侵害外观设计专利权纠纷一案，并于</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2023</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年</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3</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月</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8</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日作出（</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2022</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）浙</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10</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民初</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709</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号民事裁定，准许家某公司撤诉。</w:t>
      </w:r>
    </w:p>
    <w:p>
      <w:pPr>
        <w:keepNext w:val="0"/>
        <w:keepLines w:val="0"/>
        <w:pageBreakBefore w:val="0"/>
        <w:widowControl w:val="0"/>
        <w:suppressLineNumbers w:val="0"/>
        <w:kinsoku/>
        <w:wordWrap/>
        <w:bidi w:val="0"/>
        <w:adjustRightInd/>
        <w:spacing w:before="0" w:beforeAutospacing="0" w:after="0" w:afterAutospacing="0" w:line="652" w:lineRule="exact"/>
        <w:ind w:left="0" w:right="0" w:firstLine="632" w:firstLineChars="200"/>
        <w:jc w:val="both"/>
        <w:textAlignment w:val="auto"/>
        <w:rPr>
          <w:rFonts w:hint="default" w:ascii="Times New Roman" w:hAnsi="Times New Roman" w:eastAsia="仿宋_GB2312" w:cs="Times New Roman"/>
          <w:kern w:val="2"/>
          <w:sz w:val="32"/>
          <w:szCs w:val="32"/>
          <mc:AlternateContent>
            <mc:Choice Requires="wpsCustomData">
              <wpsCustomData:relSz val="three"/>
              <wpsCustomData:relSzCs val="three"/>
            </mc:Choice>
          </mc:AlternateContent>
        </w:rPr>
      </w:pP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2023</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年</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3</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月</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13</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日，一审法院另案受理家某公司与泓亦公司侵害外观设计专利权纠纷一案，家某公司在拼多多、京东、天猫平台</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8</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家店铺购买了与本案被诉侵权产品款式相同的侵权产品，主张该案被告泓亦公司制造、销售、许诺销售被诉侵权产品侵害其涉案专利权。一审法院于</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2024</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年</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1</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月</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9</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日作出（</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2023</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）浙</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10</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民初</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181</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号民事判决，判决如下：一、泓亦公司立即停止制造、销售、许诺销售侵害专利号为</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201930346892.4</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的外观设计专利权的产品；二、泓亦公司于判决生效后十日内赔偿家某公司经济损失及维权合理费用共计</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30000</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元；三、驳回家某公司的其余诉讼请求。后家某公司与泓亦公司均上诉至本院，本院于</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2024</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年</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6</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月</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3</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日作出（</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2024</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）浙民终</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275</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号民事判决，判决书中载明：“陈波不服国家知识产权局针对</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ZL2020XXXX6650.0</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专利作出的第</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560311</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号无效宣告请求审查决定，提起行政诉讼。</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2024</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年</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3</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月</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26</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日，北京知识产权法院作出（</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2023</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）京</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73</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行初</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6707</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号行政判决，驳回陈波的诉讼请求”，并判决如下：一、维持浙江省台州市中级人民法院（</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2023</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）浙</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10</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民初</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181</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号民事判决第一项，即泓亦公司立即停止制造、销售、许诺销售侵害专利号为</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201930346892.4</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的外观设计专利权的产品；二、撤销浙江省台州市中级人民法院（</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2023</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）浙</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10</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民初</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181</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号民事判决第三项；三、变更浙江省台州市中级人民法院（</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2023</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）浙</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10</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民初</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181</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号民事判决第二项为泓亦公司于判决生效后十日内赔偿家某公司经济损失及维权合理费用共计</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800000</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元；四、驳回家某公司的其他诉讼请求。</w:t>
      </w:r>
    </w:p>
    <w:p>
      <w:pPr>
        <w:keepNext w:val="0"/>
        <w:keepLines w:val="0"/>
        <w:pageBreakBefore w:val="0"/>
        <w:widowControl w:val="0"/>
        <w:suppressLineNumbers w:val="0"/>
        <w:kinsoku/>
        <w:wordWrap/>
        <w:bidi w:val="0"/>
        <w:adjustRightInd/>
        <w:spacing w:before="0" w:beforeAutospacing="0" w:after="0" w:afterAutospacing="0" w:line="652" w:lineRule="exact"/>
        <w:ind w:left="0" w:right="0" w:firstLine="632" w:firstLineChars="200"/>
        <w:jc w:val="both"/>
        <w:textAlignment w:val="auto"/>
        <w:rPr>
          <w:rFonts w:hint="default" w:ascii="Times New Roman" w:hAnsi="Times New Roman" w:eastAsia="仿宋_GB2312" w:cs="Times New Roman"/>
          <w:kern w:val="2"/>
          <w:sz w:val="32"/>
          <w:szCs w:val="32"/>
          <mc:AlternateContent>
            <mc:Choice Requires="wpsCustomData">
              <wpsCustomData:relSz val="three"/>
              <wpsCustomData:relSzCs val="three"/>
            </mc:Choice>
          </mc:AlternateContent>
        </w:rPr>
      </w:pP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一审再查明，简某公司系有限责任公司，成立于</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2019</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年</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11</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月</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26</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日，注册资本</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200</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万元，经营范围包括家居用品制造、塑料制品制造、家居用品销售、塑料制品销售等。</w:t>
      </w:r>
    </w:p>
    <w:p>
      <w:pPr>
        <w:keepNext w:val="0"/>
        <w:keepLines w:val="0"/>
        <w:pageBreakBefore w:val="0"/>
        <w:widowControl w:val="0"/>
        <w:suppressLineNumbers w:val="0"/>
        <w:kinsoku/>
        <w:wordWrap/>
        <w:bidi w:val="0"/>
        <w:adjustRightInd/>
        <w:spacing w:before="0" w:beforeAutospacing="0" w:after="0" w:afterAutospacing="0" w:line="652" w:lineRule="exact"/>
        <w:ind w:left="0" w:right="0" w:firstLine="632" w:firstLineChars="200"/>
        <w:jc w:val="both"/>
        <w:textAlignment w:val="auto"/>
        <w:rPr>
          <w:rFonts w:hint="default" w:ascii="Times New Roman" w:hAnsi="Times New Roman" w:eastAsia="仿宋_GB2312" w:cs="Times New Roman"/>
          <w:kern w:val="2"/>
          <w:sz w:val="32"/>
          <w:szCs w:val="32"/>
          <mc:AlternateContent>
            <mc:Choice Requires="wpsCustomData">
              <wpsCustomData:relSz val="three"/>
              <wpsCustomData:relSzCs val="three"/>
            </mc:Choice>
          </mc:AlternateContent>
        </w:rPr>
      </w:pP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一审当庭拆开上述公证封存的</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件包裹，包裹内有款式相同的分格粮食存放桶</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1</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个。</w:t>
      </w:r>
    </w:p>
    <w:p>
      <w:pPr>
        <w:keepNext w:val="0"/>
        <w:keepLines w:val="0"/>
        <w:pageBreakBefore w:val="0"/>
        <w:widowControl w:val="0"/>
        <w:suppressLineNumbers w:val="0"/>
        <w:kinsoku/>
        <w:wordWrap/>
        <w:bidi w:val="0"/>
        <w:adjustRightInd/>
        <w:spacing w:before="0" w:beforeAutospacing="0" w:after="0" w:afterAutospacing="0" w:line="652" w:lineRule="exact"/>
        <w:ind w:left="0" w:right="0" w:firstLine="632" w:firstLineChars="200"/>
        <w:jc w:val="both"/>
        <w:textAlignment w:val="auto"/>
        <w:rPr>
          <w:rFonts w:hint="default" w:ascii="Times New Roman" w:hAnsi="Times New Roman" w:eastAsia="仿宋_GB2312" w:cs="Times New Roman"/>
          <w:kern w:val="2"/>
          <w:sz w:val="32"/>
          <w:szCs w:val="32"/>
          <mc:AlternateContent>
            <mc:Choice Requires="wpsCustomData">
              <wpsCustomData:relSz val="three"/>
              <wpsCustomData:relSzCs val="three"/>
            </mc:Choice>
          </mc:AlternateContent>
        </w:rPr>
      </w:pP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一审法院认为，家某公司系专利号为</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ZL2019XXXX6892.4</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名称为“粮食存放桶”的外观设计专利权人，该专利现处有效期内，专利权受法律保护。本案的争议焦点为：一、家某公司是否构成重复诉讼；二、被诉侵权设计是否落入涉案外观设计专利权的保护范围；三、如构成侵权，简某公司应承担的民事责任应如何认定。</w:t>
      </w:r>
    </w:p>
    <w:p>
      <w:pPr>
        <w:keepNext w:val="0"/>
        <w:keepLines w:val="0"/>
        <w:pageBreakBefore w:val="0"/>
        <w:widowControl w:val="0"/>
        <w:suppressLineNumbers w:val="0"/>
        <w:kinsoku/>
        <w:wordWrap/>
        <w:bidi w:val="0"/>
        <w:adjustRightInd/>
        <w:spacing w:before="0" w:beforeAutospacing="0" w:after="0" w:afterAutospacing="0" w:line="652" w:lineRule="exact"/>
        <w:ind w:left="0" w:right="0" w:firstLine="632" w:firstLineChars="200"/>
        <w:jc w:val="both"/>
        <w:textAlignment w:val="auto"/>
        <w:rPr>
          <w:rFonts w:hint="default" w:ascii="Times New Roman" w:hAnsi="Times New Roman" w:eastAsia="仿宋_GB2312" w:cs="Times New Roman"/>
          <w:kern w:val="2"/>
          <w:sz w:val="32"/>
          <w:szCs w:val="32"/>
          <mc:AlternateContent>
            <mc:Choice Requires="wpsCustomData">
              <wpsCustomData:relSz val="three"/>
              <wpsCustomData:relSzCs val="three"/>
            </mc:Choice>
          </mc:AlternateContent>
        </w:rPr>
      </w:pP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关于争议焦点一，本案与（</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2023</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）浙</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10</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民初</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181</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号案件被诉侵权产品销售店铺虽均涉及拼多多平台的泓亦家居简洁专卖店，但本案取证时间晚于该案一审判决作出时间，被诉侵权产品标明的生产厂家、销售链接及销量均不相同。因此，两案被告主体不同，侵权行为范围不同，故家某公司不构成重复诉讼。</w:t>
      </w:r>
    </w:p>
    <w:p>
      <w:pPr>
        <w:keepNext w:val="0"/>
        <w:keepLines w:val="0"/>
        <w:pageBreakBefore w:val="0"/>
        <w:widowControl w:val="0"/>
        <w:suppressLineNumbers w:val="0"/>
        <w:kinsoku/>
        <w:wordWrap/>
        <w:bidi w:val="0"/>
        <w:adjustRightInd/>
        <w:spacing w:before="0" w:beforeAutospacing="0" w:after="0" w:afterAutospacing="0" w:line="652" w:lineRule="exact"/>
        <w:ind w:left="0" w:right="0" w:firstLine="632" w:firstLineChars="200"/>
        <w:jc w:val="both"/>
        <w:textAlignment w:val="auto"/>
        <w:rPr>
          <w:rFonts w:hint="default" w:ascii="Times New Roman" w:hAnsi="Times New Roman" w:eastAsia="仿宋_GB2312" w:cs="Times New Roman"/>
          <w:kern w:val="2"/>
          <w:sz w:val="32"/>
          <w:szCs w:val="32"/>
          <mc:AlternateContent>
            <mc:Choice Requires="wpsCustomData">
              <wpsCustomData:relSz val="three"/>
              <wpsCustomData:relSzCs val="three"/>
            </mc:Choice>
          </mc:AlternateContent>
        </w:rPr>
      </w:pP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关于争议焦点二，简某公司辩称，因另案生效判决认定其依据涉案专利提出的现有设计抗辩不成立，故可以推定被诉侵权设计与涉案专利不构成近似。该院认为，现有设计抗辩和是否落入涉案专利权保护范围的认定标准、纳入比对的设计特征范围不同，比对结论并无必然关联，前案针对与本案相同的被诉侵权产品以本案专利主张的现有设计抗辩不成立并不等同于认定被诉侵权设计与涉案专利不构成近似。《最高人民法院关于审理侵犯专利权纠纷案件应用法律若干问题的解释》第八条规定：“在与外观设计专利产品相同或者相近种类产品上，采用与授权外观设计相同或者近似的外观设计的，人民法院应当认定被诉侵权设计落入外观专利权的保护范围。”另根据该司法解释第十条、第十一条规定，人民法院认定外观设计是否相同或者近似时，应当以一般消费者的知识水平和认知能力，根据授权外观设计、被诉侵权设计的设计特征，以外观设计的整体视觉效果进行综合判断。本案中，被诉侵权产品与涉案专利产品均为粮食存放桶，属于相同种类产品，可以进行比对。两者在整体结构、功能区位置排布、各部分形状和比例等方面均相近，呈现出近似的设计风格和整体视觉效果。虽然被诉侵权设计外形为椭圆形柱体，涉案专利为长方体，但该区别点属于惯常设计特征的简单置换，不足以对整体视觉效果产生显著影响。根据“整体观察、综合判断”的原则，被诉侵权设计与涉案专利无实质性差异，构成近似，落入涉案外观设计专利权的保护范围。</w:t>
      </w:r>
    </w:p>
    <w:p>
      <w:pPr>
        <w:keepNext w:val="0"/>
        <w:keepLines w:val="0"/>
        <w:pageBreakBefore w:val="0"/>
        <w:widowControl w:val="0"/>
        <w:suppressLineNumbers w:val="0"/>
        <w:kinsoku/>
        <w:wordWrap/>
        <w:bidi w:val="0"/>
        <w:adjustRightInd/>
        <w:spacing w:before="0" w:beforeAutospacing="0" w:after="0" w:afterAutospacing="0" w:line="652" w:lineRule="exact"/>
        <w:ind w:left="0" w:right="0" w:firstLine="632" w:firstLineChars="200"/>
        <w:jc w:val="both"/>
        <w:textAlignment w:val="auto"/>
        <w:rPr>
          <w:rFonts w:hint="default" w:ascii="Times New Roman" w:hAnsi="Times New Roman" w:eastAsia="仿宋_GB2312" w:cs="Times New Roman"/>
          <w:kern w:val="2"/>
          <w:sz w:val="32"/>
          <w:szCs w:val="32"/>
          <mc:AlternateContent>
            <mc:Choice Requires="wpsCustomData">
              <wpsCustomData:relSz val="three"/>
              <wpsCustomData:relSzCs val="three"/>
            </mc:Choice>
          </mc:AlternateContent>
        </w:rPr>
      </w:pP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关于争议焦点三，《中华人民共和国专利法》第十一条第二款规定：“外观设计专利权被授予后，任何单位或者个人未经专利权人许可，都不得实施其专利，即不得为生产经营目的制造、许诺销售、销售、进口其外观设计专利产品。”本案中，被诉侵权产品及其包装纸箱上均明确标明生产商系简某公司，且简某公司的经营范围包括家居用品制造、塑料制品制造等。简某公司辩称被诉侵权产品系泓亦公司生产，简某公司仅负责销售，但未提供相应证据。据此，在无相反证据的情况下，可以推定简某公司制造了案涉侵权产品。简某公司未经许可制造、许诺销售、销售被诉侵权产品，应承担停止侵权、赔偿损失的民事责任。家某公司要求简某公司销毁库存侵权产品和专用生产模具，但未提供相关证据证明，故对该项诉讼请求，该院不予支持。关于赔偿金额，因本案权利人因被侵权受到的实际损失或侵权人因侵权获得的利益或许可使用费的确切数额难以查明。该院综合考虑涉案专利类型、被诉侵权行为性质与情节、被诉侵权产品单价和销量、家某公司合理维权费用等因素，酌情确定由简某公司赔偿家某公司经济损失及为制止侵权行为所支付的合理开支共计</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100000</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元。</w:t>
      </w:r>
    </w:p>
    <w:p>
      <w:pPr>
        <w:keepNext w:val="0"/>
        <w:keepLines w:val="0"/>
        <w:pageBreakBefore w:val="0"/>
        <w:widowControl w:val="0"/>
        <w:suppressLineNumbers w:val="0"/>
        <w:kinsoku/>
        <w:wordWrap/>
        <w:bidi w:val="0"/>
        <w:adjustRightInd/>
        <w:spacing w:before="0" w:beforeAutospacing="0" w:after="0" w:afterAutospacing="0" w:line="652" w:lineRule="exact"/>
        <w:ind w:left="0" w:right="0" w:firstLine="632" w:firstLineChars="200"/>
        <w:jc w:val="both"/>
        <w:textAlignment w:val="auto"/>
        <w:rPr>
          <w:rFonts w:hint="default" w:ascii="Times New Roman" w:hAnsi="Times New Roman" w:eastAsia="仿宋_GB2312" w:cs="Times New Roman"/>
          <w:kern w:val="2"/>
          <w:sz w:val="32"/>
          <w:szCs w:val="32"/>
          <mc:AlternateContent>
            <mc:Choice Requires="wpsCustomData">
              <wpsCustomData:relSz val="three"/>
              <wpsCustomData:relSzCs val="three"/>
            </mc:Choice>
          </mc:AlternateContent>
        </w:rPr>
      </w:pP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综上，一审法院依照《中华人民共和国民法典》第一百二十条、第一百七十九条，《中华人民共和国专利法》第十一条第二款、第六十四条第二款、第七十一条，《中华人民共和国民事诉讼法》第六十七条第一款之规定，于</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2024</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年</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7</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月</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4</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日判决：一、简某公司立即停止制造、许诺销售、销售侵害家某公司的专利号为</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ZL2019XXXX6892.4</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、名称为“粮食存放桶”的外观设计专利权的产品；二、简某公司于判决生效之日起十日内赔偿家某公司经济损失及合理开支共计</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100000</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元；三、驳回家某公司的其他诉讼请求。如果未按判决指定的期间履行给付金钱义务，应当依照《中华人民共和国民事诉讼法》第二百六十四条之规定，加倍支付迟延履行期间的债务利息。一审案件受理费</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2300</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元，由简某公司负担。</w:t>
      </w:r>
    </w:p>
    <w:p>
      <w:pPr>
        <w:keepNext w:val="0"/>
        <w:keepLines w:val="0"/>
        <w:pageBreakBefore w:val="0"/>
        <w:widowControl w:val="0"/>
        <w:suppressLineNumbers w:val="0"/>
        <w:kinsoku/>
        <w:wordWrap/>
        <w:bidi w:val="0"/>
        <w:adjustRightInd/>
        <w:spacing w:before="0" w:beforeAutospacing="0" w:after="0" w:afterAutospacing="0" w:line="652" w:lineRule="exact"/>
        <w:ind w:left="0" w:right="0" w:firstLine="632" w:firstLineChars="200"/>
        <w:jc w:val="both"/>
        <w:textAlignment w:val="auto"/>
        <w:rPr>
          <w:rFonts w:hint="default" w:ascii="Times New Roman" w:hAnsi="Times New Roman" w:eastAsia="仿宋_GB2312" w:cs="Times New Roman"/>
          <w:kern w:val="2"/>
          <w:sz w:val="32"/>
          <w:szCs w:val="32"/>
          <mc:AlternateContent>
            <mc:Choice Requires="wpsCustomData">
              <wpsCustomData:relSz val="three"/>
              <wpsCustomData:relSzCs val="three"/>
            </mc:Choice>
          </mc:AlternateContent>
        </w:rPr>
      </w:pP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本案二审期间，双方当事人均未向本院提交新的证据。</w:t>
      </w:r>
    </w:p>
    <w:p>
      <w:pPr>
        <w:keepNext w:val="0"/>
        <w:keepLines w:val="0"/>
        <w:pageBreakBefore w:val="0"/>
        <w:widowControl w:val="0"/>
        <w:suppressLineNumbers w:val="0"/>
        <w:kinsoku/>
        <w:wordWrap/>
        <w:bidi w:val="0"/>
        <w:adjustRightInd/>
        <w:spacing w:before="0" w:beforeAutospacing="0" w:after="0" w:afterAutospacing="0" w:line="652" w:lineRule="exact"/>
        <w:ind w:left="0" w:right="0" w:firstLine="632" w:firstLineChars="200"/>
        <w:jc w:val="both"/>
        <w:textAlignment w:val="auto"/>
        <w:rPr>
          <w:rFonts w:hint="default" w:ascii="Times New Roman" w:hAnsi="Times New Roman" w:eastAsia="仿宋_GB2312" w:cs="Times New Roman"/>
          <w:kern w:val="2"/>
          <w:sz w:val="32"/>
          <w:szCs w:val="32"/>
          <mc:AlternateContent>
            <mc:Choice Requires="wpsCustomData">
              <wpsCustomData:relSz val="three"/>
              <wpsCustomData:relSzCs val="three"/>
            </mc:Choice>
          </mc:AlternateContent>
        </w:rPr>
      </w:pP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本院二审查明的事实与一审法院认定的事实一致。</w:t>
      </w:r>
    </w:p>
    <w:p>
      <w:pPr>
        <w:keepNext w:val="0"/>
        <w:keepLines w:val="0"/>
        <w:pageBreakBefore w:val="0"/>
        <w:widowControl w:val="0"/>
        <w:suppressLineNumbers w:val="0"/>
        <w:kinsoku/>
        <w:wordWrap/>
        <w:bidi w:val="0"/>
        <w:adjustRightInd/>
        <w:spacing w:before="0" w:beforeAutospacing="0" w:after="0" w:afterAutospacing="0" w:line="652" w:lineRule="exact"/>
        <w:ind w:left="0" w:right="0" w:firstLine="632" w:firstLineChars="200"/>
        <w:jc w:val="both"/>
        <w:textAlignment w:val="auto"/>
        <w:rPr>
          <w:rFonts w:hint="default" w:ascii="Times New Roman" w:hAnsi="Times New Roman" w:eastAsia="仿宋_GB2312" w:cs="Times New Roman"/>
          <w:kern w:val="2"/>
          <w:sz w:val="32"/>
          <w:szCs w:val="32"/>
          <mc:AlternateContent>
            <mc:Choice Requires="wpsCustomData">
              <wpsCustomData:relSz val="three"/>
              <wpsCustomData:relSzCs val="three"/>
            </mc:Choice>
          </mc:AlternateContent>
        </w:rPr>
      </w:pP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本院认为，根据简某公司的上诉请求和理由，以及家某公司的答辩意见，本案二审的争议焦点为：被诉侵权设计是否落入涉案专利权的保护范围。</w:t>
      </w:r>
    </w:p>
    <w:p>
      <w:pPr>
        <w:keepNext w:val="0"/>
        <w:keepLines w:val="0"/>
        <w:pageBreakBefore w:val="0"/>
        <w:widowControl w:val="0"/>
        <w:suppressLineNumbers w:val="0"/>
        <w:kinsoku/>
        <w:wordWrap/>
        <w:bidi w:val="0"/>
        <w:adjustRightInd/>
        <w:spacing w:before="0" w:beforeAutospacing="0" w:after="0" w:afterAutospacing="0" w:line="652" w:lineRule="exact"/>
        <w:ind w:left="0" w:right="0" w:firstLine="632" w:firstLineChars="200"/>
        <w:jc w:val="both"/>
        <w:textAlignment w:val="auto"/>
        <w:rPr>
          <w:rFonts w:hint="default" w:ascii="Times New Roman" w:hAnsi="Times New Roman" w:eastAsia="仿宋_GB2312" w:cs="Times New Roman"/>
          <w:kern w:val="2"/>
          <w:sz w:val="32"/>
          <w:szCs w:val="32"/>
          <mc:AlternateContent>
            <mc:Choice Requires="wpsCustomData">
              <wpsCustomData:relSz val="three"/>
              <wpsCustomData:relSzCs val="three"/>
            </mc:Choice>
          </mc:AlternateContent>
        </w:rPr>
      </w:pP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最高人民法院关于审理侵犯专利权纠纷案件应用法律若干问题的解释》第十条、第十一条规定：人民法院应当以外观设计专利产品的一般消费者的知识水平和认知能力，判断外观设计是否相同或者近似；人民法院认定外观设计是否相同或者近似时，应当根据授权外观设计、被诉侵权设计的设计特征，以外观设计的整体视觉效果进行综合判断；授权外观设计区别于现有设计的设计特征相对于授权外观设计的其他设计特征，通常对外观设计的整体视觉效果更具有影响。</w:t>
      </w:r>
    </w:p>
    <w:p>
      <w:pPr>
        <w:keepNext w:val="0"/>
        <w:keepLines w:val="0"/>
        <w:pageBreakBefore w:val="0"/>
        <w:widowControl w:val="0"/>
        <w:suppressLineNumbers w:val="0"/>
        <w:kinsoku/>
        <w:wordWrap/>
        <w:bidi w:val="0"/>
        <w:adjustRightInd/>
        <w:spacing w:before="0" w:beforeAutospacing="0" w:after="0" w:afterAutospacing="0" w:line="652" w:lineRule="exact"/>
        <w:ind w:left="0" w:right="0" w:firstLine="632" w:firstLineChars="200"/>
        <w:jc w:val="both"/>
        <w:textAlignment w:val="auto"/>
        <w:rPr>
          <w:rFonts w:hint="default" w:ascii="Times New Roman" w:hAnsi="Times New Roman" w:eastAsia="仿宋_GB2312" w:cs="Times New Roman"/>
          <w:kern w:val="2"/>
          <w:sz w:val="32"/>
          <w:szCs w:val="32"/>
          <mc:AlternateContent>
            <mc:Choice Requires="wpsCustomData">
              <wpsCustomData:relSz val="three"/>
              <wpsCustomData:relSzCs val="three"/>
            </mc:Choice>
          </mc:AlternateContent>
        </w:rPr>
      </w:pP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本案中，被诉侵权产品与涉案专利产品均为粮食存放桶，可以进行比对。经比对，两者在整体结构、功能区位置排布、各部分形状和比例等方面均相近，最主要的区别点在于被诉侵权设计整体外形为椭圆形柱体，涉案专利为长方体。简某公司上诉认为，鉴于（</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2022</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）浙民终</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136</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号生效判决已经认定其依据涉案专利提出的现有设计抗辩不成立，而现有设计比对与侵权比对的司法裁判标准应当一致，故可以推定被诉侵权设计与涉案专利不构成近似。对此本院认为，</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ZL2020XXXX6650.0</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号外观设计专利的无效宣告请求审查决定已生效，国家知识产权局作为统一受理和审查全国专利申请，依法授予专利权的行政部门，其对于相关产品的常见设计特征的认定可以作为与前案不同的事实因素在本案的侵权比对中进行考虑。由于对涉案具有储存功能的产品而言，椭圆形柱体和长方体均为常见的外观形状，将此种常见形状要素进行整体置换属于该领域惯常的设计手法，因此在进行侵权比对时，上述形状要素对整体视觉效果的影响权重较低，而涉案专利的设计要点和视觉要部在于产品具体结构、各部分位置和比例等方面，在侵权比对时应予着重考虑。在被诉侵权设计与涉案专利的其他设计特征均十分接近的前提下，仅将整体形状由长方体替换为椭圆形柱体，不足以对整体视觉效果产生显著影响。根据“整体观察、综合判断”的原则，被诉侵权设计与涉案专利整体视觉效果无实质性差异，两者构成近似。一审判决认定被诉侵权设计落入涉案专利权的保护范围并无不当。</w:t>
      </w:r>
    </w:p>
    <w:p>
      <w:pPr>
        <w:keepNext w:val="0"/>
        <w:keepLines w:val="0"/>
        <w:pageBreakBefore w:val="0"/>
        <w:widowControl w:val="0"/>
        <w:suppressLineNumbers w:val="0"/>
        <w:kinsoku/>
        <w:wordWrap/>
        <w:bidi w:val="0"/>
        <w:adjustRightInd/>
        <w:spacing w:before="0" w:beforeAutospacing="0" w:after="0" w:afterAutospacing="0" w:line="652" w:lineRule="exact"/>
        <w:ind w:left="0" w:right="0" w:firstLine="632" w:firstLineChars="200"/>
        <w:jc w:val="both"/>
        <w:textAlignment w:val="auto"/>
        <w:rPr>
          <w:rFonts w:hint="default" w:ascii="Times New Roman" w:hAnsi="Times New Roman" w:eastAsia="仿宋_GB2312" w:cs="Times New Roman"/>
          <w:kern w:val="2"/>
          <w:sz w:val="32"/>
          <w:szCs w:val="32"/>
          <mc:AlternateContent>
            <mc:Choice Requires="wpsCustomData">
              <wpsCustomData:relSz val="three"/>
              <wpsCustomData:relSzCs val="three"/>
            </mc:Choice>
          </mc:AlternateContent>
        </w:rPr>
      </w:pP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简某公司上诉认为，家某公司曾主张被诉侵权设计落入</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ZL2020XXXX6650.0</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号专利权保护范围，说明其自认被诉侵权设计与涉案专利不构成近似。对此本院认为，家某公司作为涉案专利的专利权人，有权提起本案诉讼，其是否认为被诉侵权设计侵害其他专利权与本案争议事实无关。关于简某公司提出的家某公司针对</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ZL2020XXXX6650.0</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号专利权无效宣告决定提起行政诉讼时，已主张被诉侵权设计与涉案专利具有“显著区别”，故可以推定被诉侵权设计与涉案专利不构成近似的上诉理由，本院认为，专利权人在行政诉讼中的主张不能当然视为其在侵权诉讼中的主张，亦不影响法院对被诉侵权设计与涉案专利是否构成近似按照侵权比对规则进行比对判定，简某公司该项上诉理由不能成立。</w:t>
      </w:r>
    </w:p>
    <w:p>
      <w:pPr>
        <w:keepNext w:val="0"/>
        <w:keepLines w:val="0"/>
        <w:pageBreakBefore w:val="0"/>
        <w:widowControl w:val="0"/>
        <w:suppressLineNumbers w:val="0"/>
        <w:kinsoku/>
        <w:wordWrap/>
        <w:bidi w:val="0"/>
        <w:adjustRightInd/>
        <w:spacing w:before="0" w:beforeAutospacing="0" w:after="0" w:afterAutospacing="0" w:line="652" w:lineRule="exact"/>
        <w:ind w:left="0" w:right="0" w:firstLine="632" w:firstLineChars="200"/>
        <w:jc w:val="both"/>
        <w:textAlignment w:val="auto"/>
        <w:rPr>
          <w:rFonts w:hint="default" w:ascii="Times New Roman" w:hAnsi="Times New Roman" w:eastAsia="仿宋_GB2312" w:cs="Times New Roman"/>
          <w:kern w:val="2"/>
          <w:sz w:val="32"/>
          <w:szCs w:val="32"/>
          <mc:AlternateContent>
            <mc:Choice Requires="wpsCustomData">
              <wpsCustomData:relSz val="three"/>
              <wpsCustomData:relSzCs val="three"/>
            </mc:Choice>
          </mc:AlternateContent>
        </w:rPr>
      </w:pP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综上，简某公司的上诉请求不能成立，应予驳回。一审判决认定事实清楚，适用法律正确，应予维持。依照《中华人民共和国民事诉讼法》第一百七十七条第一款第一项之规定，判决如下：</w:t>
      </w:r>
    </w:p>
    <w:p>
      <w:pPr>
        <w:keepNext w:val="0"/>
        <w:keepLines w:val="0"/>
        <w:pageBreakBefore w:val="0"/>
        <w:widowControl w:val="0"/>
        <w:suppressLineNumbers w:val="0"/>
        <w:kinsoku/>
        <w:wordWrap/>
        <w:bidi w:val="0"/>
        <w:adjustRightInd/>
        <w:spacing w:before="0" w:beforeAutospacing="0" w:after="0" w:afterAutospacing="0" w:line="652" w:lineRule="exact"/>
        <w:ind w:left="0" w:right="0" w:firstLine="632" w:firstLineChars="200"/>
        <w:jc w:val="both"/>
        <w:textAlignment w:val="auto"/>
        <w:rPr>
          <w:rFonts w:hint="default" w:ascii="Times New Roman" w:hAnsi="Times New Roman" w:eastAsia="仿宋_GB2312" w:cs="Times New Roman"/>
          <w:kern w:val="2"/>
          <w:sz w:val="32"/>
          <w:szCs w:val="32"/>
          <mc:AlternateContent>
            <mc:Choice Requires="wpsCustomData">
              <wpsCustomData:relSz val="three"/>
              <wpsCustomData:relSzCs val="three"/>
            </mc:Choice>
          </mc:AlternateContent>
        </w:rPr>
      </w:pP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驳回上诉，维持原判。</w:t>
      </w:r>
    </w:p>
    <w:p>
      <w:pPr>
        <w:keepNext w:val="0"/>
        <w:keepLines w:val="0"/>
        <w:pageBreakBefore w:val="0"/>
        <w:widowControl w:val="0"/>
        <w:suppressLineNumbers w:val="0"/>
        <w:kinsoku/>
        <w:wordWrap/>
        <w:bidi w:val="0"/>
        <w:adjustRightInd/>
        <w:spacing w:before="0" w:beforeAutospacing="0" w:after="0" w:afterAutospacing="0" w:line="652" w:lineRule="exact"/>
        <w:ind w:left="0" w:right="0" w:firstLine="632" w:firstLineChars="200"/>
        <w:jc w:val="both"/>
        <w:textAlignment w:val="auto"/>
        <w:rPr>
          <w:rFonts w:hint="default" w:ascii="Times New Roman" w:hAnsi="Times New Roman" w:eastAsia="仿宋_GB2312" w:cs="Times New Roman"/>
          <w:kern w:val="2"/>
          <w:sz w:val="32"/>
          <w:szCs w:val="32"/>
          <mc:AlternateContent>
            <mc:Choice Requires="wpsCustomData">
              <wpsCustomData:relSz val="three"/>
              <wpsCustomData:relSzCs val="three"/>
            </mc:Choice>
          </mc:AlternateContent>
        </w:rPr>
      </w:pP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二审案件受理费</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2300</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元，由台州市简某公司负担。</w:t>
      </w:r>
    </w:p>
    <w:p>
      <w:pPr>
        <w:keepNext w:val="0"/>
        <w:keepLines w:val="0"/>
        <w:pageBreakBefore w:val="0"/>
        <w:widowControl w:val="0"/>
        <w:suppressLineNumbers w:val="0"/>
        <w:kinsoku/>
        <w:wordWrap/>
        <w:bidi w:val="0"/>
        <w:adjustRightInd/>
        <w:spacing w:before="0" w:beforeAutospacing="0" w:after="0" w:afterAutospacing="0" w:line="652" w:lineRule="exact"/>
        <w:ind w:left="0" w:right="0" w:firstLine="632" w:firstLineChars="200"/>
        <w:jc w:val="both"/>
        <w:textAlignment w:val="auto"/>
        <w:rPr>
          <w:rFonts w:hint="default" w:ascii="Times New Roman" w:hAnsi="Times New Roman" w:eastAsia="仿宋_GB2312" w:cs="Times New Roman"/>
          <w:kern w:val="2"/>
          <w:sz w:val="32"/>
          <w:szCs w:val="32"/>
          <mc:AlternateContent>
            <mc:Choice Requires="wpsCustomData">
              <wpsCustomData:relSz val="three"/>
              <wpsCustomData:relSzCs val="three"/>
            </mc:Choice>
          </mc:AlternateContent>
        </w:rPr>
      </w:pP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本判决为终审判决。</w:t>
      </w:r>
    </w:p>
    <w:bookmarkEnd w:id="0"/>
    <w:p>
      <w:pPr>
        <w:keepNext w:val="0"/>
        <w:keepLines w:val="0"/>
        <w:widowControl w:val="0"/>
        <w:suppressLineNumbers w:val="0"/>
        <w:autoSpaceDE w:val="0"/>
        <w:autoSpaceDN w:val="0"/>
        <w:adjustRightInd w:val="0"/>
        <w:spacing w:before="0" w:beforeAutospacing="0" w:after="0" w:afterAutospacing="0" w:line="612" w:lineRule="exact"/>
        <w:ind w:left="0" w:right="0" w:firstLine="4424" w:firstLineChars="1400"/>
        <w:jc w:val="both"/>
        <w:rPr>
          <w:rFonts w:hint="default" w:ascii="Times New Roman" w:hAnsi="Times New Roman" w:eastAsia="仿宋_GB2312" w:cs="Times New Roman"/>
          <w:kern w:val="2"/>
          <w:sz w:val="32"/>
          <w:szCs w:val="32"/>
          <mc:AlternateContent>
            <mc:Choice Requires="wpsCustomData">
              <wpsCustomData:relSz val="three"/>
              <wpsCustomData:relSzCs val="three"/>
            </mc:Choice>
          </mc:AlternateContent>
        </w:rPr>
      </w:pP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 xml:space="preserve"> </w:t>
      </w:r>
    </w:p>
    <w:p>
      <w:pPr>
        <w:keepNext w:val="0"/>
        <w:keepLines w:val="0"/>
        <w:widowControl w:val="0"/>
        <w:suppressLineNumbers w:val="0"/>
        <w:autoSpaceDE w:val="0"/>
        <w:autoSpaceDN w:val="0"/>
        <w:adjustRightInd w:val="0"/>
        <w:spacing w:before="0" w:beforeAutospacing="0" w:after="0" w:afterAutospacing="0" w:line="612" w:lineRule="exact"/>
        <w:ind w:left="0" w:right="0" w:firstLine="4424" w:firstLineChars="1400"/>
        <w:jc w:val="both"/>
        <w:rPr>
          <w:rFonts w:hint="default" w:ascii="Times New Roman" w:hAnsi="Times New Roman" w:eastAsia="仿宋_GB2312" w:cs="Times New Roman"/>
          <w:kern w:val="2"/>
          <w:sz w:val="32"/>
          <w:szCs w:val="32"/>
          <mc:AlternateContent>
            <mc:Choice Requires="wpsCustomData">
              <wpsCustomData:relSz val="three"/>
              <wpsCustomData:relSzCs val="three"/>
            </mc:Choice>
          </mc:AlternateContent>
        </w:rPr>
      </w:pP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审</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 xml:space="preserve">  </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判</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 xml:space="preserve">  </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长</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 xml:space="preserve">    </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何</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 xml:space="preserve">      </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琼</w:t>
      </w:r>
    </w:p>
    <w:p>
      <w:pPr>
        <w:keepNext w:val="0"/>
        <w:keepLines w:val="0"/>
        <w:widowControl w:val="0"/>
        <w:suppressLineNumbers w:val="0"/>
        <w:tabs>
          <w:tab w:val="left" w:pos="6456"/>
          <w:tab w:val="left" w:pos="6725"/>
          <w:tab w:val="left" w:pos="7263"/>
        </w:tabs>
        <w:spacing w:before="0" w:beforeAutospacing="0" w:after="0" w:afterAutospacing="0" w:line="612" w:lineRule="exact"/>
        <w:ind w:left="0" w:right="0" w:firstLine="4433" w:firstLineChars="1403"/>
        <w:jc w:val="both"/>
        <w:rPr>
          <w:rFonts w:hint="default" w:ascii="Times New Roman" w:hAnsi="Times New Roman" w:eastAsia="仿宋_GB2312" w:cs="Times New Roman"/>
          <w:kern w:val="2"/>
          <w:sz w:val="32"/>
          <w:szCs w:val="32"/>
          <mc:AlternateContent>
            <mc:Choice Requires="wpsCustomData">
              <wpsCustomData:relSz val="three"/>
              <wpsCustomData:relSzCs val="three"/>
            </mc:Choice>
          </mc:AlternateContent>
        </w:rPr>
      </w:pP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审</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 xml:space="preserve">  </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判</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 xml:space="preserve">  </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员</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 xml:space="preserve">    </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路</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 xml:space="preserve">      </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遥</w:t>
      </w:r>
    </w:p>
    <w:p>
      <w:pPr>
        <w:keepNext w:val="0"/>
        <w:keepLines w:val="0"/>
        <w:widowControl w:val="0"/>
        <w:suppressLineNumbers w:val="0"/>
        <w:tabs>
          <w:tab w:val="left" w:pos="5918"/>
          <w:tab w:val="left" w:pos="6456"/>
          <w:tab w:val="left" w:pos="7263"/>
        </w:tabs>
        <w:spacing w:before="0" w:beforeAutospacing="0" w:after="0" w:afterAutospacing="0" w:line="612" w:lineRule="exact"/>
        <w:ind w:left="0" w:right="0" w:firstLine="4433" w:firstLineChars="1403"/>
        <w:jc w:val="both"/>
        <w:rPr>
          <w:rFonts w:hint="default" w:ascii="Times New Roman" w:hAnsi="Times New Roman" w:eastAsia="仿宋_GB2312" w:cs="Times New Roman"/>
          <w:kern w:val="2"/>
          <w:sz w:val="32"/>
          <w:szCs w:val="32"/>
          <mc:AlternateContent>
            <mc:Choice Requires="wpsCustomData">
              <wpsCustomData:relSz val="three"/>
              <wpsCustomData:relSzCs val="three"/>
            </mc:Choice>
          </mc:AlternateContent>
        </w:rPr>
      </w:pP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审</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 xml:space="preserve">  </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判</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 xml:space="preserve">  </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员</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 xml:space="preserve">    </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刘</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 xml:space="preserve">  </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建</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 xml:space="preserve">  </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中</w:t>
      </w:r>
    </w:p>
    <w:p>
      <w:pPr>
        <w:keepNext w:val="0"/>
        <w:keepLines w:val="0"/>
        <w:widowControl w:val="0"/>
        <w:suppressLineNumbers w:val="0"/>
        <w:tabs>
          <w:tab w:val="left" w:pos="5918"/>
          <w:tab w:val="left" w:pos="6456"/>
          <w:tab w:val="left" w:pos="7263"/>
        </w:tabs>
        <w:spacing w:before="0" w:beforeAutospacing="0" w:after="0" w:afterAutospacing="0" w:line="612" w:lineRule="exact"/>
        <w:ind w:left="0" w:right="0" w:firstLine="4433" w:firstLineChars="1403"/>
        <w:jc w:val="both"/>
        <w:rPr>
          <w:rFonts w:hint="default" w:ascii="Times New Roman" w:hAnsi="Times New Roman" w:eastAsia="仿宋_GB2312" w:cs="Times New Roman"/>
          <w:kern w:val="2"/>
          <w:sz w:val="32"/>
          <w:szCs w:val="32"/>
          <mc:AlternateContent>
            <mc:Choice Requires="wpsCustomData">
              <wpsCustomData:relSz val="three"/>
              <wpsCustomData:relSzCs val="three"/>
            </mc:Choice>
          </mc:AlternateContent>
        </w:rPr>
      </w:pP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 xml:space="preserve"> </w:t>
      </w:r>
    </w:p>
    <w:p>
      <w:pPr>
        <w:keepNext w:val="0"/>
        <w:keepLines w:val="0"/>
        <w:widowControl w:val="0"/>
        <w:suppressLineNumbers w:val="0"/>
        <w:tabs>
          <w:tab w:val="left" w:pos="5918"/>
          <w:tab w:val="left" w:pos="6456"/>
          <w:tab w:val="left" w:pos="7263"/>
        </w:tabs>
        <w:spacing w:before="0" w:beforeAutospacing="0" w:after="0" w:afterAutospacing="0" w:line="612" w:lineRule="exact"/>
        <w:ind w:left="0" w:right="0" w:firstLine="4433" w:firstLineChars="1403"/>
        <w:jc w:val="both"/>
        <w:rPr>
          <w:rFonts w:hint="default" w:ascii="Times New Roman" w:hAnsi="Times New Roman" w:eastAsia="仿宋_GB2312" w:cs="Times New Roman"/>
          <w:kern w:val="2"/>
          <w:sz w:val="32"/>
          <w:szCs w:val="32"/>
          <mc:AlternateContent>
            <mc:Choice Requires="wpsCustomData">
              <wpsCustomData:relSz val="three"/>
              <wpsCustomData:relSzCs val="three"/>
            </mc:Choice>
          </mc:AlternateContent>
        </w:rPr>
      </w:pP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 xml:space="preserve"> </w:t>
      </w:r>
    </w:p>
    <w:p>
      <w:pPr>
        <w:pStyle w:val="2"/>
        <w:keepNext w:val="0"/>
        <w:keepLines w:val="0"/>
        <w:widowControl w:val="0"/>
        <w:suppressLineNumbers w:val="0"/>
        <w:spacing w:line="612" w:lineRule="exact"/>
        <w:rPr>
          <w:rFonts w:hint="default" w:ascii="Times New Roman" w:hAnsi="Times New Roman" w:eastAsia="仿宋_GB2312" w:cs="Times New Roman"/>
          <w:kern w:val="2"/>
          <w:sz w:val="32"/>
          <w:szCs w:val="32"/>
          <mc:AlternateContent>
            <mc:Choice Requires="wpsCustomData">
              <wpsCustomData:relSz val="three"/>
              <wpsCustomData:relSzCs val="three"/>
            </mc:Choice>
          </mc:AlternateContent>
        </w:rPr>
      </w:pPr>
      <w:r>
        <w:rPr>
          <w:rFonts w:hint="default" w:ascii="Times New Roman" w:hAnsi="Times New Roman" w:eastAsia="仿宋_GB2312" w:cs="Times New Roman"/>
          <w:kern w:val="2"/>
          <w:sz w:val="32"/>
          <w:szCs w:val="32"/>
          <mc:AlternateContent>
            <mc:Choice Requires="wpsCustomData">
              <wpsCustomData:relSz val="three"/>
              <wpsCustomData:relSzCs val="three"/>
            </mc:Choice>
          </mc:AlternateContent>
        </w:rPr>
        <w:t xml:space="preserve"> </w:t>
      </w:r>
    </w:p>
    <w:p>
      <w:pPr>
        <w:pStyle w:val="2"/>
        <w:keepNext w:val="0"/>
        <w:keepLines w:val="0"/>
        <w:widowControl w:val="0"/>
        <w:suppressLineNumbers w:val="0"/>
        <w:spacing w:line="612" w:lineRule="exact"/>
        <w:rPr>
          <w:rFonts w:hint="default" w:ascii="Times New Roman" w:hAnsi="Times New Roman" w:eastAsia="仿宋_GB2312" w:cs="Times New Roman"/>
          <w:kern w:val="2"/>
          <w:sz w:val="32"/>
          <w:szCs w:val="32"/>
          <mc:AlternateContent>
            <mc:Choice Requires="wpsCustomData">
              <wpsCustomData:relSz val="three"/>
              <wpsCustomData:relSzCs val="three"/>
            </mc:Choice>
          </mc:AlternateContent>
        </w:rPr>
      </w:pPr>
      <w:r>
        <w:rPr>
          <w:rFonts w:hint="default" w:ascii="Times New Roman" w:hAnsi="Times New Roman" w:eastAsia="仿宋_GB2312" w:cs="Times New Roman"/>
          <w:kern w:val="2"/>
          <w:sz w:val="32"/>
          <w:szCs w:val="32"/>
          <mc:AlternateContent>
            <mc:Choice Requires="wpsCustomData">
              <wpsCustomData:relSz val="three"/>
              <wpsCustomData:relSzCs val="three"/>
            </mc:Choice>
          </mc:AlternateContent>
        </w:rPr>
        <w:t xml:space="preserve"> </w:t>
      </w:r>
    </w:p>
    <w:tbl>
      <w:tblPr>
        <w:tblStyle w:val="5"/>
        <w:tblW w:w="0" w:type="auto"/>
        <w:tblInd w:w="41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autofit"/>
        <w:tblCellMar>
          <w:top w:w="46" w:type="dxa"/>
          <w:left w:w="108" w:type="dxa"/>
          <w:bottom w:w="46" w:type="dxa"/>
          <w:right w:w="108" w:type="dxa"/>
        </w:tblCellMar>
      </w:tblPr>
      <w:tblGrid>
        <w:gridCol w:w="41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340" w:hRule="atLeast"/>
        </w:trPr>
        <w:tc>
          <w:tcPr>
            <w:tcW w:w="4171" w:type="dxa"/>
            <w:tcBorders>
              <w:top w:val="nil"/>
              <w:left w:val="nil"/>
              <w:bottom w:val="nil"/>
              <w:right w:val="nil"/>
            </w:tcBorders>
            <w:shd w:val="clear"/>
            <w:vAlign w:val="top"/>
          </w:tcPr>
          <w:p>
            <w:pPr>
              <w:pStyle w:val="3"/>
              <w:keepNext w:val="0"/>
              <w:keepLines w:val="0"/>
              <w:widowControl w:val="0"/>
              <w:suppressLineNumbers w:val="0"/>
              <w:spacing w:line="612" w:lineRule="exact"/>
              <w:ind w:left="0" w:firstLine="192" w:firstLineChars="45"/>
              <w:rPr>
                <w:rFonts w:hint="default" w:ascii="Times New Roman" w:hAnsi="Times New Roman" w:eastAsia="仿宋_GB2312" w:cs="Times New Roman"/>
                <w:kern w:val="2"/>
                <w:sz w:val="32"/>
                <w:szCs w:val="32"/>
                <w:bdr w:val="none" w:color="auto" w:sz="0" w:space="0"/>
                <mc:AlternateContent>
                  <mc:Choice Requires="wpsCustomData">
                    <wpsCustomData:relSz val="three"/>
                    <wpsCustomData:relSzCs val="three"/>
                  </mc:Choice>
                </mc:AlternateContent>
              </w:rPr>
            </w:pPr>
            <w:r>
              <w:rPr>
                <w:rFonts w:hint="default" w:ascii="仿宋_GB2312" w:hAnsi="Times New Roman" w:eastAsia="仿宋_GB2312" w:cs="仿宋_GB2312"/>
                <w:spacing w:val="55"/>
                <w:kern w:val="0"/>
                <w:sz w:val="32"/>
                <w:szCs w:val="32"/>
                <w:bdr w:val="none" w:color="auto" w:sz="0" w:space="0"/>
                <mc:AlternateContent>
                  <mc:Choice Requires="wpsCustomData">
                    <wpsCustomData:relSz val="three"/>
                    <wpsCustomData:relSzCs val="three"/>
                  </mc:Choice>
                </mc:AlternateContent>
              </w:rPr>
              <w:t>二〇二四年九月二</w:t>
            </w:r>
            <w:r>
              <w:rPr>
                <w:rFonts w:hint="default" w:ascii="仿宋_GB2312" w:hAnsi="Times New Roman" w:eastAsia="仿宋_GB2312" w:cs="仿宋_GB2312"/>
                <w:spacing w:val="3"/>
                <w:kern w:val="0"/>
                <w:sz w:val="32"/>
                <w:szCs w:val="32"/>
                <w:bdr w:val="none" w:color="auto" w:sz="0" w:space="0"/>
                <mc:AlternateContent>
                  <mc:Choice Requires="wpsCustomData">
                    <wpsCustomData:relSz val="three"/>
                    <wpsCustomData:relSzCs val="three"/>
                  </mc:Choice>
                </mc:AlternateContent>
              </w:rPr>
              <w:t>日</w:t>
            </w:r>
          </w:p>
        </w:tc>
      </w:tr>
    </w:tbl>
    <w:p>
      <w:pPr>
        <w:keepNext w:val="0"/>
        <w:keepLines w:val="0"/>
        <w:widowControl w:val="0"/>
        <w:suppressLineNumbers w:val="0"/>
        <w:tabs>
          <w:tab w:val="left" w:pos="4304"/>
          <w:tab w:val="left" w:pos="5649"/>
          <w:tab w:val="left" w:pos="5918"/>
          <w:tab w:val="left" w:pos="6456"/>
          <w:tab w:val="left" w:pos="7230"/>
          <w:tab w:val="left" w:pos="7801"/>
          <w:tab w:val="left" w:pos="8070"/>
        </w:tabs>
        <w:spacing w:before="0" w:beforeAutospacing="0" w:after="0" w:afterAutospacing="0" w:line="612" w:lineRule="exact"/>
        <w:ind w:left="0" w:right="0"/>
        <w:jc w:val="both"/>
        <w:rPr>
          <w:rFonts w:hint="default" w:ascii="Times New Roman" w:hAnsi="Times New Roman" w:eastAsia="仿宋_GB2312" w:cs="Times New Roman"/>
          <w:kern w:val="2"/>
          <w:sz w:val="32"/>
          <w:szCs w:val="32"/>
          <mc:AlternateContent>
            <mc:Choice Requires="wpsCustomData">
              <wpsCustomData:relSz val="three"/>
              <wpsCustomData:relSzCs val="three"/>
            </mc:Choice>
          </mc:AlternateContent>
        </w:rPr>
      </w:pP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 xml:space="preserve"> </w:t>
      </w:r>
    </w:p>
    <w:p>
      <w:pPr>
        <w:keepNext w:val="0"/>
        <w:keepLines w:val="0"/>
        <w:widowControl w:val="0"/>
        <w:suppressLineNumbers w:val="0"/>
        <w:tabs>
          <w:tab w:val="left" w:pos="4304"/>
          <w:tab w:val="left" w:pos="5649"/>
          <w:tab w:val="left" w:pos="5918"/>
          <w:tab w:val="left" w:pos="6456"/>
          <w:tab w:val="left" w:pos="7230"/>
          <w:tab w:val="left" w:pos="7801"/>
          <w:tab w:val="left" w:pos="8070"/>
        </w:tabs>
        <w:spacing w:before="0" w:beforeAutospacing="0" w:after="0" w:afterAutospacing="0" w:line="612" w:lineRule="exact"/>
        <w:ind w:left="0" w:right="0"/>
        <w:jc w:val="both"/>
        <w:rPr>
          <w:rFonts w:hint="default" w:ascii="Times New Roman" w:hAnsi="Times New Roman" w:eastAsia="仿宋_GB2312" w:cs="Times New Roman"/>
          <w:kern w:val="2"/>
          <w:sz w:val="32"/>
          <w:szCs w:val="32"/>
          <mc:AlternateContent>
            <mc:Choice Requires="wpsCustomData">
              <wpsCustomData:relSz val="three"/>
              <wpsCustomData:relSzCs val="three"/>
            </mc:Choice>
          </mc:AlternateContent>
        </w:rPr>
      </w:pP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 xml:space="preserve">                            </w:t>
      </w:r>
      <w:r>
        <w:rPr>
          <w:rFonts w:hint="default" w:ascii="仿宋_GB2312" w:hAnsi="Times New Roman" w:eastAsia="仿宋_GB2312" w:cs="仿宋_GB2312"/>
          <w:spacing w:val="-20"/>
          <w:kern w:val="2"/>
          <w:sz w:val="32"/>
          <w:szCs w:val="32"/>
          <w:lang w:val="en-US" w:eastAsia="zh-CN" w:bidi="ar"/>
          <mc:AlternateContent>
            <mc:Choice Requires="wpsCustomData">
              <wpsCustomData:relSz val="three"/>
              <wpsCustomData:relSzCs val="three"/>
            </mc:Choice>
          </mc:AlternateContent>
        </w:rPr>
        <w:t>书</w:t>
      </w:r>
      <w:r>
        <w:rPr>
          <w:rFonts w:hint="default" w:ascii="Times New Roman" w:hAnsi="Times New Roman" w:eastAsia="仿宋_GB2312" w:cs="Times New Roman"/>
          <w:spacing w:val="-20"/>
          <w:kern w:val="2"/>
          <w:sz w:val="32"/>
          <w:szCs w:val="32"/>
          <w:lang w:val="en-US" w:eastAsia="zh-CN" w:bidi="ar"/>
          <mc:AlternateContent>
            <mc:Choice Requires="wpsCustomData">
              <wpsCustomData:relSz val="three"/>
              <wpsCustomData:relSzCs val="three"/>
            </mc:Choice>
          </mc:AlternateContent>
        </w:rPr>
        <w:t xml:space="preserve">   </w:t>
      </w:r>
      <w:r>
        <w:rPr>
          <w:rFonts w:hint="default" w:ascii="仿宋_GB2312" w:hAnsi="Times New Roman" w:eastAsia="仿宋_GB2312" w:cs="仿宋_GB2312"/>
          <w:spacing w:val="-20"/>
          <w:kern w:val="2"/>
          <w:sz w:val="32"/>
          <w:szCs w:val="32"/>
          <w:lang w:val="en-US" w:eastAsia="zh-CN" w:bidi="ar"/>
          <mc:AlternateContent>
            <mc:Choice Requires="wpsCustomData">
              <wpsCustomData:relSz val="three"/>
              <wpsCustomData:relSzCs val="three"/>
            </mc:Choice>
          </mc:AlternateContent>
        </w:rPr>
        <w:t>记</w:t>
      </w:r>
      <w:r>
        <w:rPr>
          <w:rFonts w:hint="default" w:ascii="Times New Roman" w:hAnsi="Times New Roman" w:eastAsia="仿宋_GB2312" w:cs="Times New Roman"/>
          <w:spacing w:val="-20"/>
          <w:kern w:val="2"/>
          <w:sz w:val="32"/>
          <w:szCs w:val="32"/>
          <w:lang w:val="en-US" w:eastAsia="zh-CN" w:bidi="ar"/>
          <mc:AlternateContent>
            <mc:Choice Requires="wpsCustomData">
              <wpsCustomData:relSz val="three"/>
              <wpsCustomData:relSzCs val="three"/>
            </mc:Choice>
          </mc:AlternateContent>
        </w:rPr>
        <w:t xml:space="preserve">   </w:t>
      </w:r>
      <w:r>
        <w:rPr>
          <w:rFonts w:hint="default" w:ascii="仿宋_GB2312" w:hAnsi="Times New Roman" w:eastAsia="仿宋_GB2312" w:cs="仿宋_GB2312"/>
          <w:spacing w:val="-20"/>
          <w:kern w:val="2"/>
          <w:sz w:val="32"/>
          <w:szCs w:val="32"/>
          <w:lang w:val="en-US" w:eastAsia="zh-CN" w:bidi="ar"/>
          <mc:AlternateContent>
            <mc:Choice Requires="wpsCustomData">
              <wpsCustomData:relSz val="three"/>
              <wpsCustomData:relSzCs val="three"/>
            </mc:Choice>
          </mc:AlternateContent>
        </w:rPr>
        <w:t>员</w:t>
      </w:r>
      <w:r>
        <w:rPr>
          <w:rFonts w:hint="default" w:ascii="Times New Roman" w:hAnsi="Times New Roman" w:eastAsia="仿宋_GB2312" w:cs="Times New Roman"/>
          <w:kern w:val="0"/>
          <w:sz w:val="32"/>
          <w:szCs w:val="32"/>
          <w:lang w:val="en-US" w:eastAsia="zh-CN" w:bidi="ar"/>
          <mc:AlternateContent>
            <mc:Choice Requires="wpsCustomData">
              <wpsCustomData:relSz val="three"/>
              <wpsCustomData:relSzCs val="three"/>
            </mc:Choice>
          </mc:AlternateContent>
        </w:rPr>
        <w:t xml:space="preserve">     </w:t>
      </w:r>
      <w:r>
        <w:rPr>
          <w:rFonts w:hint="default" w:ascii="仿宋_GB2312" w:hAnsi="Times New Roman" w:eastAsia="仿宋_GB2312" w:cs="仿宋_GB2312"/>
          <w:kern w:val="0"/>
          <w:sz w:val="32"/>
          <w:szCs w:val="32"/>
          <w:lang w:val="en-US" w:eastAsia="zh-CN" w:bidi="ar"/>
          <mc:AlternateContent>
            <mc:Choice Requires="wpsCustomData">
              <wpsCustomData:relSz val="three"/>
              <wpsCustomData:relSzCs val="three"/>
            </mc:Choice>
          </mc:AlternateContent>
        </w:rPr>
        <w:t>姜</w:t>
      </w:r>
      <w:r>
        <w:rPr>
          <w:rFonts w:hint="default" w:ascii="Times New Roman" w:hAnsi="Times New Roman" w:eastAsia="仿宋_GB2312" w:cs="Times New Roman"/>
          <w:kern w:val="0"/>
          <w:sz w:val="32"/>
          <w:szCs w:val="32"/>
          <w:lang w:val="en-US" w:eastAsia="zh-CN" w:bidi="ar"/>
          <mc:AlternateContent>
            <mc:Choice Requires="wpsCustomData">
              <wpsCustomData:relSz val="three"/>
              <wpsCustomData:relSzCs val="three"/>
            </mc:Choice>
          </mc:AlternateContent>
        </w:rPr>
        <w:t xml:space="preserve">      </w:t>
      </w:r>
      <w:r>
        <w:rPr>
          <w:rFonts w:hint="default" w:ascii="仿宋_GB2312" w:hAnsi="Times New Roman" w:eastAsia="仿宋_GB2312" w:cs="仿宋_GB2312"/>
          <w:kern w:val="0"/>
          <w:sz w:val="32"/>
          <w:szCs w:val="32"/>
          <w:lang w:val="en-US" w:eastAsia="zh-CN" w:bidi="ar"/>
          <mc:AlternateContent>
            <mc:Choice Requires="wpsCustomData">
              <wpsCustomData:relSz val="three"/>
              <wpsCustomData:relSzCs val="three"/>
            </mc:Choice>
          </mc:AlternateContent>
        </w:rPr>
        <w:t>镭</w:t>
      </w:r>
    </w:p>
    <w:p>
      <w:pPr>
        <w:bidi w:val="0"/>
        <w:rPr>
          <w:rFonts w:hint="default"/>
          <w:lang w:val="en-US" w:eastAsia="zh-CN"/>
        </w:rPr>
      </w:pPr>
    </w:p>
    <w:sectPr>
      <w:pgSz w:w="11906" w:h="16838"/>
      <w:pgMar w:top="2098" w:right="1474" w:bottom="1984" w:left="1587" w:header="851" w:footer="1049" w:gutter="0"/>
      <w:cols w:space="0" w:num="1"/>
      <w:rtlGutter w:val="0"/>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Courier New">
    <w:altName w:val="DejaVu Sans"/>
    <w:panose1 w:val="00000000000000000000"/>
    <w:charset w:val="00"/>
    <w:family w:val="auto"/>
    <w:pitch w:val="default"/>
    <w:sig w:usb0="00000000" w:usb1="00000000" w:usb2="00000000" w:usb3="00000000" w:csb0="00000000" w:csb1="00000000"/>
  </w:font>
  <w:font w:name="仿宋_GB2312">
    <w:altName w:val="方正仿宋_GBK"/>
    <w:panose1 w:val="00000000000000000000"/>
    <w:charset w:val="00"/>
    <w:family w:val="auto"/>
    <w:pitch w:val="default"/>
    <w:sig w:usb0="00000000" w:usb1="00000000" w:usb2="00000000" w:usb3="00000000" w:csb0="00000000" w:csb1="00000000"/>
  </w:font>
  <w:font w:name="华文中宋">
    <w:altName w:val="汉仪中宋简"/>
    <w:panose1 w:val="00000000000000000000"/>
    <w:charset w:val="00"/>
    <w:family w:val="auto"/>
    <w:pitch w:val="default"/>
    <w:sig w:usb0="00000000" w:usb1="00000000" w:usb2="00000000" w:usb3="00000000" w:csb0="00000000" w:csb1="00000000"/>
  </w:font>
  <w:font w:name="汉仪中宋简">
    <w:panose1 w:val="02010600000101010101"/>
    <w:charset w:val="86"/>
    <w:family w:val="auto"/>
    <w:pitch w:val="default"/>
    <w:sig w:usb0="00000001" w:usb1="080E0800" w:usb2="00000002" w:usb3="00000000" w:csb0="00040000" w:csb1="00000000"/>
  </w:font>
  <w:font w:name="汉仪猴嗨森体简">
    <w:panose1 w:val="0201050906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汉仪秋实 简">
    <w:panose1 w:val="00020600040101010101"/>
    <w:charset w:val="86"/>
    <w:family w:val="auto"/>
    <w:pitch w:val="default"/>
    <w:sig w:usb0="A000003F" w:usb1="4AC17CFA" w:usb2="00000016" w:usb3="00000000" w:csb0="0004009F" w:csb1="00000000"/>
  </w:font>
  <w:font w:name="汉仪晓波美妍体W">
    <w:panose1 w:val="00020600040101010101"/>
    <w:charset w:val="86"/>
    <w:family w:val="auto"/>
    <w:pitch w:val="default"/>
    <w:sig w:usb0="A00002AF" w:usb1="0AC17CFA" w:usb2="00000016" w:usb3="00000000" w:csb0="0004009F" w:csb1="DFD70000"/>
  </w:font>
  <w:font w:name="汉仪仿宋S">
    <w:panose1 w:val="00020600040101000101"/>
    <w:charset w:val="86"/>
    <w:family w:val="auto"/>
    <w:pitch w:val="default"/>
    <w:sig w:usb0="A00002BF" w:usb1="38CF7CFA" w:usb2="00000016" w:usb3="00000000" w:csb0="0004009F" w:csb1="00000000"/>
  </w:font>
  <w:font w:name="汉仪咩咩体简">
    <w:panose1 w:val="02010509060101010101"/>
    <w:charset w:val="86"/>
    <w:family w:val="auto"/>
    <w:pitch w:val="default"/>
    <w:sig w:usb0="00000001" w:usb1="080E0000" w:usb2="00000000" w:usb3="00000000" w:csb0="00040000" w:csb1="00000000"/>
  </w:font>
  <w:font w:name="汉仪方隶简">
    <w:panose1 w:val="02010600000101010101"/>
    <w:charset w:val="86"/>
    <w:family w:val="auto"/>
    <w:pitch w:val="default"/>
    <w:sig w:usb0="00000001" w:usb1="080E0800" w:usb2="00000002" w:usb3="00000000" w:csb0="00040000" w:csb1="00000000"/>
  </w:font>
  <w:font w:name="汉仪细圆B5">
    <w:panose1 w:val="02010600000101010101"/>
    <w:charset w:val="88"/>
    <w:family w:val="auto"/>
    <w:pitch w:val="default"/>
    <w:sig w:usb0="00000001" w:usb1="080E0800" w:usb2="00000002" w:usb3="00000000" w:csb0="00100000" w:csb1="00000000"/>
  </w:font>
  <w:font w:name="汉仪平安行粗简">
    <w:panose1 w:val="00020600040101010101"/>
    <w:charset w:val="86"/>
    <w:family w:val="auto"/>
    <w:pitch w:val="default"/>
    <w:sig w:usb0="A00002BF" w:usb1="18EF7CFA" w:usb2="00000016"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B72829"/>
    <w:multiLevelType w:val="singleLevel"/>
    <w:tmpl w:val="A8B72829"/>
    <w:lvl w:ilvl="0" w:tentative="0">
      <w:start w:val="1"/>
      <w:numFmt w:val="chineseCounting"/>
      <w:pStyle w:val="10"/>
      <w:suff w:val="nothing"/>
      <w:lvlText w:val="（%1）"/>
      <w:lvlJc w:val="left"/>
      <w:pPr>
        <w:ind w:left="0" w:firstLine="0"/>
      </w:pPr>
      <w:rPr>
        <w:rFonts w:hint="eastAsia"/>
      </w:rPr>
    </w:lvl>
  </w:abstractNum>
  <w:abstractNum w:abstractNumId="1">
    <w:nsid w:val="051A4E85"/>
    <w:multiLevelType w:val="singleLevel"/>
    <w:tmpl w:val="051A4E85"/>
    <w:lvl w:ilvl="0" w:tentative="0">
      <w:start w:val="1"/>
      <w:numFmt w:val="decimal"/>
      <w:pStyle w:val="9"/>
      <w:suff w:val="nothing"/>
      <w:lvlText w:val="（%1）"/>
      <w:lvlJc w:val="left"/>
      <w:pPr>
        <w:ind w:left="0" w:firstLine="0"/>
      </w:pPr>
      <w:rPr>
        <w:rFonts w:hint="default"/>
      </w:rPr>
    </w:lvl>
  </w:abstractNum>
  <w:abstractNum w:abstractNumId="2">
    <w:nsid w:val="1FD18B64"/>
    <w:multiLevelType w:val="singleLevel"/>
    <w:tmpl w:val="1FD18B64"/>
    <w:lvl w:ilvl="0" w:tentative="0">
      <w:start w:val="1"/>
      <w:numFmt w:val="decimal"/>
      <w:pStyle w:val="7"/>
      <w:suff w:val="nothing"/>
      <w:lvlText w:val="%1."/>
      <w:lvlJc w:val="left"/>
      <w:pPr>
        <w:ind w:left="0" w:firstLine="0"/>
      </w:pPr>
      <w:rPr>
        <w:rFonts w:hint="default"/>
      </w:rPr>
    </w:lvl>
  </w:abstractNum>
  <w:abstractNum w:abstractNumId="3">
    <w:nsid w:val="59ABB6A0"/>
    <w:multiLevelType w:val="singleLevel"/>
    <w:tmpl w:val="59ABB6A0"/>
    <w:lvl w:ilvl="0" w:tentative="0">
      <w:start w:val="1"/>
      <w:numFmt w:val="chineseCounting"/>
      <w:pStyle w:val="8"/>
      <w:suff w:val="nothing"/>
      <w:lvlText w:val="%1、"/>
      <w:lvlJc w:val="left"/>
      <w:pPr>
        <w:ind w:left="0" w:firstLine="0"/>
      </w:pPr>
      <w:rPr>
        <w:rFonts w:hint="eastAsia"/>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false"/>
  <w:bordersDoNotSurroundFooter w:val="false"/>
  <w:documentProtection w:enforcement="0"/>
  <w:defaultTabStop w:val="632"/>
  <w:hyphenationZone w:val="360"/>
  <w:drawingGridHorizontalSpacing w:val="158"/>
  <w:drawingGridVerticalSpacing w:val="290"/>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955A77"/>
    <w:rsid w:val="065C363E"/>
    <w:rsid w:val="06C323F1"/>
    <w:rsid w:val="0AE00993"/>
    <w:rsid w:val="0DDF64DA"/>
    <w:rsid w:val="0F5C0611"/>
    <w:rsid w:val="126E7D99"/>
    <w:rsid w:val="12BD1E00"/>
    <w:rsid w:val="1D604B73"/>
    <w:rsid w:val="22EB0ED1"/>
    <w:rsid w:val="27955A77"/>
    <w:rsid w:val="33F7B365"/>
    <w:rsid w:val="39557C35"/>
    <w:rsid w:val="3CF75027"/>
    <w:rsid w:val="404D210C"/>
    <w:rsid w:val="42BD7D96"/>
    <w:rsid w:val="47466018"/>
    <w:rsid w:val="4B6E6534"/>
    <w:rsid w:val="57FF8C8E"/>
    <w:rsid w:val="5C0120F2"/>
    <w:rsid w:val="5E474C84"/>
    <w:rsid w:val="61EC126A"/>
    <w:rsid w:val="61F84EF2"/>
    <w:rsid w:val="64975087"/>
    <w:rsid w:val="657C417C"/>
    <w:rsid w:val="66A67FB7"/>
    <w:rsid w:val="6E1528B4"/>
    <w:rsid w:val="747E651B"/>
    <w:rsid w:val="77605677"/>
    <w:rsid w:val="7B7F1D4B"/>
    <w:rsid w:val="7DA64D51"/>
    <w:rsid w:val="7E2E6BB0"/>
    <w:rsid w:val="8FFB06AB"/>
    <w:rsid w:val="969FD0D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extendView val="OfficialView"/>
      <wpsCustomData:OFCWestFontName val="方正书宋_GBK"/>
      <wpsCustomData:OFCDigtlFontName val="方正书宋_GBK"/>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overflowPunct w:val="0"/>
      <w:topLinePunct/>
      <w:jc w:val="both"/>
    </w:pPr>
    <w:rPr>
      <w:rFonts w:ascii="Times New Roman" w:hAnsi="Times New Roman" w:eastAsia="方正仿宋_GBK" w:cs="Times New Roman"/>
      <w:kern w:val="2"/>
      <w:sz w:val="32"/>
      <w:szCs w:val="32"/>
      <w:lang w:val="en-US" w:eastAsia="zh-CN" w:bidi="ar-SA"/>
      <mc:AlternateContent>
        <mc:Choice Requires="wpsCustomData">
          <wpsCustomData:relSz val="three"/>
          <wpsCustomData:relSzCs val="three"/>
        </mc:Choice>
      </mc:AlternateContent>
    </w:rPr>
  </w:style>
  <w:style w:type="character" w:default="1" w:styleId="6">
    <w:name w:val="Default Paragraph Font"/>
    <w:semiHidden/>
    <w:qFormat/>
    <w:uiPriority w:val="0"/>
  </w:style>
  <w:style w:type="table" w:default="1" w:styleId="5">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mc:AlternateContent>
        <mc:Choice Requires="wpsCustomData">
          <wpsCustomData:relSz val="normal"/>
          <wpsCustomData:relSzCs val="normal"/>
        </mc:Choice>
      </mc:AlternateContent>
    </w:rPr>
    <w:tblPr>
      <w:tblCellMar>
        <w:top w:w="0" w:type="dxa"/>
        <w:left w:w="108" w:type="dxa"/>
        <w:bottom w:w="0" w:type="dxa"/>
        <w:right w:w="108" w:type="dxa"/>
      </w:tblCellMar>
    </w:tblPr>
  </w:style>
  <w:style w:type="paragraph" w:styleId="2">
    <w:name w:val="Plain Text"/>
    <w:basedOn w:val="1"/>
    <w:uiPriority w:val="0"/>
    <w:pPr>
      <w:keepNext w:val="0"/>
      <w:keepLines w:val="0"/>
      <w:widowControl w:val="0"/>
      <w:suppressLineNumbers w:val="0"/>
      <w:spacing w:before="0" w:beforeAutospacing="0" w:after="0" w:afterAutospacing="0"/>
      <w:ind w:left="0" w:right="0"/>
      <w:jc w:val="both"/>
    </w:pPr>
    <w:rPr>
      <w:rFonts w:hint="eastAsia" w:ascii="宋体" w:hAnsi="Courier New" w:eastAsia="宋体" w:cs="Courier New"/>
      <w:kern w:val="2"/>
      <w:sz w:val="21"/>
      <w:szCs w:val="21"/>
      <w:lang w:val="en-US" w:eastAsia="zh-CN" w:bidi="ar"/>
      <mc:AlternateContent>
        <mc:Choice Requires="wpsCustomData">
          <wpsCustomData:relSz val="five"/>
          <wpsCustomData:relSzCs val="five"/>
        </mc:Choice>
      </mc:AlternateContent>
    </w:rPr>
  </w:style>
  <w:style w:type="paragraph" w:styleId="3">
    <w:name w:val="Date"/>
    <w:basedOn w:val="1"/>
    <w:next w:val="1"/>
    <w:uiPriority w:val="0"/>
    <w:pPr>
      <w:keepNext w:val="0"/>
      <w:keepLines w:val="0"/>
      <w:widowControl w:val="0"/>
      <w:suppressLineNumbers w:val="0"/>
      <w:spacing w:before="0" w:beforeAutospacing="0" w:after="0" w:afterAutospacing="0"/>
      <w:ind w:left="0" w:right="0"/>
      <w:jc w:val="both"/>
    </w:pPr>
    <w:rPr>
      <w:rFonts w:hint="default" w:ascii="Calibri" w:hAnsi="Calibri" w:eastAsia="宋体" w:cs="Times New Roman"/>
      <w:kern w:val="2"/>
      <w:sz w:val="21"/>
      <w:szCs w:val="21"/>
      <w:lang w:val="en-US" w:eastAsia="zh-CN" w:bidi="ar"/>
      <mc:AlternateContent>
        <mc:Choice Requires="wpsCustomData">
          <wpsCustomData:relSz val="five"/>
          <wpsCustomData:relSzCs val="five"/>
        </mc:Choice>
      </mc:AlternateContent>
    </w:rPr>
  </w:style>
  <w:style w:type="paragraph" w:styleId="4">
    <w:name w:val="Normal (Web)"/>
    <w:basedOn w:val="1"/>
    <w:uiPriority w:val="0"/>
    <w:pPr>
      <w:widowControl/>
      <w:spacing w:before="0" w:beforeAutospacing="1" w:after="0" w:afterAutospacing="1"/>
      <w:ind w:left="0" w:right="0"/>
      <w:jc w:val="left"/>
    </w:pPr>
    <w:rPr>
      <w:rFonts w:ascii="宋体" w:hAnsi="宋体" w:eastAsia="宋体" w:cs="宋体"/>
      <w:kern w:val="0"/>
      <w:sz w:val="24"/>
      <w:szCs w:val="24"/>
      <w:lang w:val="en-US" w:eastAsia="zh-CN" w:bidi="ar"/>
      <mc:AlternateContent>
        <mc:Choice Requires="wpsCustomData">
          <wpsCustomData:relSz val="normal"/>
          <wpsCustomData:relSzCs val="normal"/>
        </mc:Choice>
      </mc:AlternateContent>
    </w:rPr>
  </w:style>
  <w:style w:type="paragraph" w:customStyle="1" w:styleId="7">
    <w:name w:val="公文标题 3"/>
    <w:qFormat/>
    <w:uiPriority w:val="0"/>
    <w:pPr>
      <w:widowControl w:val="0"/>
      <w:numPr>
        <w:ilvl w:val="0"/>
        <w:numId w:val="1"/>
      </w:numPr>
      <w:overflowPunct w:val="0"/>
      <w:topLinePunct/>
      <w:jc w:val="both"/>
    </w:pPr>
    <w:rPr>
      <w:rFonts w:ascii="Times New Roman" w:hAnsi="Times New Roman" w:eastAsia="方正仿宋_GBK" w:cs="Times New Roman"/>
      <w:kern w:val="2"/>
      <w:sz w:val="32"/>
      <w:szCs w:val="32"/>
      <w:lang w:val="en-US" w:eastAsia="zh-CN" w:bidi="ar-SA"/>
      <mc:AlternateContent>
        <mc:Choice Requires="wpsCustomData">
          <wpsCustomData:relSz val="three"/>
          <wpsCustomData:relSzCs val="three"/>
        </mc:Choice>
      </mc:AlternateContent>
    </w:rPr>
  </w:style>
  <w:style w:type="paragraph" w:customStyle="1" w:styleId="8">
    <w:name w:val="公文标题 1"/>
    <w:qFormat/>
    <w:uiPriority w:val="0"/>
    <w:pPr>
      <w:widowControl w:val="0"/>
      <w:numPr>
        <w:ilvl w:val="0"/>
        <w:numId w:val="2"/>
      </w:numPr>
      <w:overflowPunct w:val="0"/>
      <w:topLinePunct/>
      <w:jc w:val="both"/>
    </w:pPr>
    <w:rPr>
      <w:rFonts w:ascii="Times New Roman" w:hAnsi="Times New Roman" w:eastAsia="方正黑体_GBK" w:cs="Times New Roman"/>
      <w:kern w:val="2"/>
      <w:sz w:val="32"/>
      <w:szCs w:val="32"/>
      <w:lang w:val="en-US" w:eastAsia="zh-CN" w:bidi="ar-SA"/>
      <mc:AlternateContent>
        <mc:Choice Requires="wpsCustomData">
          <wpsCustomData:relSz val="three"/>
          <wpsCustomData:relSzCs val="three"/>
        </mc:Choice>
      </mc:AlternateContent>
    </w:rPr>
  </w:style>
  <w:style w:type="paragraph" w:customStyle="1" w:styleId="9">
    <w:name w:val="公文标题 4"/>
    <w:qFormat/>
    <w:uiPriority w:val="0"/>
    <w:pPr>
      <w:widowControl w:val="0"/>
      <w:numPr>
        <w:ilvl w:val="0"/>
        <w:numId w:val="3"/>
      </w:numPr>
      <w:overflowPunct w:val="0"/>
      <w:topLinePunct/>
      <w:jc w:val="both"/>
    </w:pPr>
    <w:rPr>
      <w:rFonts w:ascii="Times New Roman" w:hAnsi="Times New Roman" w:eastAsia="方正仿宋_GBK" w:cs="Times New Roman"/>
      <w:kern w:val="2"/>
      <w:sz w:val="32"/>
      <w:szCs w:val="32"/>
      <w:lang w:val="en-US" w:eastAsia="zh-CN" w:bidi="ar-SA"/>
      <mc:AlternateContent>
        <mc:Choice Requires="wpsCustomData">
          <wpsCustomData:relSz val="three"/>
          <wpsCustomData:relSzCs val="three"/>
        </mc:Choice>
      </mc:AlternateContent>
    </w:rPr>
  </w:style>
  <w:style w:type="paragraph" w:customStyle="1" w:styleId="10">
    <w:name w:val="公文标题 2"/>
    <w:qFormat/>
    <w:uiPriority w:val="0"/>
    <w:pPr>
      <w:widowControl w:val="0"/>
      <w:numPr>
        <w:ilvl w:val="0"/>
        <w:numId w:val="4"/>
      </w:numPr>
      <w:overflowPunct w:val="0"/>
      <w:topLinePunct/>
      <w:jc w:val="both"/>
    </w:pPr>
    <w:rPr>
      <w:rFonts w:ascii="Times New Roman" w:hAnsi="Times New Roman" w:eastAsia="方正楷体_GBK" w:cs="Times New Roman"/>
      <w:kern w:val="2"/>
      <w:sz w:val="32"/>
      <w:szCs w:val="32"/>
      <w:lang w:val="en-US" w:eastAsia="zh-CN" w:bidi="ar-SA"/>
      <mc:AlternateContent>
        <mc:Choice Requires="wpsCustomData">
          <wpsCustomData:relSz val="three"/>
          <wpsCustomData:relSzCs val="three"/>
        </mc:Choice>
      </mc:AlternateContent>
    </w:rPr>
  </w:style>
  <w:style w:type="character" w:customStyle="1" w:styleId="11">
    <w:name w:val="15"/>
    <w:basedOn w:val="6"/>
    <w:uiPriority w:val="0"/>
    <w:rPr>
      <w:rFonts w:hint="default" w:ascii="Times New Roman" w:hAnsi="Times New Roman" w:eastAsia="宋体"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85</TotalTime>
  <ScaleCrop>false</ScaleCrop>
  <LinksUpToDate>false</LinksUpToDate>
  <CharactersWithSpaces>0</CharactersWithSpaces>
  <Application>WPS Office_11.8.2.10489_F1E327BC-269C-435d-A152-05C5408002CA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2019-12-17T00:10:00Z</dcterms:created>
  <dc:creator>wps</dc:creator>
  <cp:lastModifiedBy>langchao</cp:lastModifiedBy>
  <dcterms:modified xsi:type="dcterms:W3CDTF">2026-06-16T16:17:43Z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2052-11.8.2.10489</vt:lpwstr>
  </property>
</Properties>
</file>