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ascii="华文中宋" w:hAnsi="华文中宋" w:eastAsia="华文中宋" w:cs="Times New Roman"/>
          <w:spacing w:val="20"/>
          <w:kern w:val="2"/>
          <w:sz w:val="52"/>
          <w:szCs w:val="20"/>
          <w:lang w:val="en-US" w:eastAsia="zh-CN" w:bidi="ar-SA"/>
        </w:rPr>
      </w:pPr>
      <w:r>
        <w:rPr>
          <w:rFonts w:hint="eastAsia" w:ascii="华文中宋" w:hAnsi="华文中宋" w:eastAsia="华文中宋" w:cs="Times New Roman"/>
          <w:spacing w:val="20"/>
          <w:kern w:val="2"/>
          <w:sz w:val="44"/>
          <w:szCs w:val="20"/>
          <w:lang w:val="en-US" w:eastAsia="zh-CN" w:bidi="ar-SA"/>
        </w:rPr>
        <w:t>浙 江 省 高 级 人 民 法 院</w:t>
      </w:r>
    </w:p>
    <w:p>
      <w:pPr>
        <w:spacing w:line="840" w:lineRule="exact"/>
        <w:jc w:val="center"/>
        <w:rPr>
          <w:rFonts w:ascii="华文中宋" w:hAnsi="华文中宋" w:eastAsia="华文中宋" w:cs="Times New Roman"/>
          <w:kern w:val="2"/>
          <w:sz w:val="52"/>
          <w:szCs w:val="20"/>
          <w:lang w:val="en-US" w:eastAsia="zh-CN" w:bidi="ar-SA"/>
        </w:rPr>
      </w:pPr>
      <w:r>
        <w:rPr>
          <w:rFonts w:hint="eastAsia" w:ascii="华文中宋" w:hAnsi="华文中宋" w:eastAsia="华文中宋" w:cs="Times New Roman"/>
          <w:spacing w:val="240"/>
          <w:kern w:val="2"/>
          <w:sz w:val="52"/>
          <w:szCs w:val="20"/>
          <w:lang w:val="en-US" w:eastAsia="zh-CN" w:bidi="ar-SA"/>
        </w:rPr>
        <w:t>民事判决</w:t>
      </w:r>
      <w:r>
        <w:rPr>
          <w:rFonts w:hint="eastAsia" w:ascii="华文中宋" w:hAnsi="华文中宋" w:eastAsia="华文中宋" w:cs="Times New Roman"/>
          <w:kern w:val="2"/>
          <w:sz w:val="52"/>
          <w:szCs w:val="20"/>
          <w:lang w:val="en-US" w:eastAsia="zh-CN" w:bidi="ar-SA"/>
        </w:rPr>
        <w:t>书</w:t>
      </w:r>
    </w:p>
    <w:p>
      <w:pPr>
        <w:spacing w:line="780" w:lineRule="exact"/>
        <w:rPr>
          <w:rFonts w:ascii="Times New Roman" w:hAnsi="Times New Roman" w:eastAsia="仿宋_GB2312" w:cs="Times New Roman"/>
          <w:kern w:val="2"/>
          <w:sz w:val="32"/>
          <w:szCs w:val="20"/>
          <w:lang w:val="en-US" w:eastAsia="zh-CN" w:bidi="ar-SA"/>
        </w:rPr>
      </w:pPr>
      <w:r>
        <w:rPr>
          <w:rFonts w:ascii="Times New Roman" w:hAnsi="Times New Roman" w:eastAsia="仿宋_GB2312" w:cs="Times New Roman"/>
          <w:kern w:val="2"/>
          <w:sz w:val="32"/>
          <w:szCs w:val="20"/>
          <w:lang w:val="en-US" w:eastAsia="zh-CN" w:bidi="ar-SA"/>
        </w:rPr>
        <w:t xml:space="preserve"> </w:t>
      </w:r>
    </w:p>
    <w:p>
      <w:pPr>
        <w:numPr>
          <w:ilvl w:val="0"/>
          <w:numId w:val="1"/>
        </w:numPr>
        <w:spacing w:line="592" w:lineRule="exact"/>
        <w:ind w:left="4893" w:leftChars="0" w:firstLine="0" w:firstLineChars="0"/>
        <w:rPr>
          <w:rFonts w:ascii="Times New Roman" w:hAnsi="Times New Roman" w:eastAsia="仿宋_GB2312" w:cs="Times New Roman"/>
          <w:kern w:val="2"/>
          <w:sz w:val="32"/>
          <w:szCs w:val="20"/>
          <w:lang w:val="en-US" w:eastAsia="zh-CN" w:bidi="ar-SA"/>
        </w:rPr>
      </w:pPr>
      <w:r>
        <w:rPr>
          <w:rFonts w:ascii="Times New Roman" w:hAnsi="Times New Roman" w:eastAsia="仿宋_GB2312" w:cs="Times New Roman"/>
          <w:kern w:val="2"/>
          <w:sz w:val="32"/>
          <w:szCs w:val="32"/>
          <w:lang w:val="en-US" w:eastAsia="zh-CN" w:bidi="ar-SA"/>
        </w:rPr>
        <w:t>浙</w:t>
      </w:r>
      <w:r>
        <w:rPr>
          <w:rFonts w:hint="eastAsia" w:ascii="Times New Roman" w:hAnsi="Times New Roman" w:eastAsia="仿宋_GB2312" w:cs="Times New Roman"/>
          <w:kern w:val="2"/>
          <w:sz w:val="32"/>
          <w:szCs w:val="32"/>
          <w:lang w:val="en-US" w:eastAsia="zh-CN" w:bidi="ar-SA"/>
        </w:rPr>
        <w:t>知</w:t>
      </w:r>
      <w:r>
        <w:rPr>
          <w:rFonts w:ascii="Times New Roman" w:hAnsi="Times New Roman" w:eastAsia="仿宋_GB2312" w:cs="Times New Roman"/>
          <w:kern w:val="2"/>
          <w:sz w:val="32"/>
          <w:szCs w:val="32"/>
          <w:lang w:val="en-US" w:eastAsia="zh-CN" w:bidi="ar-SA"/>
        </w:rPr>
        <w:t>终</w:t>
      </w:r>
      <w:r>
        <w:rPr>
          <w:rFonts w:hint="eastAsia" w:ascii="Times New Roman" w:hAnsi="Times New Roman" w:eastAsia="仿宋_GB2312" w:cs="Times New Roman"/>
          <w:kern w:val="2"/>
          <w:sz w:val="32"/>
          <w:szCs w:val="32"/>
          <w:lang w:val="en-US" w:eastAsia="zh-CN" w:bidi="ar-SA"/>
        </w:rPr>
        <w:t>字16</w:t>
      </w:r>
      <w:r>
        <w:rPr>
          <w:rFonts w:ascii="Times New Roman" w:hAnsi="Times New Roman" w:eastAsia="仿宋_GB2312" w:cs="Times New Roman"/>
          <w:kern w:val="2"/>
          <w:sz w:val="32"/>
          <w:szCs w:val="32"/>
          <w:lang w:val="en-US" w:eastAsia="zh-CN" w:bidi="ar-SA"/>
        </w:rPr>
        <w:t>号</w:t>
      </w:r>
      <w:r>
        <w:rPr>
          <w:rFonts w:ascii="Times New Roman" w:hAnsi="Times New Roman" w:eastAsia="仿宋_GB2312" w:cs="Times New Roman"/>
          <w:kern w:val="2"/>
          <w:sz w:val="32"/>
          <w:szCs w:val="20"/>
          <w:lang w:val="en-US" w:eastAsia="zh-CN" w:bidi="ar-SA"/>
        </w:rPr>
        <w:t xml:space="preserve"> </w:t>
      </w:r>
    </w:p>
    <w:p>
      <w:pPr>
        <w:numPr>
          <w:numId w:val="0"/>
        </w:numPr>
        <w:spacing w:line="592" w:lineRule="exact"/>
        <w:rPr>
          <w:rFonts w:ascii="Times New Roman" w:hAnsi="Times New Roman" w:eastAsia="仿宋_GB2312" w:cs="Times New Roman"/>
          <w:kern w:val="2"/>
          <w:sz w:val="32"/>
          <w:szCs w:val="20"/>
          <w:lang w:val="en-US" w:eastAsia="zh-CN" w:bidi="ar-SA"/>
        </w:rPr>
      </w:pP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上诉人(原审被告)</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金华市大地食品有限公司，住所地浙江省金华市。</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被上诉人(原审原告)</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陈纯彬，住浙江省兰溪市。</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上诉人金华市大地食品有限公司(以下简称大地公司)因侵害外观设计专利权纠纷一案，不服浙江省金华市中级人民法院(2012)浙金知民初字第3号民事判决，向本院提起上诉。本院于2013年1月10日立案受理后，依法组成合议庭，并于同年1月21日公开开庭进行了审理</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本案现已审理终结。</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原判认定：2005年8月3日，陈纯彬向国家知识产权局提出了一项“食品包装罐(1)”外观设计专利申请，2006年6月21日获得授权，专利号</w:t>
      </w:r>
      <w:r>
        <w:rPr>
          <w:rFonts w:hint="eastAsia" w:ascii="Times New Roman" w:hAnsi="Times New Roman" w:eastAsia="仿宋_GB2312" w:cs="Times New Roman"/>
          <w:kern w:val="2"/>
          <w:sz w:val="32"/>
          <w:szCs w:val="32"/>
          <w:lang w:val="en-US" w:eastAsia="zh-CN" w:bidi="ar-SA"/>
        </w:rPr>
        <w:t>为</w:t>
      </w:r>
      <w:r>
        <w:rPr>
          <w:rFonts w:ascii="Times New Roman" w:hAnsi="Times New Roman" w:eastAsia="仿宋_GB2312" w:cs="Times New Roman"/>
          <w:kern w:val="2"/>
          <w:sz w:val="32"/>
          <w:szCs w:val="32"/>
          <w:lang w:val="en-US" w:eastAsia="zh-CN" w:bidi="ar-SA"/>
        </w:rPr>
        <w:t>ZL200530114119.3，该专利目前处于有效状态。该专利授权公告4幅图，结合该专利主视图、左视图、俯视图及仰视图可知，该外观设计专利的罐体截面近似椭圆形，有四个对称内凹；罐顶有一个椭圆形的罐盖和两个条状提手。该专利系无图案的形状设计。2012年3月15日，大地公司就涉案外观设计专利向国家知识产权局专利复审委员会(以下简称专利复审委)提出无效宣告请求，专利复审委于同日受理了该无效宣告请求。同年7月4日，专利复审委作出审查决定，维持涉案专利权有效。2011年1月6日，梁剑向新疆维吾尔自治区公证处申请进行保全证据公证。同日，该公证处公证员许彤、公证员助理陈善弋与梁剑一起来到乌市月明楼批发市场标有“1-1-1”字号的商铺内，梁剑向该商铺销售人员购买了标有“Break</w:t>
      </w:r>
      <w:bookmarkStart w:id="0" w:name="_GoBack"/>
      <w:bookmarkEnd w:id="0"/>
      <w:r>
        <w:rPr>
          <w:rFonts w:ascii="Times New Roman" w:hAnsi="Times New Roman" w:eastAsia="仿宋_GB2312" w:cs="Times New Roman"/>
          <w:kern w:val="2"/>
          <w:sz w:val="32"/>
          <w:szCs w:val="32"/>
          <w:lang w:val="en-US" w:eastAsia="zh-CN" w:bidi="ar-SA"/>
        </w:rPr>
        <w:t>阳光早餐”、“666核桃粉”字样的两个铁制食品罐，并由该商铺销售人员出具《乌市月明楼批发市场1-1-1号销售清单》一份。随后由申请人与公证人员一起将上述购买的两个铁制食品罐带到公证处办公室内，对所购产品进行拍照，共拍得照片8张。公证员对整个证据保全过程出具了(2011)新证民字第147号公证书。该公证书附有销售清单一份和照片8张。陈纯彬于2012年2月15日以大地公司未经许可，为生产经营目的制造、销售专利产品给其造成巨大经济损失为由诉至原审法院，请求判令大地公司立即停止侵犯其专利权的行为，，销毁所有侵权产品和制造模具，并消除影响，赔偿经济损失52万元并承担本案的诉讼费用。在原审庭审中，陈纯彬明确以公证保全的实物为被诉侵权产品与涉案专利进行比对。经比对，被诉侵权产品与涉案专利主要区别在于：罐体表面内凹数量不同，被诉侵权产品为四个大的内凹加四个小的内凹，涉案专利为四个大的内凹。在原审庭审中，大地公司明确以证据2中第JJPD2000-20729号专利作为现有设计抗辩的比对文件。被诉侵权产品与第JPD2000-20729号专利主要区别在于：被诉侵权产品为四个大的内凹加四个小的内凹，日本专利为四个大的内凹。被诉侵权产品有椭圆形的罐盖和条状提手，日本专利罐盖与罐身截面相同，无提手。</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原审法院审理后认为：陈纯彬享有“食品包装罐(1)”外观设计专利的专利权，该专利至今在有效期限内，法律状态稳定，故陈纯彬的合法权益应受国家法律保护。本案的争议焦点在于：一、大地公司有无制造、销售、许诺销售涉案产品。本案中，大地公司对销售了公证保全的产品并无异议，亦认可涉案产品是其委托第三方所生产，而被诉侵权产品上有大地公司的企业名称，故应认定涉案被诉侵权产品系大地公司生产、销售。对于大地公司的许诺销售行为，因陈纯彬提交的(2011)新证民字第147号公证书仅能证明大地公司的销售行为，而陈纯彬也未提交其他证据，故大地公司的许诺销售行为该院不予认定。二、本案被诉侵权产品是否落入陈纯彬的专利保护范围。《中华人民共和国专利法》第五十九条第二款规定：“外观设计专利权的保护范围以表示在图片或者照片中的该产品的外观设计为准。”对此，判断外观设计专利是否侵权的原则和观察方式及标准应该是以整体综合判断，并施以一般消费者的注意力，在不同时间和不同地点进行观察，，以是否造成消费者的误认和混淆作为判定相同或相近似的原则，对所保护的外观设计专利权的视觉要部与被诉侵权产品进行对比。本案中，将涉案专利图形与被诉侵权产品进行比对，被诉侵权产品仅多了四个小的内凹，该不同点并没有改变产品整体的视觉效果，也不产生视觉效果上的明显差异，故两者构成近似，应当认定被诉侵权产品落入涉案专利的保护范围。三、大地公司现有设计抗辩是否成立。本案中，大地公司以证据2中的日本第JPD2000-20729号专利主张涉案产品为现有设计，但将涉案产品与现有设计图形进行比对，两者在罐体截面形状、罐盖和手柄上均有明显区别。涉案产品形状更接近于陈纯彬的外观设计专利，故大地公司以日本第JPD2000-20729号专利主张涉案产品为现有设计的抗辩不能成立。四、大地公司先用权抗辩是否成立。先用权抗辩是指在专利申请日前已经制造相同产品、使用相同方法或者已经作好制造、使用的必要准备，并且仅在原有范围内继续制造、使用。本案中，大地公司提交的证据并无法证明其在2004年已经开始制造或为制造涉案产品做好准备，故该抗辩不能成立，不予支持。五、关于具体赔偿数额。由于陈纯彬没有提供证据证明其因被侵权所受到的具体损失或大地公司因侵权所获得的具体利益，该院综合考虑大地公司侵权的范围、时间、性质、涉案专利权的类别等因素，加之陈纯彬为本案诉讼必然支出的律师费、公证费等费用，该院酌情确定赔偿数额为人民币60000元。六、关于陈纯彬要求销毁所有侵权产品、制造侵权产品模具和消除影响的诉请。本案中，陈纯彬未提供证据证明大地公司存在库存侵权产品及制造侵权产品的模具，也未提供证据证明大地公司的侵权行为对陈纯彬的商誉造成不良的影响，故该项诉讼请求依据不足，不予支持。综上，陈纯彬的部分诉讼请求成立，予以支持。依照《中华人民共和国专利法》第十一条第二款、第五十九条第二款、第六十五条，《中华人民共和国民法通则》第一百一十八条，《最高人民法院关于民事诉讼证据的若干规定》第二条之规定，该院于2012年11月21日判决：一、大地公司立即停止制造、销售落入陈纯彬享有</w:t>
      </w:r>
      <w:r>
        <w:rPr>
          <w:rFonts w:hint="eastAsia" w:ascii="Times New Roman" w:hAnsi="Times New Roman" w:eastAsia="仿宋_GB2312" w:cs="Times New Roman"/>
          <w:kern w:val="2"/>
          <w:sz w:val="32"/>
          <w:szCs w:val="32"/>
          <w:lang w:val="en-US" w:eastAsia="zh-CN" w:bidi="ar-SA"/>
        </w:rPr>
        <w:t>的</w:t>
      </w:r>
      <w:r>
        <w:rPr>
          <w:rFonts w:ascii="Times New Roman" w:hAnsi="Times New Roman" w:eastAsia="仿宋_GB2312" w:cs="Times New Roman"/>
          <w:kern w:val="2"/>
          <w:sz w:val="32"/>
          <w:szCs w:val="32"/>
          <w:lang w:val="en-US" w:eastAsia="zh-CN" w:bidi="ar-SA"/>
        </w:rPr>
        <w:t>ZL200530114119.31号外观设计专利保护范围产品的行为。二、大地公司于判决生效之日起十日内赔偿陈纯彬经济损失60000元(含为制止侵权行为所支付的合理费用)。三、驳回陈纯彬的其他诉讼请求。大地公司如未按判决指定的期间履行给付金钱义务，应当依照《中华人民共和国民事诉讼法》(2007年修正)第二百二十九条之规定，加倍支付迟延履行期间的债务利息。案件受理费9000元，由陈纯彬负担3980元，大地公司负担5020元。宣判后，大地公司不服，向本院提起上诉。</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大地公司上诉称：被诉侵权产品与涉案专利相比，两者区别为：1.罐体表面内凹数量不同；2.罐体有无图案。被诉侵权产品是明显的图案、、色彩及文字相互结合产品，涉案专利是无图案的单纯形状设计，上述两项设计要素的不同足以使一般消费者从产品整体外观效果上区别被诉侵权产品与涉案专利，两者显然不构成相近似。原审判决认定被诉侵权产品构成侵权有违相近似判断中的整体观察、综合判断的原则。请求二审法院依法撤销原判，驳回陈纯彬全部诉讼请求，并由陈纯彬承担全部的诉讼费用。</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陈纯彬答辩称：：涉案专利为形状设计，故应以形状作为涉案专利的保护范围，被诉侵权产品的形状和涉案专利是完全一致的，原判认定事实清楚，适用法律正确，请球二审法院驳回上诉，维持原判。</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二审中，大地公司向本院提交了专利复审委第19244号无效宣告请求审查决定书，案外人浙江一派食品有限公司将涉案专利作为在先设计，请求无效与被诉侵权产品相近似的专利，，专利复审委决定维持与被诉侵权产品相近似的专利有效，拟证明涉案专利与被诉侵权产品在整体视觉效果上有显著区别，两者不相近似。</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陈纯彬质证后认为，对该证据的真实性无异议，对该证据的证明效力有异议，t该证据涉及的是案外人赵富华的外观设计专利，比较对象与本案不同。</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经审查，本院认为，对该证据的真实性可以确认，但专利复审委无效审查的判断角度与法院侵权判定角度的切入点并不相同，其是否能证成其证明目的，待判决理由部分再予评述。</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本院二审查明的事实与原审判决认定的事实一致。</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综合大地公司的上诉理由和陈纯彬的答辩意见，本院认为，本案二审的争议焦点是：被诉侵权产品是否落入陈纯彬涉案专利权的保护范围。</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院认为：根据《中华人民共和国专利法》第五十九条第二款的规定，外观设计专利权的保护范围以表示在图片或者照片中的该产品的外观设计为准，简要说明可以用于解释图片或者照片所表示的该产品的外观设计。本案中涉案专利证书中的图片系食品包装罐的形状设计，并没有涉及图案、色彩等内容，因此，图案和色彩并非本案的比对要素，涉案专利的保护范围应以上述食品包装罐的形状设计为准。被诉侵权产品与涉案外观设计专利产品均为食品包装罐，二者为同类产品。将被诉侵权产品的形状设计与涉案专利设计相比对，两者罐体截面形状相似，两者罐顶均有一个椭圆形的罐盖和两个条状提手，被诉侵权产品仅在罐体截面多了四个小的内凹。根据《最高人民法院关于审理侵犯专利权纠纷案件应用法律若干问题的解释》第十一条第二款第(二)项之规定，授权外观设计区别于现有设计的设计特征相对于授权外观设计的其他设计特征对外观设计的整体视觉效果更具有影响。本案中，陈纯彬主张罐体的截面形状为涉案专利设计与现有设计相比的区别设计特征，大地公司虽对此提出异议，但没有提出现有设计证据加以证明，故可以确认罐体截面形状为涉案专利设计区别于现有设计的设计特征。在涉案专利设计的创新部分即罐体截面形状(椭圆形上有四个对称内凹)的情况下，被诉侵权产品多的四个对称小内凹与涉案专利设计相比，并不构成实质性差异，对于整体视觉效果并不产生显著影响，以一般消费者的知识水平和认知能力来判断，该差异不足以将被诉侵权产品和涉案专利设计区分开来，故被诉侵权产品与涉案专利设计构成相近似，落入涉案专利权的保护范围。本院认为，陈纯彬的专利号为ZL200530114119.3，名称为“食品包装罐(1)”的外观设计专利合法有效，应受法律保护。大地公司未经陈纯彬许可，生产、销售落入涉案专利权保护范围的被诉侵权产品，已侵犯了陈纯彬的涉案外观设计专利权，应承担相应的民事责任。大地公司提出的上诉理由和请求均不能成立，不予支持。原审判决认定事实清楚，适用法律正确，依法应予维持。依照《中华人民共和国民事诉讼法》第一百七十条第一款第(一)项，判决如下：</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驳回上诉，维持原判。</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本案二审案件受理费1300元，由大地公司负担。</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本判决为终审判决。</w:t>
      </w:r>
    </w:p>
    <w:p>
      <w:pPr>
        <w:keepNext w:val="0"/>
        <w:keepLines w:val="0"/>
        <w:pageBreakBefore w:val="0"/>
        <w:widowControl w:val="0"/>
        <w:kinsoku/>
        <w:wordWrap/>
        <w:topLinePunct w:val="0"/>
        <w:bidi w:val="0"/>
        <w:spacing w:line="612" w:lineRule="exact"/>
        <w:ind w:firstLine="640" w:firstLineChars="200"/>
        <w:textAlignment w:val="auto"/>
        <w:rPr>
          <w:rFonts w:ascii="Times New Roman" w:hAnsi="Times New Roman" w:eastAsia="仿宋_GB2312" w:cs="Times New Roman"/>
          <w:kern w:val="2"/>
          <w:sz w:val="32"/>
          <w:szCs w:val="32"/>
          <w:lang w:val="en-US" w:eastAsia="zh-CN" w:bidi="ar-SA"/>
        </w:rPr>
      </w:pPr>
    </w:p>
    <w:p>
      <w:pPr>
        <w:tabs>
          <w:tab w:val="left" w:pos="4304"/>
        </w:tabs>
        <w:spacing w:line="592" w:lineRule="exact"/>
        <w:jc w:val="right"/>
        <w:rPr>
          <w:rFonts w:hint="eastAsia" w:ascii="Times New Roman" w:hAnsi="Times New Roman" w:eastAsia="仿宋_GB2312" w:cs="Times New Roman"/>
          <w:kern w:val="2"/>
          <w:sz w:val="32"/>
          <w:szCs w:val="20"/>
          <w:lang w:val="en-US" w:eastAsia="zh-CN" w:bidi="ar-SA"/>
        </w:rPr>
      </w:pPr>
      <w:r>
        <w:rPr>
          <w:rFonts w:hint="eastAsia" w:ascii="Times New Roman" w:hAnsi="Times New Roman" w:eastAsia="仿宋_GB2312" w:cs="Times New Roman"/>
          <w:kern w:val="2"/>
          <w:sz w:val="32"/>
          <w:szCs w:val="20"/>
          <w:lang w:val="en-US" w:eastAsia="zh-CN" w:bidi="ar-SA"/>
        </w:rPr>
        <w:t>审  判  长    徐  燕  如</w:t>
      </w:r>
    </w:p>
    <w:p>
      <w:pPr>
        <w:tabs>
          <w:tab w:val="left" w:pos="5918"/>
          <w:tab w:val="left" w:pos="6456"/>
          <w:tab w:val="left" w:pos="7263"/>
        </w:tabs>
        <w:spacing w:line="592" w:lineRule="exact"/>
        <w:jc w:val="right"/>
        <w:rPr>
          <w:rFonts w:hint="eastAsia" w:ascii="Times New Roman" w:hAnsi="Times New Roman" w:eastAsia="仿宋_GB2312" w:cs="Times New Roman"/>
          <w:kern w:val="2"/>
          <w:sz w:val="32"/>
          <w:szCs w:val="20"/>
          <w:lang w:val="en-US" w:eastAsia="zh-CN" w:bidi="ar-SA"/>
        </w:rPr>
      </w:pPr>
      <w:r>
        <w:rPr>
          <w:rFonts w:hint="eastAsia" w:ascii="Times New Roman" w:hAnsi="Times New Roman" w:eastAsia="仿宋_GB2312" w:cs="Times New Roman"/>
          <w:kern w:val="2"/>
          <w:sz w:val="32"/>
          <w:szCs w:val="20"/>
          <w:lang w:val="en-US" w:eastAsia="zh-CN" w:bidi="ar-SA"/>
        </w:rPr>
        <w:t>代理审判员    陈      宇</w:t>
      </w:r>
    </w:p>
    <w:p>
      <w:pPr>
        <w:tabs>
          <w:tab w:val="left" w:pos="5918"/>
          <w:tab w:val="left" w:pos="6456"/>
          <w:tab w:val="left" w:pos="7263"/>
        </w:tabs>
        <w:spacing w:line="592" w:lineRule="exact"/>
        <w:jc w:val="right"/>
        <w:rPr>
          <w:rFonts w:hint="eastAsia" w:ascii="Times New Roman" w:hAnsi="Times New Roman" w:eastAsia="仿宋_GB2312" w:cs="Times New Roman"/>
          <w:kern w:val="2"/>
          <w:sz w:val="32"/>
          <w:szCs w:val="20"/>
          <w:lang w:val="en-US" w:eastAsia="zh-CN" w:bidi="ar-SA"/>
        </w:rPr>
      </w:pPr>
      <w:r>
        <w:rPr>
          <w:rFonts w:hint="eastAsia" w:ascii="Times New Roman" w:hAnsi="Times New Roman" w:eastAsia="仿宋_GB2312" w:cs="Times New Roman"/>
          <w:kern w:val="2"/>
          <w:sz w:val="32"/>
          <w:szCs w:val="20"/>
          <w:lang w:val="en-US" w:eastAsia="zh-CN" w:bidi="ar-SA"/>
        </w:rPr>
        <w:t>代理审判员    李      臻</w:t>
      </w:r>
    </w:p>
    <w:p>
      <w:pPr>
        <w:tabs>
          <w:tab w:val="left" w:pos="5918"/>
          <w:tab w:val="left" w:pos="6456"/>
          <w:tab w:val="left" w:pos="7263"/>
        </w:tabs>
        <w:spacing w:line="592" w:lineRule="exact"/>
        <w:ind w:firstLine="4489" w:firstLineChars="1403"/>
        <w:rPr>
          <w:rFonts w:hint="eastAsia" w:ascii="Times New Roman" w:hAnsi="Times New Roman" w:eastAsia="仿宋_GB2312" w:cs="Times New Roman"/>
          <w:kern w:val="2"/>
          <w:sz w:val="32"/>
          <w:szCs w:val="20"/>
          <w:lang w:val="en-US" w:eastAsia="zh-CN" w:bidi="ar-SA"/>
        </w:rPr>
      </w:pPr>
    </w:p>
    <w:p>
      <w:pPr>
        <w:tabs>
          <w:tab w:val="left" w:pos="5918"/>
          <w:tab w:val="left" w:pos="6456"/>
          <w:tab w:val="left" w:pos="7263"/>
        </w:tabs>
        <w:spacing w:line="592" w:lineRule="exact"/>
        <w:ind w:firstLine="4489" w:firstLineChars="1403"/>
        <w:rPr>
          <w:rFonts w:hint="eastAsia" w:ascii="Times New Roman" w:hAnsi="Times New Roman" w:eastAsia="仿宋_GB2312" w:cs="Times New Roman"/>
          <w:kern w:val="2"/>
          <w:sz w:val="32"/>
          <w:szCs w:val="20"/>
          <w:lang w:val="en-US" w:eastAsia="zh-CN" w:bidi="ar-SA"/>
        </w:rPr>
      </w:pPr>
    </w:p>
    <w:p>
      <w:pPr>
        <w:tabs>
          <w:tab w:val="left" w:pos="5918"/>
          <w:tab w:val="left" w:pos="6456"/>
          <w:tab w:val="left" w:pos="7263"/>
        </w:tabs>
        <w:spacing w:line="592" w:lineRule="exact"/>
        <w:ind w:firstLine="4489" w:firstLineChars="1403"/>
        <w:rPr>
          <w:rFonts w:hint="eastAsia" w:ascii="Times New Roman" w:hAnsi="Times New Roman" w:eastAsia="仿宋_GB2312" w:cs="Times New Roman"/>
          <w:kern w:val="2"/>
          <w:sz w:val="32"/>
          <w:szCs w:val="20"/>
          <w:lang w:val="en-US" w:eastAsia="zh-CN" w:bidi="ar-SA"/>
        </w:rPr>
      </w:pPr>
    </w:p>
    <w:p>
      <w:pPr>
        <w:tabs>
          <w:tab w:val="left" w:pos="5918"/>
          <w:tab w:val="left" w:pos="6456"/>
          <w:tab w:val="left" w:pos="7263"/>
        </w:tabs>
        <w:spacing w:line="592" w:lineRule="exact"/>
        <w:ind w:firstLine="4489" w:firstLineChars="1403"/>
        <w:rPr>
          <w:rFonts w:hint="eastAsia" w:ascii="Times New Roman" w:hAnsi="Times New Roman" w:eastAsia="仿宋_GB2312" w:cs="Times New Roman"/>
          <w:kern w:val="2"/>
          <w:sz w:val="32"/>
          <w:szCs w:val="20"/>
          <w:lang w:val="en-US" w:eastAsia="zh-CN" w:bidi="ar-SA"/>
        </w:rPr>
      </w:pPr>
    </w:p>
    <w:tbl>
      <w:tblPr>
        <w:tblStyle w:val="6"/>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1" w:type="dxa"/>
            <w:tcBorders>
              <w:top w:val="nil"/>
              <w:left w:val="nil"/>
              <w:bottom w:val="nil"/>
              <w:right w:val="nil"/>
            </w:tcBorders>
            <w:noWrap w:val="0"/>
            <w:vAlign w:val="top"/>
          </w:tcPr>
          <w:p>
            <w:pPr>
              <w:widowControl w:val="0"/>
              <w:spacing w:line="592" w:lineRule="exact"/>
              <w:ind w:firstLine="154" w:firstLineChars="45"/>
              <w:jc w:val="right"/>
              <w:rPr>
                <w:rFonts w:hint="eastAsia" w:ascii="Times New Roman" w:hAnsi="Times New Roman" w:eastAsia="仿宋_GB2312" w:cs="Times New Roman"/>
                <w:kern w:val="2"/>
                <w:sz w:val="32"/>
                <w:lang w:val="en-US" w:eastAsia="zh-CN" w:bidi="ar-SA"/>
              </w:rPr>
            </w:pPr>
            <w:r>
              <w:rPr>
                <w:rFonts w:hint="eastAsia" w:ascii="Times New Roman" w:hAnsi="Times New Roman" w:eastAsia="仿宋_GB2312" w:cs="Times New Roman"/>
                <w:spacing w:val="12"/>
                <w:kern w:val="0"/>
                <w:sz w:val="32"/>
                <w:lang w:val="en-US" w:eastAsia="zh-CN" w:bidi="ar-SA"/>
              </w:rPr>
              <w:t>二○一三年三月二十一</w:t>
            </w:r>
            <w:r>
              <w:rPr>
                <w:rFonts w:hint="eastAsia" w:ascii="Times New Roman" w:hAnsi="Times New Roman" w:eastAsia="仿宋_GB2312" w:cs="Times New Roman"/>
                <w:spacing w:val="3"/>
                <w:kern w:val="0"/>
                <w:sz w:val="32"/>
                <w:lang w:val="en-US" w:eastAsia="zh-CN" w:bidi="ar-SA"/>
              </w:rPr>
              <w:t>日</w:t>
            </w:r>
          </w:p>
        </w:tc>
      </w:tr>
    </w:tbl>
    <w:p>
      <w:pPr>
        <w:spacing w:line="600" w:lineRule="exact"/>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本件与原本核对无异</w:t>
      </w:r>
    </w:p>
    <w:p>
      <w:pPr>
        <w:tabs>
          <w:tab w:val="left" w:pos="5649"/>
          <w:tab w:val="left" w:pos="5812"/>
          <w:tab w:val="left" w:pos="6456"/>
          <w:tab w:val="left" w:pos="7801"/>
          <w:tab w:val="left" w:pos="8070"/>
        </w:tabs>
        <w:spacing w:line="600" w:lineRule="exact"/>
        <w:jc w:val="right"/>
        <w:rPr>
          <w:rFonts w:ascii="Times New Roman" w:hAnsi="Times New Roman" w:eastAsia="仿宋_GB2312" w:cs="Times New Roman"/>
          <w:kern w:val="2"/>
          <w:sz w:val="28"/>
          <w:szCs w:val="20"/>
          <w:lang w:val="en-US" w:eastAsia="zh-CN" w:bidi="ar-SA"/>
        </w:rPr>
      </w:pPr>
      <w:r>
        <w:rPr>
          <w:rFonts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仿宋_GB2312"/>
          <w:kern w:val="2"/>
          <w:sz w:val="32"/>
          <w:szCs w:val="32"/>
          <w:lang w:val="en-US" w:eastAsia="zh-CN" w:bidi="ar-SA"/>
        </w:rPr>
        <w:t>书  记  员</w:t>
      </w:r>
      <w:r>
        <w:rPr>
          <w:rFonts w:hint="eastAsia" w:ascii="Times New Roman" w:hAnsi="Times New Roman" w:eastAsia="仿宋_GB2312" w:cs="Times New Roman"/>
          <w:kern w:val="2"/>
          <w:sz w:val="32"/>
          <w:szCs w:val="32"/>
          <w:lang w:val="en-US" w:eastAsia="zh-CN" w:bidi="ar-SA"/>
        </w:rPr>
        <w:t xml:space="preserve">    阮      媛</w:t>
      </w:r>
    </w:p>
    <w:p>
      <w:pPr>
        <w:spacing w:beforeLines="-20"/>
        <w:jc w:val="right"/>
      </w:pPr>
    </w:p>
    <w:sectPr>
      <w:headerReference r:id="rId3" w:type="default"/>
      <w:footerReference r:id="rId4" w:type="default"/>
      <w:pgSz w:w="11900" w:h="1682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_Narrow">
    <w:altName w:val="Times New Roman"/>
    <w:panose1 w:val="00000000000000000000"/>
    <w:charset w:val="00"/>
    <w:family w:val="auto"/>
    <w:pitch w:val="default"/>
    <w:sig w:usb0="00000000" w:usb1="00000000" w:usb2="00000000" w:usb3="00000000" w:csb0="00000000" w:csb1="00000000"/>
  </w:font>
  <w:font w:name="Times_New_Roman">
    <w:altName w:val="DejaVu Sans"/>
    <w:panose1 w:val="00000000000000000000"/>
    <w:charset w:val="00"/>
    <w:family w:val="auto"/>
    <w:pitch w:val="default"/>
    <w:sig w:usb0="00000000" w:usb1="00000000" w:usb2="00000000" w:usb3="00000000" w:csb0="00000000" w:csb1="00000000"/>
  </w:font>
  <w:font w:name="Arial">
    <w:altName w:val="Times New Roman"/>
    <w:panose1 w:val="00000000000000000000"/>
    <w:charset w:val="00"/>
    <w:family w:val="auto"/>
    <w:pitch w:val="default"/>
    <w:sig w:usb0="00000000" w:usb1="00000000" w:usb2="00000000" w:usb3="00000000" w:csb0="00000000" w:csb1="00000000"/>
  </w:font>
  <w:font w:name="仿宋">
    <w:altName w:val="方正仿宋_GBK"/>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Verdana">
    <w:altName w:val="汉仪仿宋S"/>
    <w:panose1 w:val="00000000000000000000"/>
    <w:charset w:val="00"/>
    <w:family w:val="auto"/>
    <w:pitch w:val="default"/>
    <w:sig w:usb0="00000000" w:usb1="00000000" w:usb2="00000000" w:usb3="00000000" w:csb0="00000000" w:csb1="00000000"/>
  </w:font>
  <w:font w:name="Garamond">
    <w:altName w:val="汉仪仿宋S"/>
    <w:panose1 w:val="00000000000000000000"/>
    <w:charset w:val="00"/>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t xml:space="preserve">页 </w:t>
    </w: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vanish/>
        <w:sz w:val="20"/>
        <w:highlight w:val="darkCyan"/>
      </w:rPr>
      <w:t>文档demo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FE881E"/>
    <w:multiLevelType w:val="singleLevel"/>
    <w:tmpl w:val="9AFE881E"/>
    <w:lvl w:ilvl="0" w:tentative="0">
      <w:start w:val="2013"/>
      <w:numFmt w:val="decimal"/>
      <w:suff w:val="nothing"/>
      <w:lvlText w:val="（%1）"/>
      <w:lvlJc w:val="left"/>
      <w:pPr>
        <w:ind w:left="4893"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DFA7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594" w:lineRule="exact"/>
      <w:ind w:firstLine="538" w:firstLineChars="174"/>
    </w:pPr>
    <w:rPr>
      <w:sz w:val="32"/>
    </w:rPr>
  </w:style>
  <w:style w:type="paragraph" w:styleId="3">
    <w:name w:val="Plain Text"/>
    <w:basedOn w:val="1"/>
    <w:qFormat/>
    <w:uiPriority w:val="99"/>
    <w:rPr>
      <w:rFonts w:ascii="宋体" w:hAnsi="Courier New" w:eastAsia="宋体" w:cs="Courier New"/>
      <w:sz w:val="21"/>
      <w:szCs w:val="21"/>
    </w:rPr>
  </w:style>
  <w:style w:type="paragraph" w:styleId="4">
    <w:name w:val="Date"/>
    <w:basedOn w:val="1"/>
    <w:next w:val="1"/>
    <w:qFormat/>
    <w:uiPriority w:val="0"/>
  </w:style>
  <w:style w:type="paragraph" w:styleId="5">
    <w:name w:val="footer"/>
    <w:basedOn w:val="1"/>
    <w:qFormat/>
    <w:uiPriority w:val="0"/>
    <w:pPr>
      <w:tabs>
        <w:tab w:val="center" w:pos="4153"/>
        <w:tab w:val="right" w:pos="8306"/>
      </w:tabs>
      <w:snapToGrid w:val="0"/>
      <w:jc w:val="left"/>
    </w:pPr>
    <w:rPr>
      <w:sz w:val="18"/>
    </w:rPr>
  </w:style>
  <w:style w:type="character" w:styleId="8">
    <w:name w:val="page number"/>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9</TotalTime>
  <ScaleCrop>false</ScaleCrop>
  <LinksUpToDate>false</LinksUpToDate>
  <Application>WPS Office_11.8.2.10489_F1E327BC-269C-435d-A152-05C5408002CA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2026-06-17T10:19:00Z</dcterms:created>
  <dc:creator>Apache POI</dc:creator>
  <cp:lastModifiedBy>姜镭</cp:lastModifiedBy>
  <dcterms:modified xsi:type="dcterms:W3CDTF">2026-06-17T10:43:09Z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