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600" w:lineRule="exact"/>
        <w:jc w:val="center"/>
        <w:rPr>
          <w:rFonts w:hint="eastAsia" w:ascii="华文中宋" w:hAnsi="华文中宋" w:eastAsia="华文中宋"/>
          <w:spacing w:val="20"/>
          <w:sz w:val="44"/>
        </w:rPr>
      </w:pPr>
    </w:p>
    <w:p>
      <w:pPr>
        <w:spacing w:line="840" w:lineRule="exact"/>
        <w:jc w:val="center"/>
        <w:rPr>
          <w:rFonts w:ascii="华文中宋" w:hAnsi="华文中宋" w:eastAsia="华文中宋"/>
          <w:spacing w:val="20"/>
          <w:sz w:val="52"/>
        </w:rPr>
      </w:pPr>
      <w:r>
        <w:rPr>
          <w:rFonts w:hint="eastAsia" w:ascii="华文中宋" w:hAnsi="华文中宋" w:eastAsia="华文中宋"/>
          <w:spacing w:val="20"/>
          <w:sz w:val="44"/>
        </w:rPr>
        <w:t>浙 江 省 高 级 人 民 法 院</w:t>
      </w:r>
    </w:p>
    <w:p>
      <w:pPr>
        <w:spacing w:line="840" w:lineRule="exact"/>
        <w:jc w:val="center"/>
        <w:rPr>
          <w:rFonts w:ascii="华文中宋" w:hAnsi="华文中宋" w:eastAsia="华文中宋"/>
          <w:sz w:val="52"/>
        </w:rPr>
      </w:pPr>
      <w:r>
        <w:rPr>
          <w:rFonts w:hint="eastAsia" w:ascii="华文中宋" w:hAnsi="华文中宋" w:eastAsia="华文中宋"/>
          <w:spacing w:val="240"/>
          <w:sz w:val="52"/>
        </w:rPr>
        <w:t>民事判决</w:t>
      </w:r>
      <w:r>
        <w:rPr>
          <w:rFonts w:hint="eastAsia" w:ascii="华文中宋" w:hAnsi="华文中宋" w:eastAsia="华文中宋"/>
          <w:sz w:val="52"/>
        </w:rPr>
        <w:t>书</w:t>
      </w:r>
    </w:p>
    <w:p>
      <w:pPr>
        <w:spacing w:line="780" w:lineRule="exact"/>
        <w:rPr>
          <w:rFonts w:ascii="Times New Roman" w:hAnsi="Times New Roman" w:eastAsia="仿宋_GB2312"/>
          <w:sz w:val="32"/>
        </w:rPr>
      </w:pPr>
      <w:r>
        <w:rPr>
          <w:sz w:val="32"/>
        </w:rPr>
        <w:t xml:space="preserve"> </w:t>
      </w:r>
    </w:p>
    <w:p>
      <w:pPr>
        <w:wordWrap w:val="0"/>
        <w:spacing w:line="340" w:lineRule="exact"/>
        <w:ind w:firstLine="573"/>
        <w:rPr>
          <w:rFonts w:ascii="Times New Roman" w:hAnsi="Times New Roman" w:eastAsia="仿宋_GB2312"/>
          <w:sz w:val="32"/>
          <w:szCs w:val="32"/>
        </w:rPr>
      </w:pPr>
      <w:r>
        <w:rPr>
          <w:rFonts w:ascii="Times New Roman" w:hAnsi="Times New Roman" w:eastAsia="仿宋_GB2312"/>
          <w:sz w:val="32"/>
          <w:szCs w:val="32"/>
        </w:rPr>
        <w:t xml:space="preserve">                             （202</w:t>
      </w:r>
      <w:r>
        <w:rPr>
          <w:rFonts w:hint="eastAsia" w:ascii="Times New Roman" w:hAnsi="Times New Roman" w:eastAsia="仿宋_GB2312"/>
          <w:sz w:val="32"/>
          <w:szCs w:val="32"/>
        </w:rPr>
        <w:t>5</w:t>
      </w:r>
      <w:r>
        <w:rPr>
          <w:rFonts w:ascii="Times New Roman" w:hAnsi="Times New Roman" w:eastAsia="仿宋_GB2312"/>
          <w:sz w:val="32"/>
          <w:szCs w:val="32"/>
        </w:rPr>
        <w:t>）浙民终</w:t>
      </w:r>
      <w:r>
        <w:rPr>
          <w:rFonts w:hint="eastAsia" w:ascii="Times New Roman" w:hAnsi="Times New Roman" w:eastAsia="仿宋_GB2312"/>
          <w:sz w:val="32"/>
          <w:szCs w:val="32"/>
          <w:lang w:val="en-US" w:eastAsia="zh-CN"/>
        </w:rPr>
        <w:t>1279</w:t>
      </w:r>
      <w:r>
        <w:rPr>
          <w:rFonts w:hint="eastAsia" w:ascii="Times New Roman" w:hAnsi="Times New Roman" w:eastAsia="仿宋_GB2312"/>
          <w:sz w:val="32"/>
          <w:szCs w:val="32"/>
        </w:rPr>
        <w:t>号</w:t>
      </w:r>
      <w:r>
        <w:rPr>
          <w:rFonts w:ascii="Times New Roman" w:hAnsi="Times New Roman" w:eastAsia="仿宋_GB2312"/>
          <w:sz w:val="32"/>
          <w:szCs w:val="32"/>
        </w:rPr>
        <w:t xml:space="preserve">   </w:t>
      </w:r>
    </w:p>
    <w:p>
      <w:pPr>
        <w:spacing w:line="340" w:lineRule="exact"/>
        <w:ind w:firstLine="539" w:firstLineChars="174"/>
        <w:rPr>
          <w:rFonts w:ascii="Times New Roman" w:hAnsi="Times New Roman" w:eastAsia="仿宋_GB2312"/>
          <w:sz w:val="32"/>
          <w:szCs w:val="32"/>
        </w:rPr>
      </w:pPr>
    </w:p>
    <w:p>
      <w:pPr>
        <w:keepNext w:val="0"/>
        <w:keepLines w:val="0"/>
        <w:widowControl w:val="0"/>
        <w:suppressLineNumbers w:val="0"/>
        <w:spacing w:before="0" w:beforeAutospacing="0" w:after="0" w:afterAutospacing="0" w:line="572" w:lineRule="exact"/>
        <w:ind w:left="0" w:right="0" w:firstLine="620" w:firstLineChars="200"/>
        <w:jc w:val="both"/>
        <w:rPr>
          <w:rFonts w:hint="default" w:ascii="Times New Roman" w:hAnsi="Times New Roman" w:eastAsia="仿宋_GB2312" w:cs="Times New Roman"/>
          <w:kern w:val="2"/>
          <w:sz w:val="32"/>
          <w:szCs w:val="32"/>
        </w:rPr>
      </w:pPr>
      <w:r>
        <w:rPr>
          <w:rFonts w:hint="eastAsia" w:ascii="仿宋_GB2312" w:hAnsi="Times New Roman" w:eastAsia="仿宋_GB2312" w:cs="仿宋_GB2312"/>
          <w:kern w:val="2"/>
          <w:sz w:val="32"/>
          <w:szCs w:val="32"/>
          <w:lang w:val="en-US" w:eastAsia="zh-CN" w:bidi="ar"/>
        </w:rPr>
        <w:t>上诉人（原审被告）：霸州嘉某家居有限公司（曾用名廊坊嘉某家居有限公司），住所地河北省廊坊市霸州市。</w:t>
      </w:r>
    </w:p>
    <w:p>
      <w:pPr>
        <w:keepNext w:val="0"/>
        <w:keepLines w:val="0"/>
        <w:widowControl w:val="0"/>
        <w:suppressLineNumbers w:val="0"/>
        <w:spacing w:before="0" w:beforeAutospacing="0" w:after="0" w:afterAutospacing="0" w:line="572" w:lineRule="exact"/>
        <w:ind w:left="0" w:right="0" w:firstLine="620" w:firstLineChars="200"/>
        <w:jc w:val="both"/>
        <w:rPr>
          <w:rFonts w:hint="default" w:ascii="Times New Roman" w:hAnsi="Times New Roman" w:eastAsia="仿宋_GB2312" w:cs="Times New Roman"/>
          <w:kern w:val="2"/>
          <w:sz w:val="32"/>
          <w:szCs w:val="32"/>
        </w:rPr>
      </w:pPr>
      <w:r>
        <w:rPr>
          <w:rFonts w:hint="eastAsia" w:ascii="仿宋_GB2312" w:hAnsi="Times New Roman" w:eastAsia="仿宋_GB2312" w:cs="仿宋_GB2312"/>
          <w:kern w:val="2"/>
          <w:sz w:val="32"/>
          <w:szCs w:val="32"/>
          <w:lang w:val="en-US" w:eastAsia="zh-CN" w:bidi="ar"/>
        </w:rPr>
        <w:t>上诉人（原审被告）：王某甲，住河北省廊坊市霸州市。</w:t>
      </w:r>
    </w:p>
    <w:p>
      <w:pPr>
        <w:keepNext w:val="0"/>
        <w:keepLines w:val="0"/>
        <w:widowControl w:val="0"/>
        <w:suppressLineNumbers w:val="0"/>
        <w:spacing w:before="0" w:beforeAutospacing="0" w:after="0" w:afterAutospacing="0" w:line="572" w:lineRule="exact"/>
        <w:ind w:left="0" w:right="0" w:firstLine="620" w:firstLineChars="200"/>
        <w:jc w:val="both"/>
        <w:rPr>
          <w:rFonts w:hint="default" w:ascii="Times New Roman" w:hAnsi="Times New Roman" w:eastAsia="仿宋_GB2312" w:cs="Times New Roman"/>
          <w:kern w:val="2"/>
          <w:sz w:val="32"/>
          <w:szCs w:val="32"/>
        </w:rPr>
      </w:pPr>
      <w:r>
        <w:rPr>
          <w:rFonts w:hint="eastAsia" w:ascii="仿宋_GB2312" w:hAnsi="Times New Roman" w:eastAsia="仿宋_GB2312" w:cs="仿宋_GB2312"/>
          <w:kern w:val="2"/>
          <w:sz w:val="32"/>
          <w:szCs w:val="32"/>
          <w:lang w:val="en-US" w:eastAsia="zh-CN" w:bidi="ar"/>
        </w:rPr>
        <w:t>被上诉人（原审原告）：郑某，住浙江省台州市椒江区。</w:t>
      </w:r>
    </w:p>
    <w:p>
      <w:pPr>
        <w:keepNext w:val="0"/>
        <w:keepLines w:val="0"/>
        <w:widowControl w:val="0"/>
        <w:suppressLineNumbers w:val="0"/>
        <w:spacing w:before="0" w:beforeAutospacing="0" w:after="0" w:afterAutospacing="0" w:line="572" w:lineRule="exact"/>
        <w:ind w:left="0" w:right="0" w:firstLine="620" w:firstLineChars="200"/>
        <w:jc w:val="both"/>
        <w:rPr>
          <w:rFonts w:hint="default" w:ascii="Times New Roman" w:hAnsi="Times New Roman" w:eastAsia="仿宋_GB2312" w:cs="Times New Roman"/>
          <w:kern w:val="2"/>
          <w:sz w:val="32"/>
          <w:szCs w:val="32"/>
        </w:rPr>
      </w:pPr>
      <w:r>
        <w:rPr>
          <w:rFonts w:hint="eastAsia" w:ascii="仿宋_GB2312" w:hAnsi="Times New Roman" w:eastAsia="仿宋_GB2312" w:cs="仿宋_GB2312"/>
          <w:kern w:val="2"/>
          <w:sz w:val="32"/>
          <w:szCs w:val="32"/>
          <w:lang w:val="en-US" w:eastAsia="zh-CN" w:bidi="ar"/>
        </w:rPr>
        <w:t>上诉人霸州嘉某家居有限公司（以下简称嘉某公司）、王某甲因与被上诉人郑某侵害外观设计专利权纠纷一案，不服浙江省杭州市中级人民法院（</w:t>
      </w:r>
      <w:r>
        <w:rPr>
          <w:rFonts w:hint="default" w:ascii="Times New Roman" w:hAnsi="Times New Roman" w:eastAsia="仿宋_GB2312" w:cs="Times New Roman"/>
          <w:kern w:val="2"/>
          <w:sz w:val="32"/>
          <w:szCs w:val="32"/>
          <w:lang w:val="en-US" w:eastAsia="zh-CN" w:bidi="ar"/>
        </w:rPr>
        <w:t>2025</w:t>
      </w:r>
      <w:r>
        <w:rPr>
          <w:rFonts w:hint="eastAsia" w:ascii="仿宋_GB2312" w:hAnsi="Times New Roman" w:eastAsia="仿宋_GB2312" w:cs="仿宋_GB2312"/>
          <w:kern w:val="2"/>
          <w:sz w:val="32"/>
          <w:szCs w:val="32"/>
          <w:lang w:val="en-US" w:eastAsia="zh-CN" w:bidi="ar"/>
        </w:rPr>
        <w:t>）浙</w:t>
      </w:r>
      <w:r>
        <w:rPr>
          <w:rFonts w:hint="default" w:ascii="Times New Roman" w:hAnsi="Times New Roman" w:eastAsia="仿宋_GB2312" w:cs="Times New Roman"/>
          <w:kern w:val="2"/>
          <w:sz w:val="32"/>
          <w:szCs w:val="32"/>
          <w:lang w:val="en-US" w:eastAsia="zh-CN" w:bidi="ar"/>
        </w:rPr>
        <w:t>01</w:t>
      </w:r>
      <w:r>
        <w:rPr>
          <w:rFonts w:hint="eastAsia" w:ascii="仿宋_GB2312" w:hAnsi="Times New Roman" w:eastAsia="仿宋_GB2312" w:cs="仿宋_GB2312"/>
          <w:kern w:val="2"/>
          <w:sz w:val="32"/>
          <w:szCs w:val="32"/>
          <w:lang w:val="en-US" w:eastAsia="zh-CN" w:bidi="ar"/>
        </w:rPr>
        <w:t>民初</w:t>
      </w:r>
      <w:r>
        <w:rPr>
          <w:rFonts w:hint="default" w:ascii="Times New Roman" w:hAnsi="Times New Roman" w:eastAsia="仿宋_GB2312" w:cs="Times New Roman"/>
          <w:kern w:val="2"/>
          <w:sz w:val="32"/>
          <w:szCs w:val="32"/>
          <w:lang w:val="en-US" w:eastAsia="zh-CN" w:bidi="ar"/>
        </w:rPr>
        <w:t>232</w:t>
      </w:r>
      <w:r>
        <w:rPr>
          <w:rFonts w:hint="eastAsia" w:ascii="仿宋_GB2312" w:hAnsi="Times New Roman" w:eastAsia="仿宋_GB2312" w:cs="仿宋_GB2312"/>
          <w:kern w:val="2"/>
          <w:sz w:val="32"/>
          <w:szCs w:val="32"/>
          <w:lang w:val="en-US" w:eastAsia="zh-CN" w:bidi="ar"/>
        </w:rPr>
        <w:t>号民事判决，向本院提起上诉。本院于</w:t>
      </w:r>
      <w:r>
        <w:rPr>
          <w:rFonts w:hint="default" w:ascii="Times New Roman" w:hAnsi="Times New Roman" w:eastAsia="仿宋_GB2312" w:cs="Times New Roman"/>
          <w:kern w:val="2"/>
          <w:sz w:val="32"/>
          <w:szCs w:val="32"/>
          <w:lang w:val="en-US" w:eastAsia="zh-CN" w:bidi="ar"/>
        </w:rPr>
        <w:t>2025</w:t>
      </w:r>
      <w:r>
        <w:rPr>
          <w:rFonts w:hint="eastAsia" w:ascii="仿宋_GB2312" w:hAnsi="Times New Roman" w:eastAsia="仿宋_GB2312" w:cs="仿宋_GB2312"/>
          <w:kern w:val="2"/>
          <w:sz w:val="32"/>
          <w:szCs w:val="32"/>
          <w:lang w:val="en-US" w:eastAsia="zh-CN" w:bidi="ar"/>
        </w:rPr>
        <w:t>年</w:t>
      </w:r>
      <w:r>
        <w:rPr>
          <w:rFonts w:hint="default" w:ascii="Times New Roman" w:hAnsi="Times New Roman" w:eastAsia="仿宋_GB2312" w:cs="Times New Roman"/>
          <w:kern w:val="2"/>
          <w:sz w:val="32"/>
          <w:szCs w:val="32"/>
          <w:lang w:val="en-US" w:eastAsia="zh-CN" w:bidi="ar"/>
        </w:rPr>
        <w:t>11</w:t>
      </w:r>
      <w:r>
        <w:rPr>
          <w:rFonts w:hint="eastAsia" w:ascii="仿宋_GB2312" w:hAnsi="Times New Roman" w:eastAsia="仿宋_GB2312" w:cs="仿宋_GB2312"/>
          <w:kern w:val="2"/>
          <w:sz w:val="32"/>
          <w:szCs w:val="32"/>
          <w:lang w:val="en-US" w:eastAsia="zh-CN" w:bidi="ar"/>
        </w:rPr>
        <w:t>月</w:t>
      </w:r>
      <w:r>
        <w:rPr>
          <w:rFonts w:hint="default" w:ascii="Times New Roman" w:hAnsi="Times New Roman" w:eastAsia="仿宋_GB2312" w:cs="Times New Roman"/>
          <w:kern w:val="2"/>
          <w:sz w:val="32"/>
          <w:szCs w:val="32"/>
          <w:lang w:val="en-US" w:eastAsia="zh-CN" w:bidi="ar"/>
        </w:rPr>
        <w:t>10</w:t>
      </w:r>
      <w:r>
        <w:rPr>
          <w:rFonts w:hint="eastAsia" w:ascii="仿宋_GB2312" w:hAnsi="Times New Roman" w:eastAsia="仿宋_GB2312" w:cs="仿宋_GB2312"/>
          <w:kern w:val="2"/>
          <w:sz w:val="32"/>
          <w:szCs w:val="32"/>
          <w:lang w:val="en-US" w:eastAsia="zh-CN" w:bidi="ar"/>
        </w:rPr>
        <w:t>日立案受理后，依法组成合议庭，并于同年</w:t>
      </w:r>
      <w:r>
        <w:rPr>
          <w:rFonts w:hint="default" w:ascii="Times New Roman" w:hAnsi="Times New Roman" w:eastAsia="仿宋_GB2312" w:cs="Times New Roman"/>
          <w:kern w:val="2"/>
          <w:sz w:val="32"/>
          <w:szCs w:val="32"/>
          <w:lang w:val="en-US" w:eastAsia="zh-CN" w:bidi="ar"/>
        </w:rPr>
        <w:t>12</w:t>
      </w:r>
      <w:r>
        <w:rPr>
          <w:rFonts w:hint="eastAsia" w:ascii="仿宋_GB2312" w:hAnsi="Times New Roman" w:eastAsia="仿宋_GB2312" w:cs="仿宋_GB2312"/>
          <w:kern w:val="2"/>
          <w:sz w:val="32"/>
          <w:szCs w:val="32"/>
          <w:lang w:val="en-US" w:eastAsia="zh-CN" w:bidi="ar"/>
        </w:rPr>
        <w:t>月</w:t>
      </w:r>
      <w:r>
        <w:rPr>
          <w:rFonts w:hint="default" w:ascii="Times New Roman" w:hAnsi="Times New Roman" w:eastAsia="仿宋_GB2312" w:cs="Times New Roman"/>
          <w:kern w:val="2"/>
          <w:sz w:val="32"/>
          <w:szCs w:val="32"/>
          <w:lang w:val="en-US" w:eastAsia="zh-CN" w:bidi="ar"/>
        </w:rPr>
        <w:t>16</w:t>
      </w:r>
      <w:r>
        <w:rPr>
          <w:rFonts w:hint="eastAsia" w:ascii="仿宋_GB2312" w:hAnsi="Times New Roman" w:eastAsia="仿宋_GB2312" w:cs="仿宋_GB2312"/>
          <w:kern w:val="2"/>
          <w:sz w:val="32"/>
          <w:szCs w:val="32"/>
          <w:lang w:val="en-US" w:eastAsia="zh-CN" w:bidi="ar"/>
        </w:rPr>
        <w:t>日公开开庭进行了审理。嘉某公司、王某甲的共同委托诉讼代理人叶海霞，郑某的委托诉讼代理人周祥玉到庭参加诉讼。本案现已审理终结。</w:t>
      </w:r>
    </w:p>
    <w:p>
      <w:pPr>
        <w:keepNext w:val="0"/>
        <w:keepLines w:val="0"/>
        <w:widowControl w:val="0"/>
        <w:suppressLineNumbers w:val="0"/>
        <w:tabs>
          <w:tab w:val="left" w:pos="8280"/>
        </w:tabs>
        <w:autoSpaceDE w:val="0"/>
        <w:autoSpaceDN w:val="0"/>
        <w:adjustRightInd w:val="0"/>
        <w:snapToGrid w:val="0"/>
        <w:spacing w:before="0" w:beforeAutospacing="0" w:after="0" w:afterAutospacing="0" w:line="572" w:lineRule="exact"/>
        <w:ind w:left="0" w:right="0" w:firstLine="620" w:firstLineChars="200"/>
        <w:jc w:val="both"/>
        <w:rPr>
          <w:rFonts w:hint="default" w:ascii="Times New Roman" w:hAnsi="Times New Roman" w:eastAsia="仿宋_GB2312" w:cs="Times New Roman"/>
          <w:kern w:val="2"/>
          <w:sz w:val="32"/>
          <w:szCs w:val="32"/>
        </w:rPr>
      </w:pPr>
      <w:r>
        <w:rPr>
          <w:rFonts w:hint="eastAsia" w:ascii="仿宋_GB2312" w:hAnsi="Times New Roman" w:eastAsia="仿宋_GB2312" w:cs="仿宋_GB2312"/>
          <w:kern w:val="2"/>
          <w:sz w:val="32"/>
          <w:szCs w:val="32"/>
          <w:lang w:val="en-US" w:eastAsia="zh-CN" w:bidi="ar"/>
        </w:rPr>
        <w:t>嘉某公司、王某甲上诉请求：</w:t>
      </w:r>
      <w:r>
        <w:rPr>
          <w:rFonts w:hint="default" w:ascii="Times New Roman" w:hAnsi="Times New Roman" w:eastAsia="仿宋_GB2312" w:cs="Times New Roman"/>
          <w:kern w:val="2"/>
          <w:sz w:val="32"/>
          <w:szCs w:val="32"/>
          <w:lang w:val="en-US" w:eastAsia="zh-CN" w:bidi="ar"/>
        </w:rPr>
        <w:t>1.</w:t>
      </w:r>
      <w:r>
        <w:rPr>
          <w:rFonts w:hint="eastAsia" w:ascii="仿宋_GB2312" w:hAnsi="Times New Roman" w:eastAsia="仿宋_GB2312" w:cs="仿宋_GB2312"/>
          <w:kern w:val="2"/>
          <w:sz w:val="32"/>
          <w:szCs w:val="32"/>
          <w:lang w:val="en-US" w:eastAsia="zh-CN" w:bidi="ar"/>
        </w:rPr>
        <w:t>撤销一审判决；</w:t>
      </w:r>
      <w:r>
        <w:rPr>
          <w:rFonts w:hint="default" w:ascii="Times New Roman" w:hAnsi="Times New Roman" w:eastAsia="仿宋_GB2312" w:cs="Times New Roman"/>
          <w:kern w:val="2"/>
          <w:sz w:val="32"/>
          <w:szCs w:val="32"/>
          <w:lang w:val="en-US" w:eastAsia="zh-CN" w:bidi="ar"/>
        </w:rPr>
        <w:t>2.</w:t>
      </w:r>
      <w:r>
        <w:rPr>
          <w:rFonts w:hint="eastAsia" w:ascii="仿宋_GB2312" w:hAnsi="Times New Roman" w:eastAsia="仿宋_GB2312" w:cs="仿宋_GB2312"/>
          <w:kern w:val="2"/>
          <w:sz w:val="32"/>
          <w:szCs w:val="32"/>
          <w:lang w:val="en-US" w:eastAsia="zh-CN" w:bidi="ar"/>
        </w:rPr>
        <w:t>依法驳回郑某的全部诉讼请求；</w:t>
      </w:r>
      <w:r>
        <w:rPr>
          <w:rFonts w:hint="default" w:ascii="Times New Roman" w:hAnsi="Times New Roman" w:eastAsia="仿宋_GB2312" w:cs="Times New Roman"/>
          <w:kern w:val="2"/>
          <w:sz w:val="32"/>
          <w:szCs w:val="32"/>
          <w:lang w:val="en-US" w:eastAsia="zh-CN" w:bidi="ar"/>
        </w:rPr>
        <w:t>3.</w:t>
      </w:r>
      <w:r>
        <w:rPr>
          <w:rFonts w:hint="eastAsia" w:ascii="仿宋_GB2312" w:hAnsi="Times New Roman" w:eastAsia="仿宋_GB2312" w:cs="仿宋_GB2312"/>
          <w:kern w:val="2"/>
          <w:sz w:val="32"/>
          <w:szCs w:val="32"/>
          <w:lang w:val="en-US" w:eastAsia="zh-CN" w:bidi="ar"/>
        </w:rPr>
        <w:t>一、二审案件受理费由郑某承担。事实与理由：（一）被诉侵权设计与涉案专利存在显著区别，不落入涉案专利权保护范围。</w:t>
      </w:r>
      <w:r>
        <w:rPr>
          <w:rFonts w:hint="default" w:ascii="Times New Roman" w:hAnsi="Times New Roman" w:eastAsia="仿宋_GB2312" w:cs="Times New Roman"/>
          <w:kern w:val="2"/>
          <w:sz w:val="32"/>
          <w:szCs w:val="32"/>
          <w:lang w:val="en-US" w:eastAsia="zh-CN" w:bidi="ar"/>
        </w:rPr>
        <w:t>1.</w:t>
      </w:r>
      <w:r>
        <w:rPr>
          <w:rFonts w:hint="eastAsia" w:ascii="仿宋_GB2312" w:hAnsi="Times New Roman" w:eastAsia="仿宋_GB2312" w:cs="仿宋_GB2312"/>
          <w:kern w:val="2"/>
          <w:sz w:val="32"/>
          <w:szCs w:val="32"/>
          <w:lang w:val="en-US" w:eastAsia="zh-CN" w:bidi="ar"/>
        </w:rPr>
        <w:t>两者设计组装原理不同，每个组装结构部件形状设计均不相同，无论整体观察还是分别比对均存在明显区别。</w:t>
      </w:r>
      <w:r>
        <w:rPr>
          <w:rFonts w:hint="default" w:ascii="Times New Roman" w:hAnsi="Times New Roman" w:eastAsia="仿宋_GB2312" w:cs="Times New Roman"/>
          <w:kern w:val="2"/>
          <w:sz w:val="32"/>
          <w:szCs w:val="32"/>
          <w:lang w:val="en-US" w:eastAsia="zh-CN" w:bidi="ar"/>
        </w:rPr>
        <w:t>2.</w:t>
      </w:r>
      <w:r>
        <w:rPr>
          <w:rFonts w:hint="eastAsia" w:ascii="仿宋_GB2312" w:hAnsi="Times New Roman" w:eastAsia="仿宋_GB2312" w:cs="仿宋_GB2312"/>
          <w:kern w:val="2"/>
          <w:sz w:val="32"/>
          <w:szCs w:val="32"/>
          <w:lang w:val="en-US" w:eastAsia="zh-CN" w:bidi="ar"/>
        </w:rPr>
        <w:t>置物架产品设计空间较小。从涉案专利权评价报告的对比设计</w:t>
      </w:r>
      <w:r>
        <w:rPr>
          <w:rFonts w:hint="default" w:ascii="Times New Roman" w:hAnsi="Times New Roman" w:eastAsia="仿宋_GB2312" w:cs="Times New Roman"/>
          <w:kern w:val="2"/>
          <w:sz w:val="32"/>
          <w:szCs w:val="32"/>
          <w:lang w:val="en-US" w:eastAsia="zh-CN" w:bidi="ar"/>
        </w:rPr>
        <w:t>1</w:t>
      </w:r>
      <w:r>
        <w:rPr>
          <w:rFonts w:hint="eastAsia" w:ascii="仿宋_GB2312" w:hAnsi="Times New Roman" w:eastAsia="仿宋_GB2312" w:cs="仿宋_GB2312"/>
          <w:kern w:val="2"/>
          <w:sz w:val="32"/>
          <w:szCs w:val="32"/>
          <w:lang w:val="en-US" w:eastAsia="zh-CN" w:bidi="ar"/>
        </w:rPr>
        <w:t>或其提交的二审新证据可见，整体</w:t>
      </w:r>
      <w:bookmarkStart w:id="0" w:name="WKJC_5134247e1e624892809ab87d78a8b72c"/>
      <w:r>
        <w:rPr>
          <w:rFonts w:hint="eastAsia" w:ascii="仿宋_GB2312" w:hAnsi="Times New Roman" w:eastAsia="仿宋_GB2312" w:cs="仿宋_GB2312"/>
          <w:kern w:val="2"/>
          <w:sz w:val="32"/>
          <w:szCs w:val="32"/>
          <w:lang w:val="en-US" w:eastAsia="zh-CN" w:bidi="ar"/>
        </w:rPr>
        <w:t>呈</w:t>
      </w:r>
      <w:bookmarkEnd w:id="0"/>
      <w:r>
        <w:rPr>
          <w:rFonts w:hint="eastAsia" w:ascii="仿宋_GB2312" w:hAnsi="Times New Roman" w:eastAsia="仿宋_GB2312" w:cs="仿宋_GB2312"/>
          <w:kern w:val="2"/>
          <w:sz w:val="32"/>
          <w:szCs w:val="32"/>
          <w:lang w:val="en-US" w:eastAsia="zh-CN" w:bidi="ar"/>
        </w:rPr>
        <w:t>长方体、每层配备一个抽屉、侧面支撑架形成近似矩形的孔、各部分的大小形状和比例关系、底部配置</w:t>
      </w:r>
      <w:r>
        <w:rPr>
          <w:rFonts w:hint="default" w:ascii="Times New Roman" w:hAnsi="Times New Roman" w:eastAsia="仿宋_GB2312" w:cs="Times New Roman"/>
          <w:kern w:val="2"/>
          <w:sz w:val="32"/>
          <w:szCs w:val="32"/>
          <w:lang w:val="en-US" w:eastAsia="zh-CN" w:bidi="ar"/>
        </w:rPr>
        <w:t>4</w:t>
      </w:r>
      <w:r>
        <w:rPr>
          <w:rFonts w:hint="eastAsia" w:ascii="仿宋_GB2312" w:hAnsi="Times New Roman" w:eastAsia="仿宋_GB2312" w:cs="仿宋_GB2312"/>
          <w:kern w:val="2"/>
          <w:sz w:val="32"/>
          <w:szCs w:val="32"/>
          <w:lang w:val="en-US" w:eastAsia="zh-CN" w:bidi="ar"/>
        </w:rPr>
        <w:t>个转动轮，均属于此类置物架产品的惯常设计，被诉侵权设计与涉案专利的区别特征对整体视觉效果更具显著影响。（二）被诉侵权产品实施的是现有设计。被诉落入专利权保护范围的设计特征</w:t>
      </w:r>
      <w:r>
        <w:rPr>
          <w:rFonts w:hint="default" w:ascii="Times New Roman" w:hAnsi="Times New Roman" w:eastAsia="仿宋_GB2312" w:cs="Times New Roman"/>
          <w:kern w:val="2"/>
          <w:sz w:val="32"/>
          <w:szCs w:val="32"/>
          <w:lang w:val="en-US" w:eastAsia="zh-CN" w:bidi="ar"/>
        </w:rPr>
        <w:t>“</w:t>
      </w:r>
      <w:r>
        <w:rPr>
          <w:rFonts w:hint="eastAsia" w:ascii="仿宋_GB2312" w:hAnsi="Times New Roman" w:eastAsia="仿宋_GB2312" w:cs="仿宋_GB2312"/>
          <w:kern w:val="2"/>
          <w:sz w:val="32"/>
          <w:szCs w:val="32"/>
          <w:lang w:val="en-US" w:eastAsia="zh-CN" w:bidi="ar"/>
        </w:rPr>
        <w:t>整体构造、各部分的大小形状和比例关系</w:t>
      </w:r>
      <w:r>
        <w:rPr>
          <w:rFonts w:hint="default" w:ascii="Times New Roman" w:hAnsi="Times New Roman" w:eastAsia="仿宋_GB2312" w:cs="Times New Roman"/>
          <w:kern w:val="2"/>
          <w:sz w:val="32"/>
          <w:szCs w:val="32"/>
          <w:lang w:val="en-US" w:eastAsia="zh-CN" w:bidi="ar"/>
        </w:rPr>
        <w:t>”</w:t>
      </w:r>
      <w:r>
        <w:rPr>
          <w:rFonts w:hint="eastAsia" w:ascii="仿宋_GB2312" w:hAnsi="Times New Roman" w:eastAsia="仿宋_GB2312" w:cs="仿宋_GB2312"/>
          <w:kern w:val="2"/>
          <w:sz w:val="32"/>
          <w:szCs w:val="32"/>
          <w:lang w:val="en-US" w:eastAsia="zh-CN" w:bidi="ar"/>
        </w:rPr>
        <w:t>与现有设计的相应设计特征基本相同，而国家知识产权局在第</w:t>
      </w:r>
      <w:r>
        <w:rPr>
          <w:rFonts w:hint="default" w:ascii="Times New Roman" w:hAnsi="Times New Roman" w:eastAsia="仿宋_GB2312" w:cs="Times New Roman"/>
          <w:kern w:val="2"/>
          <w:sz w:val="32"/>
          <w:szCs w:val="32"/>
          <w:lang w:val="en-US" w:eastAsia="zh-CN" w:bidi="ar"/>
        </w:rPr>
        <w:t>583119</w:t>
      </w:r>
      <w:r>
        <w:rPr>
          <w:rFonts w:hint="eastAsia" w:ascii="仿宋_GB2312" w:hAnsi="Times New Roman" w:eastAsia="仿宋_GB2312" w:cs="仿宋_GB2312"/>
          <w:kern w:val="2"/>
          <w:sz w:val="32"/>
          <w:szCs w:val="32"/>
          <w:lang w:val="en-US" w:eastAsia="zh-CN" w:bidi="ar"/>
        </w:rPr>
        <w:t>号《无效宣告请求审查决定书》中认为，</w:t>
      </w:r>
      <w:r>
        <w:rPr>
          <w:rFonts w:hint="default" w:ascii="Times New Roman" w:hAnsi="Times New Roman" w:eastAsia="仿宋_GB2312" w:cs="Times New Roman"/>
          <w:kern w:val="2"/>
          <w:sz w:val="32"/>
          <w:szCs w:val="32"/>
          <w:lang w:val="en-US" w:eastAsia="zh-CN" w:bidi="ar"/>
        </w:rPr>
        <w:t>“</w:t>
      </w:r>
      <w:r>
        <w:rPr>
          <w:rFonts w:hint="eastAsia" w:ascii="仿宋_GB2312" w:hAnsi="Times New Roman" w:eastAsia="仿宋_GB2312" w:cs="仿宋_GB2312"/>
          <w:kern w:val="2"/>
          <w:sz w:val="32"/>
          <w:szCs w:val="32"/>
          <w:lang w:val="en-US" w:eastAsia="zh-CN" w:bidi="ar"/>
        </w:rPr>
        <w:t>收纳架侧面支撑架的设计均能形成近似矩形的孔，且两者差异在产品整体中所占比例很小，对产品的整体视觉效果不具有显著影响</w:t>
      </w:r>
      <w:r>
        <w:rPr>
          <w:rFonts w:hint="default" w:ascii="Times New Roman" w:hAnsi="Times New Roman" w:eastAsia="仿宋_GB2312" w:cs="Times New Roman"/>
          <w:kern w:val="2"/>
          <w:sz w:val="32"/>
          <w:szCs w:val="32"/>
          <w:lang w:val="en-US" w:eastAsia="zh-CN" w:bidi="ar"/>
        </w:rPr>
        <w:t>......</w:t>
      </w:r>
      <w:r>
        <w:rPr>
          <w:rFonts w:hint="eastAsia" w:ascii="仿宋_GB2312" w:hAnsi="Times New Roman" w:eastAsia="仿宋_GB2312" w:cs="仿宋_GB2312"/>
          <w:kern w:val="2"/>
          <w:sz w:val="32"/>
          <w:szCs w:val="32"/>
          <w:lang w:val="en-US" w:eastAsia="zh-CN" w:bidi="ar"/>
        </w:rPr>
        <w:t>收纳架本体矩形镂空架设置多层结构为本领域惯常设计，消费者可以根据需要调整框架的层数</w:t>
      </w:r>
      <w:r>
        <w:rPr>
          <w:rFonts w:hint="default" w:ascii="Times New Roman" w:hAnsi="Times New Roman" w:eastAsia="仿宋_GB2312" w:cs="Times New Roman"/>
          <w:kern w:val="2"/>
          <w:sz w:val="32"/>
          <w:szCs w:val="32"/>
          <w:lang w:val="en-US" w:eastAsia="zh-CN" w:bidi="ar"/>
        </w:rPr>
        <w:t>”</w:t>
      </w:r>
      <w:r>
        <w:rPr>
          <w:rFonts w:hint="eastAsia" w:ascii="仿宋_GB2312" w:hAnsi="Times New Roman" w:eastAsia="仿宋_GB2312" w:cs="仿宋_GB2312"/>
          <w:kern w:val="2"/>
          <w:sz w:val="32"/>
          <w:szCs w:val="32"/>
          <w:lang w:val="en-US" w:eastAsia="zh-CN" w:bidi="ar"/>
        </w:rPr>
        <w:t>，轮子和把手的设计属于物理可分割的单独部件，</w:t>
      </w:r>
      <w:bookmarkStart w:id="1" w:name="WKJC_ba07ea48962b4d63940fe41c469ded91"/>
      <w:r>
        <w:rPr>
          <w:rFonts w:hint="eastAsia" w:ascii="仿宋_GB2312" w:hAnsi="Times New Roman" w:eastAsia="仿宋_GB2312" w:cs="仿宋_GB2312"/>
          <w:kern w:val="2"/>
          <w:sz w:val="32"/>
          <w:szCs w:val="32"/>
          <w:lang w:val="en-US" w:eastAsia="zh-CN" w:bidi="ar"/>
        </w:rPr>
        <w:t>亦</w:t>
      </w:r>
      <w:bookmarkEnd w:id="1"/>
      <w:r>
        <w:rPr>
          <w:rFonts w:hint="eastAsia" w:ascii="仿宋_GB2312" w:hAnsi="Times New Roman" w:eastAsia="仿宋_GB2312" w:cs="仿宋_GB2312"/>
          <w:kern w:val="2"/>
          <w:sz w:val="32"/>
          <w:szCs w:val="32"/>
          <w:lang w:val="en-US" w:eastAsia="zh-CN" w:bidi="ar"/>
        </w:rPr>
        <w:t>属于惯常设计，且在产品整体中所占比例很小，故被诉侵权设计与现有设计无实质性差异，不构成侵犯专利权。（三）涉案专利与现有设计或者现有设计特征的组合相比，不存在明显区别，不具有创新性，不应受专利法保护。（四）一审判赔金额无事实、法律依据。被诉侵权产品不构成侵权，嘉某公司、王某甲未实施制造行为，销量不多，利润微乎其微。</w:t>
      </w:r>
    </w:p>
    <w:p>
      <w:pPr>
        <w:keepNext w:val="0"/>
        <w:keepLines w:val="0"/>
        <w:widowControl w:val="0"/>
        <w:suppressLineNumbers w:val="0"/>
        <w:tabs>
          <w:tab w:val="left" w:pos="8280"/>
        </w:tabs>
        <w:autoSpaceDE w:val="0"/>
        <w:autoSpaceDN w:val="0"/>
        <w:adjustRightInd w:val="0"/>
        <w:snapToGrid w:val="0"/>
        <w:spacing w:before="0" w:beforeAutospacing="0" w:after="0" w:afterAutospacing="0" w:line="572" w:lineRule="exact"/>
        <w:ind w:left="0" w:right="0" w:firstLine="620" w:firstLineChars="200"/>
        <w:jc w:val="both"/>
        <w:rPr>
          <w:rFonts w:hint="default" w:ascii="Times New Roman" w:hAnsi="Times New Roman" w:eastAsia="仿宋_GB2312" w:cs="Times New Roman"/>
          <w:kern w:val="2"/>
          <w:sz w:val="32"/>
          <w:szCs w:val="32"/>
        </w:rPr>
      </w:pPr>
      <w:r>
        <w:rPr>
          <w:rFonts w:hint="eastAsia" w:ascii="仿宋_GB2312" w:hAnsi="Times New Roman" w:eastAsia="仿宋_GB2312" w:cs="仿宋_GB2312"/>
          <w:kern w:val="2"/>
          <w:sz w:val="32"/>
          <w:szCs w:val="32"/>
          <w:lang w:val="en-US" w:eastAsia="zh-CN" w:bidi="ar"/>
        </w:rPr>
        <w:t>郑某辩称，由其一审提交的案外专利的无效决定书证据可见，国家知识产权局认为对于涉案专利这类立体产品，整体构造以及外形轮廓对其整体视觉效果最具影响，被诉侵权设计具有涉案专利的设计要点，区别细微，落入涉案专利权保护范围。被诉侵权设计相比于现有设计更接近于涉案专利，嘉某公司、王某甲提出的现有设计抗辩不成立。嘉某公司系被诉侵权产品制造商，一审法院判赔金额合理。</w:t>
      </w:r>
    </w:p>
    <w:p>
      <w:pPr>
        <w:keepNext w:val="0"/>
        <w:keepLines w:val="0"/>
        <w:widowControl w:val="0"/>
        <w:suppressLineNumbers w:val="0"/>
        <w:autoSpaceDE w:val="0"/>
        <w:autoSpaceDN w:val="0"/>
        <w:adjustRightInd w:val="0"/>
        <w:spacing w:before="0" w:beforeAutospacing="0" w:after="0" w:afterAutospacing="0" w:line="572" w:lineRule="exact"/>
        <w:ind w:left="0" w:right="0" w:firstLine="620" w:firstLineChars="200"/>
        <w:jc w:val="both"/>
        <w:rPr>
          <w:rFonts w:hint="default" w:ascii="Times New Roman" w:hAnsi="Times New Roman" w:eastAsia="仿宋_GB2312" w:cs="Times New Roman"/>
          <w:kern w:val="2"/>
          <w:sz w:val="32"/>
          <w:szCs w:val="32"/>
        </w:rPr>
      </w:pPr>
      <w:r>
        <w:rPr>
          <w:rFonts w:hint="eastAsia" w:ascii="仿宋_GB2312" w:hAnsi="Times New Roman" w:eastAsia="仿宋_GB2312" w:cs="仿宋_GB2312"/>
          <w:kern w:val="2"/>
          <w:sz w:val="32"/>
          <w:szCs w:val="32"/>
          <w:lang w:val="en-US" w:eastAsia="zh-CN" w:bidi="ar"/>
        </w:rPr>
        <w:t>郑某向一审法院起诉，请求判令：</w:t>
      </w:r>
      <w:r>
        <w:rPr>
          <w:rFonts w:hint="default" w:ascii="Times New Roman" w:hAnsi="Times New Roman" w:eastAsia="仿宋_GB2312" w:cs="Times New Roman"/>
          <w:kern w:val="2"/>
          <w:sz w:val="32"/>
          <w:szCs w:val="32"/>
          <w:lang w:val="en-US" w:eastAsia="zh-CN" w:bidi="ar"/>
        </w:rPr>
        <w:t>1.</w:t>
      </w:r>
      <w:r>
        <w:rPr>
          <w:rFonts w:hint="eastAsia" w:ascii="仿宋_GB2312" w:hAnsi="Times New Roman" w:eastAsia="仿宋_GB2312" w:cs="仿宋_GB2312"/>
          <w:kern w:val="2"/>
          <w:sz w:val="32"/>
          <w:szCs w:val="32"/>
          <w:lang w:val="en-US" w:eastAsia="zh-CN" w:bidi="ar"/>
        </w:rPr>
        <w:t>嘉某公司立即停止侵害郑某名称为</w:t>
      </w:r>
      <w:r>
        <w:rPr>
          <w:rFonts w:hint="default" w:ascii="Times New Roman" w:hAnsi="Times New Roman" w:eastAsia="仿宋_GB2312" w:cs="Times New Roman"/>
          <w:kern w:val="2"/>
          <w:sz w:val="32"/>
          <w:szCs w:val="32"/>
          <w:lang w:val="en-US" w:eastAsia="zh-CN" w:bidi="ar"/>
        </w:rPr>
        <w:t>“</w:t>
      </w:r>
      <w:r>
        <w:rPr>
          <w:rFonts w:hint="eastAsia" w:ascii="仿宋_GB2312" w:hAnsi="Times New Roman" w:eastAsia="仿宋_GB2312" w:cs="仿宋_GB2312"/>
          <w:kern w:val="2"/>
          <w:sz w:val="32"/>
          <w:szCs w:val="32"/>
          <w:lang w:val="en-US" w:eastAsia="zh-CN" w:bidi="ar"/>
        </w:rPr>
        <w:t>收纳架（</w:t>
      </w:r>
      <w:r>
        <w:rPr>
          <w:rFonts w:hint="default" w:ascii="Times New Roman" w:hAnsi="Times New Roman" w:eastAsia="仿宋_GB2312" w:cs="Times New Roman"/>
          <w:kern w:val="2"/>
          <w:sz w:val="32"/>
          <w:szCs w:val="32"/>
          <w:lang w:val="en-US" w:eastAsia="zh-CN" w:bidi="ar"/>
        </w:rPr>
        <w:t>2108</w:t>
      </w:r>
      <w:r>
        <w:rPr>
          <w:rFonts w:hint="eastAsia" w:ascii="仿宋_GB2312" w:hAnsi="Times New Roman" w:eastAsia="仿宋_GB2312" w:cs="仿宋_GB2312"/>
          <w:kern w:val="2"/>
          <w:sz w:val="32"/>
          <w:szCs w:val="32"/>
          <w:lang w:val="en-US" w:eastAsia="zh-CN" w:bidi="ar"/>
        </w:rPr>
        <w:t>）</w:t>
      </w:r>
      <w:r>
        <w:rPr>
          <w:rFonts w:hint="default" w:ascii="Times New Roman" w:hAnsi="Times New Roman" w:eastAsia="仿宋_GB2312" w:cs="Times New Roman"/>
          <w:kern w:val="2"/>
          <w:sz w:val="32"/>
          <w:szCs w:val="32"/>
          <w:lang w:val="en-US" w:eastAsia="zh-CN" w:bidi="ar"/>
        </w:rPr>
        <w:t>”</w:t>
      </w:r>
      <w:r>
        <w:rPr>
          <w:rFonts w:hint="eastAsia" w:ascii="仿宋_GB2312" w:hAnsi="Times New Roman" w:eastAsia="仿宋_GB2312" w:cs="仿宋_GB2312"/>
          <w:kern w:val="2"/>
          <w:sz w:val="32"/>
          <w:szCs w:val="32"/>
          <w:lang w:val="en-US" w:eastAsia="zh-CN" w:bidi="ar"/>
        </w:rPr>
        <w:t>、专利号为</w:t>
      </w:r>
      <w:r>
        <w:rPr>
          <w:rFonts w:hint="default" w:ascii="Times New Roman" w:hAnsi="Times New Roman" w:eastAsia="仿宋_GB2312" w:cs="Times New Roman"/>
          <w:kern w:val="2"/>
          <w:sz w:val="32"/>
          <w:szCs w:val="32"/>
          <w:lang w:val="en-US" w:eastAsia="zh-CN" w:bidi="ar"/>
        </w:rPr>
        <w:t>ZL2021xxxx54079</w:t>
      </w:r>
      <w:r>
        <w:rPr>
          <w:rFonts w:hint="eastAsia" w:ascii="仿宋_GB2312" w:hAnsi="Times New Roman" w:eastAsia="仿宋_GB2312" w:cs="仿宋_GB2312"/>
          <w:kern w:val="2"/>
          <w:sz w:val="32"/>
          <w:szCs w:val="32"/>
          <w:lang w:val="en-US" w:eastAsia="zh-CN" w:bidi="ar"/>
        </w:rPr>
        <w:t>的外观设计专利权的行为，即立即停止生产、销售、许诺销售行为；</w:t>
      </w:r>
      <w:r>
        <w:rPr>
          <w:rFonts w:hint="default" w:ascii="Times New Roman" w:hAnsi="Times New Roman" w:eastAsia="仿宋_GB2312" w:cs="Times New Roman"/>
          <w:kern w:val="2"/>
          <w:sz w:val="32"/>
          <w:szCs w:val="32"/>
          <w:lang w:val="en-US" w:eastAsia="zh-CN" w:bidi="ar"/>
        </w:rPr>
        <w:t>2.</w:t>
      </w:r>
      <w:r>
        <w:rPr>
          <w:rFonts w:hint="eastAsia" w:ascii="仿宋_GB2312" w:hAnsi="Times New Roman" w:eastAsia="仿宋_GB2312" w:cs="仿宋_GB2312"/>
          <w:kern w:val="2"/>
          <w:sz w:val="32"/>
          <w:szCs w:val="32"/>
          <w:lang w:val="en-US" w:eastAsia="zh-CN" w:bidi="ar"/>
        </w:rPr>
        <w:t>嘉某公司赔偿郑某经济损失及维权合理费用共计</w:t>
      </w:r>
      <w:r>
        <w:rPr>
          <w:rFonts w:hint="default" w:ascii="Times New Roman" w:hAnsi="Times New Roman" w:eastAsia="仿宋_GB2312" w:cs="Times New Roman"/>
          <w:kern w:val="2"/>
          <w:sz w:val="32"/>
          <w:szCs w:val="32"/>
          <w:lang w:val="en-US" w:eastAsia="zh-CN" w:bidi="ar"/>
        </w:rPr>
        <w:t>5</w:t>
      </w:r>
      <w:r>
        <w:rPr>
          <w:rFonts w:hint="eastAsia" w:ascii="仿宋_GB2312" w:hAnsi="Times New Roman" w:eastAsia="仿宋_GB2312" w:cs="仿宋_GB2312"/>
          <w:kern w:val="2"/>
          <w:sz w:val="32"/>
          <w:szCs w:val="32"/>
          <w:lang w:val="en-US" w:eastAsia="zh-CN" w:bidi="ar"/>
        </w:rPr>
        <w:t>万元；</w:t>
      </w:r>
      <w:r>
        <w:rPr>
          <w:rFonts w:hint="default" w:ascii="Times New Roman" w:hAnsi="Times New Roman" w:eastAsia="仿宋_GB2312" w:cs="Times New Roman"/>
          <w:kern w:val="2"/>
          <w:sz w:val="32"/>
          <w:szCs w:val="32"/>
          <w:lang w:val="en-US" w:eastAsia="zh-CN" w:bidi="ar"/>
        </w:rPr>
        <w:t>3.</w:t>
      </w:r>
      <w:r>
        <w:rPr>
          <w:rFonts w:hint="eastAsia" w:ascii="仿宋_GB2312" w:hAnsi="Times New Roman" w:eastAsia="仿宋_GB2312" w:cs="仿宋_GB2312"/>
          <w:kern w:val="2"/>
          <w:sz w:val="32"/>
          <w:szCs w:val="32"/>
          <w:lang w:val="en-US" w:eastAsia="zh-CN" w:bidi="ar"/>
        </w:rPr>
        <w:t>王某甲对嘉某公司的上述赔偿承担连带责任；</w:t>
      </w:r>
      <w:r>
        <w:rPr>
          <w:rFonts w:hint="default" w:ascii="Times New Roman" w:hAnsi="Times New Roman" w:eastAsia="仿宋_GB2312" w:cs="Times New Roman"/>
          <w:kern w:val="2"/>
          <w:sz w:val="32"/>
          <w:szCs w:val="32"/>
          <w:lang w:val="en-US" w:eastAsia="zh-CN" w:bidi="ar"/>
        </w:rPr>
        <w:t>4.</w:t>
      </w:r>
      <w:r>
        <w:rPr>
          <w:rFonts w:hint="eastAsia" w:ascii="仿宋_GB2312" w:hAnsi="Times New Roman" w:eastAsia="仿宋_GB2312" w:cs="仿宋_GB2312"/>
          <w:kern w:val="2"/>
          <w:sz w:val="32"/>
          <w:szCs w:val="32"/>
          <w:lang w:val="en-US" w:eastAsia="zh-CN" w:bidi="ar"/>
        </w:rPr>
        <w:t>嘉某公司、王某甲承担本案诉讼费用。</w:t>
      </w:r>
    </w:p>
    <w:p>
      <w:pPr>
        <w:keepNext w:val="0"/>
        <w:keepLines w:val="0"/>
        <w:widowControl w:val="0"/>
        <w:suppressLineNumbers w:val="0"/>
        <w:autoSpaceDE w:val="0"/>
        <w:autoSpaceDN w:val="0"/>
        <w:adjustRightInd w:val="0"/>
        <w:spacing w:before="0" w:beforeAutospacing="0" w:after="0" w:afterAutospacing="0" w:line="572" w:lineRule="exact"/>
        <w:ind w:left="0" w:right="0" w:firstLine="620" w:firstLineChars="200"/>
        <w:jc w:val="both"/>
        <w:rPr>
          <w:rFonts w:hint="default" w:ascii="Times New Roman" w:hAnsi="Times New Roman" w:eastAsia="仿宋_GB2312" w:cs="Times New Roman"/>
          <w:kern w:val="2"/>
          <w:sz w:val="32"/>
          <w:szCs w:val="32"/>
        </w:rPr>
      </w:pPr>
      <w:r>
        <w:rPr>
          <w:rFonts w:hint="eastAsia" w:ascii="仿宋_GB2312" w:hAnsi="Times New Roman" w:eastAsia="仿宋_GB2312" w:cs="仿宋_GB2312"/>
          <w:kern w:val="2"/>
          <w:sz w:val="32"/>
          <w:szCs w:val="32"/>
          <w:lang w:val="en-US" w:eastAsia="zh-CN" w:bidi="ar"/>
        </w:rPr>
        <w:t>一审法院认定事实：郑某系专利号为</w:t>
      </w:r>
      <w:r>
        <w:rPr>
          <w:rFonts w:hint="default" w:ascii="Times New Roman" w:hAnsi="Times New Roman" w:eastAsia="仿宋_GB2312" w:cs="Times New Roman"/>
          <w:kern w:val="2"/>
          <w:sz w:val="32"/>
          <w:szCs w:val="32"/>
          <w:lang w:val="en-US" w:eastAsia="zh-CN" w:bidi="ar"/>
        </w:rPr>
        <w:t>ZL2021xxxx54079</w:t>
      </w:r>
      <w:r>
        <w:rPr>
          <w:rFonts w:hint="eastAsia" w:ascii="仿宋_GB2312" w:hAnsi="Times New Roman" w:eastAsia="仿宋_GB2312" w:cs="仿宋_GB2312"/>
          <w:kern w:val="2"/>
          <w:sz w:val="32"/>
          <w:szCs w:val="32"/>
          <w:lang w:val="en-US" w:eastAsia="zh-CN" w:bidi="ar"/>
        </w:rPr>
        <w:t>、名称为</w:t>
      </w:r>
      <w:r>
        <w:rPr>
          <w:rFonts w:hint="default" w:ascii="Times New Roman" w:hAnsi="Times New Roman" w:eastAsia="仿宋_GB2312" w:cs="Times New Roman"/>
          <w:kern w:val="2"/>
          <w:sz w:val="32"/>
          <w:szCs w:val="32"/>
          <w:lang w:val="en-US" w:eastAsia="zh-CN" w:bidi="ar"/>
        </w:rPr>
        <w:t>“</w:t>
      </w:r>
      <w:r>
        <w:rPr>
          <w:rFonts w:hint="eastAsia" w:ascii="仿宋_GB2312" w:hAnsi="Times New Roman" w:eastAsia="仿宋_GB2312" w:cs="仿宋_GB2312"/>
          <w:kern w:val="2"/>
          <w:sz w:val="32"/>
          <w:szCs w:val="32"/>
          <w:lang w:val="en-US" w:eastAsia="zh-CN" w:bidi="ar"/>
        </w:rPr>
        <w:t>收纳架（</w:t>
      </w:r>
      <w:r>
        <w:rPr>
          <w:rFonts w:hint="default" w:ascii="Times New Roman" w:hAnsi="Times New Roman" w:eastAsia="仿宋_GB2312" w:cs="Times New Roman"/>
          <w:kern w:val="2"/>
          <w:sz w:val="32"/>
          <w:szCs w:val="32"/>
          <w:lang w:val="en-US" w:eastAsia="zh-CN" w:bidi="ar"/>
        </w:rPr>
        <w:t>2108</w:t>
      </w:r>
      <w:r>
        <w:rPr>
          <w:rFonts w:hint="eastAsia" w:ascii="仿宋_GB2312" w:hAnsi="Times New Roman" w:eastAsia="仿宋_GB2312" w:cs="仿宋_GB2312"/>
          <w:kern w:val="2"/>
          <w:sz w:val="32"/>
          <w:szCs w:val="32"/>
          <w:lang w:val="en-US" w:eastAsia="zh-CN" w:bidi="ar"/>
        </w:rPr>
        <w:t>）</w:t>
      </w:r>
      <w:r>
        <w:rPr>
          <w:rFonts w:hint="default" w:ascii="Times New Roman" w:hAnsi="Times New Roman" w:eastAsia="仿宋_GB2312" w:cs="Times New Roman"/>
          <w:kern w:val="2"/>
          <w:sz w:val="32"/>
          <w:szCs w:val="32"/>
          <w:lang w:val="en-US" w:eastAsia="zh-CN" w:bidi="ar"/>
        </w:rPr>
        <w:t>”</w:t>
      </w:r>
      <w:r>
        <w:rPr>
          <w:rFonts w:hint="eastAsia" w:ascii="仿宋_GB2312" w:hAnsi="Times New Roman" w:eastAsia="仿宋_GB2312" w:cs="仿宋_GB2312"/>
          <w:kern w:val="2"/>
          <w:sz w:val="32"/>
          <w:szCs w:val="32"/>
          <w:lang w:val="en-US" w:eastAsia="zh-CN" w:bidi="ar"/>
        </w:rPr>
        <w:t>的外观设计专利权人，专利申请日为</w:t>
      </w:r>
      <w:r>
        <w:rPr>
          <w:rFonts w:hint="default" w:ascii="Times New Roman" w:hAnsi="Times New Roman" w:eastAsia="仿宋_GB2312" w:cs="Times New Roman"/>
          <w:kern w:val="2"/>
          <w:sz w:val="32"/>
          <w:szCs w:val="32"/>
          <w:lang w:val="en-US" w:eastAsia="zh-CN" w:bidi="ar"/>
        </w:rPr>
        <w:t>2021</w:t>
      </w:r>
      <w:r>
        <w:rPr>
          <w:rFonts w:hint="eastAsia" w:ascii="仿宋_GB2312" w:hAnsi="Times New Roman" w:eastAsia="仿宋_GB2312" w:cs="仿宋_GB2312"/>
          <w:kern w:val="2"/>
          <w:sz w:val="32"/>
          <w:szCs w:val="32"/>
          <w:lang w:val="en-US" w:eastAsia="zh-CN" w:bidi="ar"/>
        </w:rPr>
        <w:t>年</w:t>
      </w:r>
      <w:r>
        <w:rPr>
          <w:rFonts w:hint="default" w:ascii="Times New Roman" w:hAnsi="Times New Roman" w:eastAsia="仿宋_GB2312" w:cs="Times New Roman"/>
          <w:kern w:val="2"/>
          <w:sz w:val="32"/>
          <w:szCs w:val="32"/>
          <w:lang w:val="en-US" w:eastAsia="zh-CN" w:bidi="ar"/>
        </w:rPr>
        <w:t>8</w:t>
      </w:r>
      <w:r>
        <w:rPr>
          <w:rFonts w:hint="eastAsia" w:ascii="仿宋_GB2312" w:hAnsi="Times New Roman" w:eastAsia="仿宋_GB2312" w:cs="仿宋_GB2312"/>
          <w:kern w:val="2"/>
          <w:sz w:val="32"/>
          <w:szCs w:val="32"/>
          <w:lang w:val="en-US" w:eastAsia="zh-CN" w:bidi="ar"/>
        </w:rPr>
        <w:t>月</w:t>
      </w:r>
      <w:r>
        <w:rPr>
          <w:rFonts w:hint="default" w:ascii="Times New Roman" w:hAnsi="Times New Roman" w:eastAsia="仿宋_GB2312" w:cs="Times New Roman"/>
          <w:kern w:val="2"/>
          <w:sz w:val="32"/>
          <w:szCs w:val="32"/>
          <w:lang w:val="en-US" w:eastAsia="zh-CN" w:bidi="ar"/>
        </w:rPr>
        <w:t>10</w:t>
      </w:r>
      <w:r>
        <w:rPr>
          <w:rFonts w:hint="eastAsia" w:ascii="仿宋_GB2312" w:hAnsi="Times New Roman" w:eastAsia="仿宋_GB2312" w:cs="仿宋_GB2312"/>
          <w:kern w:val="2"/>
          <w:sz w:val="32"/>
          <w:szCs w:val="32"/>
          <w:lang w:val="en-US" w:eastAsia="zh-CN" w:bidi="ar"/>
        </w:rPr>
        <w:t>日，授权公告日为同年</w:t>
      </w:r>
      <w:r>
        <w:rPr>
          <w:rFonts w:hint="default" w:ascii="Times New Roman" w:hAnsi="Times New Roman" w:eastAsia="仿宋_GB2312" w:cs="Times New Roman"/>
          <w:kern w:val="2"/>
          <w:sz w:val="32"/>
          <w:szCs w:val="32"/>
          <w:lang w:val="en-US" w:eastAsia="zh-CN" w:bidi="ar"/>
        </w:rPr>
        <w:t>11</w:t>
      </w:r>
      <w:r>
        <w:rPr>
          <w:rFonts w:hint="eastAsia" w:ascii="仿宋_GB2312" w:hAnsi="Times New Roman" w:eastAsia="仿宋_GB2312" w:cs="仿宋_GB2312"/>
          <w:kern w:val="2"/>
          <w:sz w:val="32"/>
          <w:szCs w:val="32"/>
          <w:lang w:val="en-US" w:eastAsia="zh-CN" w:bidi="ar"/>
        </w:rPr>
        <w:t>月</w:t>
      </w:r>
      <w:r>
        <w:rPr>
          <w:rFonts w:hint="default" w:ascii="Times New Roman" w:hAnsi="Times New Roman" w:eastAsia="仿宋_GB2312" w:cs="Times New Roman"/>
          <w:kern w:val="2"/>
          <w:sz w:val="32"/>
          <w:szCs w:val="32"/>
          <w:lang w:val="en-US" w:eastAsia="zh-CN" w:bidi="ar"/>
        </w:rPr>
        <w:t>19</w:t>
      </w:r>
      <w:r>
        <w:rPr>
          <w:rFonts w:hint="eastAsia" w:ascii="仿宋_GB2312" w:hAnsi="Times New Roman" w:eastAsia="仿宋_GB2312" w:cs="仿宋_GB2312"/>
          <w:kern w:val="2"/>
          <w:sz w:val="32"/>
          <w:szCs w:val="32"/>
          <w:lang w:val="en-US" w:eastAsia="zh-CN" w:bidi="ar"/>
        </w:rPr>
        <w:t>日，专利年费按期缴纳。专利证书的简要说明记载，该外观设计产品用于收纳各种大大小小的家居用品，设计要点在于形状，最能表明设计要点的图片或照片是设计</w:t>
      </w:r>
      <w:r>
        <w:rPr>
          <w:rFonts w:hint="default" w:ascii="Times New Roman" w:hAnsi="Times New Roman" w:eastAsia="仿宋_GB2312" w:cs="Times New Roman"/>
          <w:kern w:val="2"/>
          <w:sz w:val="32"/>
          <w:szCs w:val="32"/>
          <w:lang w:val="en-US" w:eastAsia="zh-CN" w:bidi="ar"/>
        </w:rPr>
        <w:t>1</w:t>
      </w:r>
      <w:r>
        <w:rPr>
          <w:rFonts w:hint="eastAsia" w:ascii="仿宋_GB2312" w:hAnsi="Times New Roman" w:eastAsia="仿宋_GB2312" w:cs="仿宋_GB2312"/>
          <w:kern w:val="2"/>
          <w:sz w:val="32"/>
          <w:szCs w:val="32"/>
          <w:lang w:val="en-US" w:eastAsia="zh-CN" w:bidi="ar"/>
        </w:rPr>
        <w:t>立体图，底面为使用时不容易看到或看不到的部位，省略设计</w:t>
      </w:r>
      <w:r>
        <w:rPr>
          <w:rFonts w:hint="default" w:ascii="Times New Roman" w:hAnsi="Times New Roman" w:eastAsia="仿宋_GB2312" w:cs="Times New Roman"/>
          <w:kern w:val="2"/>
          <w:sz w:val="32"/>
          <w:szCs w:val="32"/>
          <w:lang w:val="en-US" w:eastAsia="zh-CN" w:bidi="ar"/>
        </w:rPr>
        <w:t>1-3</w:t>
      </w:r>
      <w:r>
        <w:rPr>
          <w:rFonts w:hint="eastAsia" w:ascii="仿宋_GB2312" w:hAnsi="Times New Roman" w:eastAsia="仿宋_GB2312" w:cs="仿宋_GB2312"/>
          <w:kern w:val="2"/>
          <w:sz w:val="32"/>
          <w:szCs w:val="32"/>
          <w:lang w:val="en-US" w:eastAsia="zh-CN" w:bidi="ar"/>
        </w:rPr>
        <w:t>的仰视图，指定设计</w:t>
      </w:r>
      <w:r>
        <w:rPr>
          <w:rFonts w:hint="default" w:ascii="Times New Roman" w:hAnsi="Times New Roman" w:eastAsia="仿宋_GB2312" w:cs="Times New Roman"/>
          <w:kern w:val="2"/>
          <w:sz w:val="32"/>
          <w:szCs w:val="32"/>
          <w:lang w:val="en-US" w:eastAsia="zh-CN" w:bidi="ar"/>
        </w:rPr>
        <w:t>1</w:t>
      </w:r>
      <w:r>
        <w:rPr>
          <w:rFonts w:hint="eastAsia" w:ascii="仿宋_GB2312" w:hAnsi="Times New Roman" w:eastAsia="仿宋_GB2312" w:cs="仿宋_GB2312"/>
          <w:kern w:val="2"/>
          <w:sz w:val="32"/>
          <w:szCs w:val="32"/>
          <w:lang w:val="en-US" w:eastAsia="zh-CN" w:bidi="ar"/>
        </w:rPr>
        <w:t>为基本设计，其中设计</w:t>
      </w:r>
      <w:r>
        <w:rPr>
          <w:rFonts w:hint="default" w:ascii="Times New Roman" w:hAnsi="Times New Roman" w:eastAsia="仿宋_GB2312" w:cs="Times New Roman"/>
          <w:kern w:val="2"/>
          <w:sz w:val="32"/>
          <w:szCs w:val="32"/>
          <w:lang w:val="en-US" w:eastAsia="zh-CN" w:bidi="ar"/>
        </w:rPr>
        <w:t>1</w:t>
      </w:r>
      <w:r>
        <w:rPr>
          <w:rFonts w:hint="eastAsia" w:ascii="仿宋_GB2312" w:hAnsi="Times New Roman" w:eastAsia="仿宋_GB2312" w:cs="仿宋_GB2312"/>
          <w:kern w:val="2"/>
          <w:sz w:val="32"/>
          <w:szCs w:val="32"/>
          <w:lang w:val="en-US" w:eastAsia="zh-CN" w:bidi="ar"/>
        </w:rPr>
        <w:t>中部件</w:t>
      </w:r>
      <w:r>
        <w:rPr>
          <w:rFonts w:hint="default" w:ascii="Times New Roman" w:hAnsi="Times New Roman" w:eastAsia="仿宋_GB2312" w:cs="Times New Roman"/>
          <w:kern w:val="2"/>
          <w:sz w:val="32"/>
          <w:szCs w:val="32"/>
          <w:lang w:val="en-US" w:eastAsia="zh-CN" w:bidi="ar"/>
        </w:rPr>
        <w:t>B</w:t>
      </w:r>
      <w:r>
        <w:rPr>
          <w:rFonts w:hint="eastAsia" w:ascii="仿宋_GB2312" w:hAnsi="Times New Roman" w:eastAsia="仿宋_GB2312" w:cs="仿宋_GB2312"/>
          <w:kern w:val="2"/>
          <w:sz w:val="32"/>
          <w:szCs w:val="32"/>
          <w:lang w:val="en-US" w:eastAsia="zh-CN" w:bidi="ar"/>
        </w:rPr>
        <w:t>采用透明材质。</w:t>
      </w:r>
      <w:r>
        <w:rPr>
          <w:rFonts w:hint="default" w:ascii="Times New Roman" w:hAnsi="Times New Roman" w:eastAsia="仿宋_GB2312" w:cs="Times New Roman"/>
          <w:kern w:val="2"/>
          <w:sz w:val="32"/>
          <w:szCs w:val="32"/>
          <w:lang w:val="en-US" w:eastAsia="zh-CN" w:bidi="ar"/>
        </w:rPr>
        <w:t>2023</w:t>
      </w:r>
      <w:r>
        <w:rPr>
          <w:rFonts w:hint="eastAsia" w:ascii="仿宋_GB2312" w:hAnsi="Times New Roman" w:eastAsia="仿宋_GB2312" w:cs="仿宋_GB2312"/>
          <w:kern w:val="2"/>
          <w:sz w:val="32"/>
          <w:szCs w:val="32"/>
          <w:lang w:val="en-US" w:eastAsia="zh-CN" w:bidi="ar"/>
        </w:rPr>
        <w:t>年</w:t>
      </w:r>
      <w:r>
        <w:rPr>
          <w:rFonts w:hint="default" w:ascii="Times New Roman" w:hAnsi="Times New Roman" w:eastAsia="仿宋_GB2312" w:cs="Times New Roman"/>
          <w:kern w:val="2"/>
          <w:sz w:val="32"/>
          <w:szCs w:val="32"/>
          <w:lang w:val="en-US" w:eastAsia="zh-CN" w:bidi="ar"/>
        </w:rPr>
        <w:t>7</w:t>
      </w:r>
      <w:r>
        <w:rPr>
          <w:rFonts w:hint="eastAsia" w:ascii="仿宋_GB2312" w:hAnsi="Times New Roman" w:eastAsia="仿宋_GB2312" w:cs="仿宋_GB2312"/>
          <w:kern w:val="2"/>
          <w:sz w:val="32"/>
          <w:szCs w:val="32"/>
          <w:lang w:val="en-US" w:eastAsia="zh-CN" w:bidi="ar"/>
        </w:rPr>
        <w:t>月</w:t>
      </w:r>
      <w:r>
        <w:rPr>
          <w:rFonts w:hint="default" w:ascii="Times New Roman" w:hAnsi="Times New Roman" w:eastAsia="仿宋_GB2312" w:cs="Times New Roman"/>
          <w:kern w:val="2"/>
          <w:sz w:val="32"/>
          <w:szCs w:val="32"/>
          <w:lang w:val="en-US" w:eastAsia="zh-CN" w:bidi="ar"/>
        </w:rPr>
        <w:t>5</w:t>
      </w:r>
      <w:r>
        <w:rPr>
          <w:rFonts w:hint="eastAsia" w:ascii="仿宋_GB2312" w:hAnsi="Times New Roman" w:eastAsia="仿宋_GB2312" w:cs="仿宋_GB2312"/>
          <w:kern w:val="2"/>
          <w:sz w:val="32"/>
          <w:szCs w:val="32"/>
          <w:lang w:val="en-US" w:eastAsia="zh-CN" w:bidi="ar"/>
        </w:rPr>
        <w:t>日，国家知识产权局就该外观设计专利权出具评价报告，初步结论为</w:t>
      </w:r>
      <w:r>
        <w:rPr>
          <w:rFonts w:hint="default" w:ascii="Times New Roman" w:hAnsi="Times New Roman" w:eastAsia="仿宋_GB2312" w:cs="Times New Roman"/>
          <w:kern w:val="2"/>
          <w:sz w:val="32"/>
          <w:szCs w:val="32"/>
          <w:lang w:val="en-US" w:eastAsia="zh-CN" w:bidi="ar"/>
        </w:rPr>
        <w:t>“</w:t>
      </w:r>
      <w:r>
        <w:rPr>
          <w:rFonts w:hint="eastAsia" w:ascii="仿宋_GB2312" w:hAnsi="Times New Roman" w:eastAsia="仿宋_GB2312" w:cs="仿宋_GB2312"/>
          <w:kern w:val="2"/>
          <w:sz w:val="32"/>
          <w:szCs w:val="32"/>
          <w:lang w:val="en-US" w:eastAsia="zh-CN" w:bidi="ar"/>
        </w:rPr>
        <w:t>全部外观设计未发现存在不符合授予专利权条件的缺陷</w:t>
      </w:r>
      <w:r>
        <w:rPr>
          <w:rFonts w:hint="default" w:ascii="Times New Roman" w:hAnsi="Times New Roman" w:eastAsia="仿宋_GB2312" w:cs="Times New Roman"/>
          <w:kern w:val="2"/>
          <w:sz w:val="32"/>
          <w:szCs w:val="32"/>
          <w:lang w:val="en-US" w:eastAsia="zh-CN" w:bidi="ar"/>
        </w:rPr>
        <w:t>”</w:t>
      </w:r>
      <w:r>
        <w:rPr>
          <w:rFonts w:hint="eastAsia" w:ascii="仿宋_GB2312" w:hAnsi="Times New Roman" w:eastAsia="仿宋_GB2312" w:cs="仿宋_GB2312"/>
          <w:kern w:val="2"/>
          <w:sz w:val="32"/>
          <w:szCs w:val="32"/>
          <w:lang w:val="en-US" w:eastAsia="zh-CN" w:bidi="ar"/>
        </w:rPr>
        <w:t>。</w:t>
      </w:r>
    </w:p>
    <w:p>
      <w:pPr>
        <w:keepNext w:val="0"/>
        <w:keepLines w:val="0"/>
        <w:widowControl w:val="0"/>
        <w:suppressLineNumbers w:val="0"/>
        <w:autoSpaceDE w:val="0"/>
        <w:autoSpaceDN w:val="0"/>
        <w:adjustRightInd w:val="0"/>
        <w:spacing w:before="0" w:beforeAutospacing="0" w:after="0" w:afterAutospacing="0" w:line="572" w:lineRule="exact"/>
        <w:ind w:left="0" w:right="0" w:firstLine="620" w:firstLineChars="200"/>
        <w:jc w:val="both"/>
        <w:rPr>
          <w:rFonts w:hint="default" w:ascii="Times New Roman" w:hAnsi="Times New Roman" w:eastAsia="仿宋_GB2312" w:cs="Times New Roman"/>
          <w:kern w:val="2"/>
          <w:sz w:val="32"/>
          <w:szCs w:val="32"/>
        </w:rPr>
      </w:pPr>
      <w:r>
        <w:rPr>
          <w:rFonts w:hint="eastAsia" w:ascii="仿宋_GB2312" w:hAnsi="Times New Roman" w:eastAsia="仿宋_GB2312" w:cs="仿宋_GB2312"/>
          <w:kern w:val="2"/>
          <w:sz w:val="32"/>
          <w:szCs w:val="32"/>
          <w:lang w:val="en-US" w:eastAsia="zh-CN" w:bidi="ar"/>
        </w:rPr>
        <w:t>根据浙江省台州市合信公证处出具的（</w:t>
      </w:r>
      <w:r>
        <w:rPr>
          <w:rFonts w:hint="default" w:ascii="Times New Roman" w:hAnsi="Times New Roman" w:eastAsia="仿宋_GB2312" w:cs="Times New Roman"/>
          <w:kern w:val="2"/>
          <w:sz w:val="32"/>
          <w:szCs w:val="32"/>
          <w:lang w:val="en-US" w:eastAsia="zh-CN" w:bidi="ar"/>
        </w:rPr>
        <w:t>2024</w:t>
      </w:r>
      <w:r>
        <w:rPr>
          <w:rFonts w:hint="eastAsia" w:ascii="仿宋_GB2312" w:hAnsi="Times New Roman" w:eastAsia="仿宋_GB2312" w:cs="仿宋_GB2312"/>
          <w:kern w:val="2"/>
          <w:sz w:val="32"/>
          <w:szCs w:val="32"/>
          <w:lang w:val="en-US" w:eastAsia="zh-CN" w:bidi="ar"/>
        </w:rPr>
        <w:t>）浙台合证字第</w:t>
      </w:r>
      <w:r>
        <w:rPr>
          <w:rFonts w:hint="default" w:ascii="Times New Roman" w:hAnsi="Times New Roman" w:eastAsia="仿宋_GB2312" w:cs="Times New Roman"/>
          <w:kern w:val="2"/>
          <w:sz w:val="32"/>
          <w:szCs w:val="32"/>
          <w:lang w:val="en-US" w:eastAsia="zh-CN" w:bidi="ar"/>
        </w:rPr>
        <w:t>3341</w:t>
      </w:r>
      <w:r>
        <w:rPr>
          <w:rFonts w:hint="eastAsia" w:ascii="仿宋_GB2312" w:hAnsi="Times New Roman" w:eastAsia="仿宋_GB2312" w:cs="仿宋_GB2312"/>
          <w:kern w:val="2"/>
          <w:sz w:val="32"/>
          <w:szCs w:val="32"/>
          <w:lang w:val="en-US" w:eastAsia="zh-CN" w:bidi="ar"/>
        </w:rPr>
        <w:t>号公证书记载：</w:t>
      </w:r>
      <w:r>
        <w:rPr>
          <w:rFonts w:hint="default" w:ascii="Times New Roman" w:hAnsi="Times New Roman" w:eastAsia="仿宋_GB2312" w:cs="Times New Roman"/>
          <w:kern w:val="2"/>
          <w:sz w:val="32"/>
          <w:szCs w:val="32"/>
          <w:lang w:val="en-US" w:eastAsia="zh-CN" w:bidi="ar"/>
        </w:rPr>
        <w:t>2024</w:t>
      </w:r>
      <w:r>
        <w:rPr>
          <w:rFonts w:hint="eastAsia" w:ascii="仿宋_GB2312" w:hAnsi="Times New Roman" w:eastAsia="仿宋_GB2312" w:cs="仿宋_GB2312"/>
          <w:kern w:val="2"/>
          <w:sz w:val="32"/>
          <w:szCs w:val="32"/>
          <w:lang w:val="en-US" w:eastAsia="zh-CN" w:bidi="ar"/>
        </w:rPr>
        <w:t>年</w:t>
      </w:r>
      <w:r>
        <w:rPr>
          <w:rFonts w:hint="default" w:ascii="Times New Roman" w:hAnsi="Times New Roman" w:eastAsia="仿宋_GB2312" w:cs="Times New Roman"/>
          <w:kern w:val="2"/>
          <w:sz w:val="32"/>
          <w:szCs w:val="32"/>
          <w:lang w:val="en-US" w:eastAsia="zh-CN" w:bidi="ar"/>
        </w:rPr>
        <w:t>6</w:t>
      </w:r>
      <w:r>
        <w:rPr>
          <w:rFonts w:hint="eastAsia" w:ascii="仿宋_GB2312" w:hAnsi="Times New Roman" w:eastAsia="仿宋_GB2312" w:cs="仿宋_GB2312"/>
          <w:kern w:val="2"/>
          <w:sz w:val="32"/>
          <w:szCs w:val="32"/>
          <w:lang w:val="en-US" w:eastAsia="zh-CN" w:bidi="ar"/>
        </w:rPr>
        <w:t>月</w:t>
      </w:r>
      <w:r>
        <w:rPr>
          <w:rFonts w:hint="default" w:ascii="Times New Roman" w:hAnsi="Times New Roman" w:eastAsia="仿宋_GB2312" w:cs="Times New Roman"/>
          <w:kern w:val="2"/>
          <w:sz w:val="32"/>
          <w:szCs w:val="32"/>
          <w:lang w:val="en-US" w:eastAsia="zh-CN" w:bidi="ar"/>
        </w:rPr>
        <w:t>13</w:t>
      </w:r>
      <w:r>
        <w:rPr>
          <w:rFonts w:hint="eastAsia" w:ascii="仿宋_GB2312" w:hAnsi="Times New Roman" w:eastAsia="仿宋_GB2312" w:cs="仿宋_GB2312"/>
          <w:kern w:val="2"/>
          <w:sz w:val="32"/>
          <w:szCs w:val="32"/>
          <w:lang w:val="en-US" w:eastAsia="zh-CN" w:bidi="ar"/>
        </w:rPr>
        <w:t>日，公证人员在台州市椒江区广场南路九号二楼代为签收了两件快递包裹，显示寄件人王某乙，并保管于公证处。次日，在公证人员现场监督下，郑某的委托代理人蒋某确认上述包裹系其网购所得，拆封快递包裹，取出全部物品并选择其中一套进行组装，查看完毕并封存后，公证人员将封装物交由蒋某保管。同日，蒋某使用公证处计算机登录</w:t>
      </w:r>
      <w:r>
        <w:rPr>
          <w:rFonts w:hint="default" w:ascii="Times New Roman" w:hAnsi="Times New Roman" w:eastAsia="仿宋_GB2312" w:cs="Times New Roman"/>
          <w:kern w:val="2"/>
          <w:sz w:val="32"/>
          <w:szCs w:val="32"/>
          <w:lang w:val="en-US" w:eastAsia="zh-CN" w:bidi="ar"/>
        </w:rPr>
        <w:t>“www.1688.com”</w:t>
      </w:r>
      <w:r>
        <w:rPr>
          <w:rFonts w:hint="eastAsia" w:ascii="仿宋_GB2312" w:hAnsi="Times New Roman" w:eastAsia="仿宋_GB2312" w:cs="仿宋_GB2312"/>
          <w:kern w:val="2"/>
          <w:sz w:val="32"/>
          <w:szCs w:val="32"/>
          <w:lang w:val="en-US" w:eastAsia="zh-CN" w:bidi="ar"/>
        </w:rPr>
        <w:t>网站中进入</w:t>
      </w:r>
      <w:r>
        <w:rPr>
          <w:rFonts w:hint="default" w:ascii="Times New Roman" w:hAnsi="Times New Roman" w:eastAsia="仿宋_GB2312" w:cs="Times New Roman"/>
          <w:kern w:val="2"/>
          <w:sz w:val="32"/>
          <w:szCs w:val="32"/>
          <w:lang w:val="en-US" w:eastAsia="zh-CN" w:bidi="ar"/>
        </w:rPr>
        <w:t>“</w:t>
      </w:r>
      <w:r>
        <w:rPr>
          <w:rFonts w:hint="eastAsia" w:ascii="仿宋_GB2312" w:hAnsi="Times New Roman" w:eastAsia="仿宋_GB2312" w:cs="仿宋_GB2312"/>
          <w:kern w:val="2"/>
          <w:sz w:val="32"/>
          <w:szCs w:val="32"/>
          <w:lang w:val="en-US" w:eastAsia="zh-CN" w:bidi="ar"/>
        </w:rPr>
        <w:t>我的阿里</w:t>
      </w:r>
      <w:r>
        <w:rPr>
          <w:rFonts w:hint="default" w:ascii="Times New Roman" w:hAnsi="Times New Roman" w:eastAsia="仿宋_GB2312" w:cs="Times New Roman"/>
          <w:kern w:val="2"/>
          <w:sz w:val="32"/>
          <w:szCs w:val="32"/>
          <w:lang w:val="en-US" w:eastAsia="zh-CN" w:bidi="ar"/>
        </w:rPr>
        <w:t>”</w:t>
      </w:r>
      <w:r>
        <w:rPr>
          <w:rFonts w:hint="eastAsia" w:ascii="仿宋_GB2312" w:hAnsi="Times New Roman" w:eastAsia="仿宋_GB2312" w:cs="仿宋_GB2312"/>
          <w:kern w:val="2"/>
          <w:sz w:val="32"/>
          <w:szCs w:val="32"/>
          <w:lang w:val="en-US" w:eastAsia="zh-CN" w:bidi="ar"/>
        </w:rPr>
        <w:t>项下</w:t>
      </w:r>
      <w:r>
        <w:rPr>
          <w:rFonts w:hint="default" w:ascii="Times New Roman" w:hAnsi="Times New Roman" w:eastAsia="仿宋_GB2312" w:cs="Times New Roman"/>
          <w:kern w:val="2"/>
          <w:sz w:val="32"/>
          <w:szCs w:val="32"/>
          <w:lang w:val="en-US" w:eastAsia="zh-CN" w:bidi="ar"/>
        </w:rPr>
        <w:t>“</w:t>
      </w:r>
      <w:r>
        <w:rPr>
          <w:rFonts w:hint="eastAsia" w:ascii="仿宋_GB2312" w:hAnsi="Times New Roman" w:eastAsia="仿宋_GB2312" w:cs="仿宋_GB2312"/>
          <w:kern w:val="2"/>
          <w:sz w:val="32"/>
          <w:szCs w:val="32"/>
          <w:lang w:val="en-US" w:eastAsia="zh-CN" w:bidi="ar"/>
        </w:rPr>
        <w:t>已买到货品</w:t>
      </w:r>
      <w:r>
        <w:rPr>
          <w:rFonts w:hint="default" w:ascii="Times New Roman" w:hAnsi="Times New Roman" w:eastAsia="仿宋_GB2312" w:cs="Times New Roman"/>
          <w:kern w:val="2"/>
          <w:sz w:val="32"/>
          <w:szCs w:val="32"/>
          <w:lang w:val="en-US" w:eastAsia="zh-CN" w:bidi="ar"/>
        </w:rPr>
        <w:t>”</w:t>
      </w:r>
      <w:r>
        <w:rPr>
          <w:rFonts w:hint="eastAsia" w:ascii="仿宋_GB2312" w:hAnsi="Times New Roman" w:eastAsia="仿宋_GB2312" w:cs="仿宋_GB2312"/>
          <w:kern w:val="2"/>
          <w:sz w:val="32"/>
          <w:szCs w:val="32"/>
          <w:lang w:val="en-US" w:eastAsia="zh-CN" w:bidi="ar"/>
        </w:rPr>
        <w:t>，搜索订单号为</w:t>
      </w:r>
      <w:r>
        <w:rPr>
          <w:rFonts w:hint="default" w:ascii="Times New Roman" w:hAnsi="Times New Roman" w:eastAsia="仿宋_GB2312" w:cs="Times New Roman"/>
          <w:kern w:val="2"/>
          <w:sz w:val="32"/>
          <w:szCs w:val="32"/>
          <w:lang w:val="en-US" w:eastAsia="zh-CN" w:bidi="ar"/>
        </w:rPr>
        <w:t>“2185073364738926688”</w:t>
      </w:r>
      <w:r>
        <w:rPr>
          <w:rFonts w:hint="eastAsia" w:ascii="仿宋_GB2312" w:hAnsi="Times New Roman" w:eastAsia="仿宋_GB2312" w:cs="仿宋_GB2312"/>
          <w:kern w:val="2"/>
          <w:sz w:val="32"/>
          <w:szCs w:val="32"/>
          <w:lang w:val="en-US" w:eastAsia="zh-CN" w:bidi="ar"/>
        </w:rPr>
        <w:t>的订单，查看上述订单所对应的订单详情，显示下单时间</w:t>
      </w:r>
      <w:r>
        <w:rPr>
          <w:rFonts w:hint="default" w:ascii="Times New Roman" w:hAnsi="Times New Roman" w:eastAsia="仿宋_GB2312" w:cs="Times New Roman"/>
          <w:kern w:val="2"/>
          <w:sz w:val="32"/>
          <w:szCs w:val="32"/>
          <w:lang w:val="en-US" w:eastAsia="zh-CN" w:bidi="ar"/>
        </w:rPr>
        <w:t>2024</w:t>
      </w:r>
      <w:r>
        <w:rPr>
          <w:rFonts w:hint="eastAsia" w:ascii="仿宋_GB2312" w:hAnsi="Times New Roman" w:eastAsia="仿宋_GB2312" w:cs="仿宋_GB2312"/>
          <w:kern w:val="2"/>
          <w:sz w:val="32"/>
          <w:szCs w:val="32"/>
          <w:lang w:val="en-US" w:eastAsia="zh-CN" w:bidi="ar"/>
        </w:rPr>
        <w:t>年</w:t>
      </w:r>
      <w:r>
        <w:rPr>
          <w:rFonts w:hint="default" w:ascii="Times New Roman" w:hAnsi="Times New Roman" w:eastAsia="仿宋_GB2312" w:cs="Times New Roman"/>
          <w:kern w:val="2"/>
          <w:sz w:val="32"/>
          <w:szCs w:val="32"/>
          <w:lang w:val="en-US" w:eastAsia="zh-CN" w:bidi="ar"/>
        </w:rPr>
        <w:t>6</w:t>
      </w:r>
      <w:r>
        <w:rPr>
          <w:rFonts w:hint="eastAsia" w:ascii="仿宋_GB2312" w:hAnsi="Times New Roman" w:eastAsia="仿宋_GB2312" w:cs="仿宋_GB2312"/>
          <w:kern w:val="2"/>
          <w:sz w:val="32"/>
          <w:szCs w:val="32"/>
          <w:lang w:val="en-US" w:eastAsia="zh-CN" w:bidi="ar"/>
        </w:rPr>
        <w:t>月</w:t>
      </w:r>
      <w:r>
        <w:rPr>
          <w:rFonts w:hint="default" w:ascii="Times New Roman" w:hAnsi="Times New Roman" w:eastAsia="仿宋_GB2312" w:cs="Times New Roman"/>
          <w:kern w:val="2"/>
          <w:sz w:val="32"/>
          <w:szCs w:val="32"/>
          <w:lang w:val="en-US" w:eastAsia="zh-CN" w:bidi="ar"/>
        </w:rPr>
        <w:t>9</w:t>
      </w:r>
      <w:r>
        <w:rPr>
          <w:rFonts w:hint="eastAsia" w:ascii="仿宋_GB2312" w:hAnsi="Times New Roman" w:eastAsia="仿宋_GB2312" w:cs="仿宋_GB2312"/>
          <w:kern w:val="2"/>
          <w:sz w:val="32"/>
          <w:szCs w:val="32"/>
          <w:lang w:val="en-US" w:eastAsia="zh-CN" w:bidi="ar"/>
        </w:rPr>
        <w:t>日，卖家为廊坊嘉某家居有限公司，店铺名称</w:t>
      </w:r>
      <w:r>
        <w:rPr>
          <w:rFonts w:hint="default" w:ascii="Times New Roman" w:hAnsi="Times New Roman" w:eastAsia="仿宋_GB2312" w:cs="Times New Roman"/>
          <w:kern w:val="2"/>
          <w:sz w:val="32"/>
          <w:szCs w:val="32"/>
          <w:lang w:val="en-US" w:eastAsia="zh-CN" w:bidi="ar"/>
        </w:rPr>
        <w:t>“</w:t>
      </w:r>
      <w:r>
        <w:rPr>
          <w:rFonts w:hint="eastAsia" w:ascii="仿宋_GB2312" w:hAnsi="Times New Roman" w:eastAsia="仿宋_GB2312" w:cs="仿宋_GB2312"/>
          <w:kern w:val="2"/>
          <w:sz w:val="32"/>
          <w:szCs w:val="32"/>
          <w:lang w:val="en-US" w:eastAsia="zh-CN" w:bidi="ar"/>
        </w:rPr>
        <w:t>廊坊嘉某家居有限公司</w:t>
      </w:r>
      <w:r>
        <w:rPr>
          <w:rFonts w:hint="default" w:ascii="Times New Roman" w:hAnsi="Times New Roman" w:eastAsia="仿宋_GB2312" w:cs="Times New Roman"/>
          <w:kern w:val="2"/>
          <w:sz w:val="32"/>
          <w:szCs w:val="32"/>
          <w:lang w:val="en-US" w:eastAsia="zh-CN" w:bidi="ar"/>
        </w:rPr>
        <w:t>”</w:t>
      </w:r>
      <w:r>
        <w:rPr>
          <w:rFonts w:hint="eastAsia" w:ascii="仿宋_GB2312" w:hAnsi="Times New Roman" w:eastAsia="仿宋_GB2312" w:cs="仿宋_GB2312"/>
          <w:kern w:val="2"/>
          <w:sz w:val="32"/>
          <w:szCs w:val="32"/>
          <w:lang w:val="en-US" w:eastAsia="zh-CN" w:bidi="ar"/>
        </w:rPr>
        <w:t>，订单中包含的颜色分类为</w:t>
      </w:r>
      <w:r>
        <w:rPr>
          <w:rFonts w:hint="default" w:ascii="Times New Roman" w:hAnsi="Times New Roman" w:eastAsia="仿宋_GB2312" w:cs="Times New Roman"/>
          <w:kern w:val="2"/>
          <w:sz w:val="32"/>
          <w:szCs w:val="32"/>
          <w:lang w:val="en-US" w:eastAsia="zh-CN" w:bidi="ar"/>
        </w:rPr>
        <w:t>“</w:t>
      </w:r>
      <w:r>
        <w:rPr>
          <w:rFonts w:hint="eastAsia" w:ascii="仿宋_GB2312" w:hAnsi="Times New Roman" w:eastAsia="仿宋_GB2312" w:cs="仿宋_GB2312"/>
          <w:kern w:val="2"/>
          <w:sz w:val="32"/>
          <w:szCs w:val="32"/>
          <w:lang w:val="en-US" w:eastAsia="zh-CN" w:bidi="ar"/>
        </w:rPr>
        <w:t>半透明抽屉</w:t>
      </w:r>
      <w:r>
        <w:rPr>
          <w:rFonts w:hint="default" w:ascii="Times New Roman" w:hAnsi="Times New Roman" w:eastAsia="仿宋_GB2312" w:cs="Times New Roman"/>
          <w:kern w:val="2"/>
          <w:sz w:val="32"/>
          <w:szCs w:val="32"/>
          <w:lang w:val="en-US" w:eastAsia="zh-CN" w:bidi="ar"/>
        </w:rPr>
        <w:t>-</w:t>
      </w:r>
      <w:r>
        <w:rPr>
          <w:rFonts w:hint="eastAsia" w:ascii="仿宋_GB2312" w:hAnsi="Times New Roman" w:eastAsia="仿宋_GB2312" w:cs="仿宋_GB2312"/>
          <w:kern w:val="2"/>
          <w:sz w:val="32"/>
          <w:szCs w:val="32"/>
          <w:lang w:val="en-US" w:eastAsia="zh-CN" w:bidi="ar"/>
        </w:rPr>
        <w:t>三层</w:t>
      </w:r>
      <w:r>
        <w:rPr>
          <w:rFonts w:hint="default" w:ascii="Times New Roman" w:hAnsi="Times New Roman" w:eastAsia="仿宋_GB2312" w:cs="Times New Roman"/>
          <w:kern w:val="2"/>
          <w:sz w:val="32"/>
          <w:szCs w:val="32"/>
          <w:lang w:val="en-US" w:eastAsia="zh-CN" w:bidi="ar"/>
        </w:rPr>
        <w:t>”</w:t>
      </w:r>
      <w:r>
        <w:rPr>
          <w:rFonts w:hint="eastAsia" w:ascii="仿宋_GB2312" w:hAnsi="Times New Roman" w:eastAsia="仿宋_GB2312" w:cs="仿宋_GB2312"/>
          <w:kern w:val="2"/>
          <w:sz w:val="32"/>
          <w:szCs w:val="32"/>
          <w:lang w:val="en-US" w:eastAsia="zh-CN" w:bidi="ar"/>
        </w:rPr>
        <w:t>置物架单价</w:t>
      </w:r>
      <w:r>
        <w:rPr>
          <w:rFonts w:hint="default" w:ascii="Times New Roman" w:hAnsi="Times New Roman" w:eastAsia="仿宋_GB2312" w:cs="Times New Roman"/>
          <w:kern w:val="2"/>
          <w:sz w:val="32"/>
          <w:szCs w:val="32"/>
          <w:lang w:val="en-US" w:eastAsia="zh-CN" w:bidi="ar"/>
        </w:rPr>
        <w:t>48.66</w:t>
      </w:r>
      <w:r>
        <w:rPr>
          <w:rFonts w:hint="eastAsia" w:ascii="仿宋_GB2312" w:hAnsi="Times New Roman" w:eastAsia="仿宋_GB2312" w:cs="仿宋_GB2312"/>
          <w:kern w:val="2"/>
          <w:sz w:val="32"/>
          <w:szCs w:val="32"/>
          <w:lang w:val="en-US" w:eastAsia="zh-CN" w:bidi="ar"/>
        </w:rPr>
        <w:t>元，</w:t>
      </w:r>
      <w:r>
        <w:rPr>
          <w:rFonts w:hint="default" w:ascii="Times New Roman" w:hAnsi="Times New Roman" w:eastAsia="仿宋_GB2312" w:cs="Times New Roman"/>
          <w:kern w:val="2"/>
          <w:sz w:val="32"/>
          <w:szCs w:val="32"/>
          <w:lang w:val="en-US" w:eastAsia="zh-CN" w:bidi="ar"/>
        </w:rPr>
        <w:t>“</w:t>
      </w:r>
      <w:r>
        <w:rPr>
          <w:rFonts w:hint="eastAsia" w:ascii="仿宋_GB2312" w:hAnsi="Times New Roman" w:eastAsia="仿宋_GB2312" w:cs="仿宋_GB2312"/>
          <w:kern w:val="2"/>
          <w:sz w:val="32"/>
          <w:szCs w:val="32"/>
          <w:lang w:val="en-US" w:eastAsia="zh-CN" w:bidi="ar"/>
        </w:rPr>
        <w:t>纯色抽屉</w:t>
      </w:r>
      <w:r>
        <w:rPr>
          <w:rFonts w:hint="default" w:ascii="Times New Roman" w:hAnsi="Times New Roman" w:eastAsia="仿宋_GB2312" w:cs="Times New Roman"/>
          <w:kern w:val="2"/>
          <w:sz w:val="32"/>
          <w:szCs w:val="32"/>
          <w:lang w:val="en-US" w:eastAsia="zh-CN" w:bidi="ar"/>
        </w:rPr>
        <w:t>-</w:t>
      </w:r>
      <w:r>
        <w:rPr>
          <w:rFonts w:hint="eastAsia" w:ascii="仿宋_GB2312" w:hAnsi="Times New Roman" w:eastAsia="仿宋_GB2312" w:cs="仿宋_GB2312"/>
          <w:kern w:val="2"/>
          <w:sz w:val="32"/>
          <w:szCs w:val="32"/>
          <w:lang w:val="en-US" w:eastAsia="zh-CN" w:bidi="ar"/>
        </w:rPr>
        <w:t>两层</w:t>
      </w:r>
      <w:r>
        <w:rPr>
          <w:rFonts w:hint="default" w:ascii="Times New Roman" w:hAnsi="Times New Roman" w:eastAsia="仿宋_GB2312" w:cs="Times New Roman"/>
          <w:kern w:val="2"/>
          <w:sz w:val="32"/>
          <w:szCs w:val="32"/>
          <w:lang w:val="en-US" w:eastAsia="zh-CN" w:bidi="ar"/>
        </w:rPr>
        <w:t>”</w:t>
      </w:r>
      <w:r>
        <w:rPr>
          <w:rFonts w:hint="eastAsia" w:ascii="仿宋_GB2312" w:hAnsi="Times New Roman" w:eastAsia="仿宋_GB2312" w:cs="仿宋_GB2312"/>
          <w:kern w:val="2"/>
          <w:sz w:val="32"/>
          <w:szCs w:val="32"/>
          <w:lang w:val="en-US" w:eastAsia="zh-CN" w:bidi="ar"/>
        </w:rPr>
        <w:t>置物架单价</w:t>
      </w:r>
      <w:r>
        <w:rPr>
          <w:rFonts w:hint="default" w:ascii="Times New Roman" w:hAnsi="Times New Roman" w:eastAsia="仿宋_GB2312" w:cs="Times New Roman"/>
          <w:kern w:val="2"/>
          <w:sz w:val="32"/>
          <w:szCs w:val="32"/>
          <w:lang w:val="en-US" w:eastAsia="zh-CN" w:bidi="ar"/>
        </w:rPr>
        <w:t>35.86</w:t>
      </w:r>
      <w:r>
        <w:rPr>
          <w:rFonts w:hint="eastAsia" w:ascii="仿宋_GB2312" w:hAnsi="Times New Roman" w:eastAsia="仿宋_GB2312" w:cs="仿宋_GB2312"/>
          <w:kern w:val="2"/>
          <w:sz w:val="32"/>
          <w:szCs w:val="32"/>
          <w:lang w:val="en-US" w:eastAsia="zh-CN" w:bidi="ar"/>
        </w:rPr>
        <w:t>元，实付</w:t>
      </w:r>
      <w:r>
        <w:rPr>
          <w:rFonts w:hint="default" w:ascii="Times New Roman" w:hAnsi="Times New Roman" w:eastAsia="仿宋_GB2312" w:cs="Times New Roman"/>
          <w:kern w:val="2"/>
          <w:sz w:val="32"/>
          <w:szCs w:val="32"/>
          <w:lang w:val="en-US" w:eastAsia="zh-CN" w:bidi="ar"/>
        </w:rPr>
        <w:t>102.52</w:t>
      </w:r>
      <w:r>
        <w:rPr>
          <w:rFonts w:hint="eastAsia" w:ascii="仿宋_GB2312" w:hAnsi="Times New Roman" w:eastAsia="仿宋_GB2312" w:cs="仿宋_GB2312"/>
          <w:kern w:val="2"/>
          <w:sz w:val="32"/>
          <w:szCs w:val="32"/>
          <w:lang w:val="en-US" w:eastAsia="zh-CN" w:bidi="ar"/>
        </w:rPr>
        <w:t>元（含运费</w:t>
      </w:r>
      <w:r>
        <w:rPr>
          <w:rFonts w:hint="default" w:ascii="Times New Roman" w:hAnsi="Times New Roman" w:eastAsia="仿宋_GB2312" w:cs="Times New Roman"/>
          <w:kern w:val="2"/>
          <w:sz w:val="32"/>
          <w:szCs w:val="32"/>
          <w:lang w:val="en-US" w:eastAsia="zh-CN" w:bidi="ar"/>
        </w:rPr>
        <w:t>18</w:t>
      </w:r>
      <w:r>
        <w:rPr>
          <w:rFonts w:hint="eastAsia" w:ascii="仿宋_GB2312" w:hAnsi="Times New Roman" w:eastAsia="仿宋_GB2312" w:cs="仿宋_GB2312"/>
          <w:kern w:val="2"/>
          <w:sz w:val="32"/>
          <w:szCs w:val="32"/>
          <w:lang w:val="en-US" w:eastAsia="zh-CN" w:bidi="ar"/>
        </w:rPr>
        <w:t>元）。查看交易快照，显示商品名称为</w:t>
      </w:r>
      <w:r>
        <w:rPr>
          <w:rFonts w:hint="default" w:ascii="Times New Roman" w:hAnsi="Times New Roman" w:eastAsia="仿宋_GB2312" w:cs="Times New Roman"/>
          <w:kern w:val="2"/>
          <w:sz w:val="32"/>
          <w:szCs w:val="32"/>
          <w:lang w:val="en-US" w:eastAsia="zh-CN" w:bidi="ar"/>
        </w:rPr>
        <w:t>“</w:t>
      </w:r>
      <w:r>
        <w:rPr>
          <w:rFonts w:hint="eastAsia" w:ascii="仿宋_GB2312" w:hAnsi="Times New Roman" w:eastAsia="仿宋_GB2312" w:cs="仿宋_GB2312"/>
          <w:kern w:val="2"/>
          <w:sz w:val="32"/>
          <w:szCs w:val="32"/>
          <w:lang w:val="en-US" w:eastAsia="zh-CN" w:bidi="ar"/>
        </w:rPr>
        <w:t>小推车收纳柜家用奶油</w:t>
      </w:r>
      <w:bookmarkStart w:id="2" w:name="WKJC_63d8aa4f4c564ce78c13caf6e294144d"/>
      <w:r>
        <w:rPr>
          <w:rFonts w:hint="eastAsia" w:ascii="仿宋_GB2312" w:hAnsi="Times New Roman" w:eastAsia="仿宋_GB2312" w:cs="仿宋_GB2312"/>
          <w:kern w:val="2"/>
          <w:sz w:val="32"/>
          <w:szCs w:val="32"/>
          <w:lang w:val="en-US" w:eastAsia="zh-CN" w:bidi="ar"/>
        </w:rPr>
        <w:t>风</w:t>
      </w:r>
      <w:bookmarkEnd w:id="2"/>
      <w:r>
        <w:rPr>
          <w:rFonts w:hint="eastAsia" w:ascii="仿宋_GB2312" w:hAnsi="Times New Roman" w:eastAsia="仿宋_GB2312" w:cs="仿宋_GB2312"/>
          <w:kern w:val="2"/>
          <w:sz w:val="32"/>
          <w:szCs w:val="32"/>
          <w:lang w:val="en-US" w:eastAsia="zh-CN" w:bidi="ar"/>
        </w:rPr>
        <w:t>零食玩具收纳架客厅可移动抽屉式置物架</w:t>
      </w:r>
      <w:r>
        <w:rPr>
          <w:rFonts w:hint="default" w:ascii="Times New Roman" w:hAnsi="Times New Roman" w:eastAsia="仿宋_GB2312" w:cs="Times New Roman"/>
          <w:kern w:val="2"/>
          <w:sz w:val="32"/>
          <w:szCs w:val="32"/>
          <w:lang w:val="en-US" w:eastAsia="zh-CN" w:bidi="ar"/>
        </w:rPr>
        <w:t>”</w:t>
      </w:r>
      <w:r>
        <w:rPr>
          <w:rFonts w:hint="eastAsia" w:ascii="仿宋_GB2312" w:hAnsi="Times New Roman" w:eastAsia="仿宋_GB2312" w:cs="仿宋_GB2312"/>
          <w:kern w:val="2"/>
          <w:sz w:val="32"/>
          <w:szCs w:val="32"/>
          <w:lang w:val="en-US" w:eastAsia="zh-CN" w:bidi="ar"/>
        </w:rPr>
        <w:t>，产品上市时间</w:t>
      </w:r>
      <w:r>
        <w:rPr>
          <w:rFonts w:hint="default" w:ascii="Times New Roman" w:hAnsi="Times New Roman" w:eastAsia="仿宋_GB2312" w:cs="Times New Roman"/>
          <w:kern w:val="2"/>
          <w:sz w:val="32"/>
          <w:szCs w:val="32"/>
          <w:lang w:val="en-US" w:eastAsia="zh-CN" w:bidi="ar"/>
        </w:rPr>
        <w:t>2024</w:t>
      </w:r>
      <w:r>
        <w:rPr>
          <w:rFonts w:hint="eastAsia" w:ascii="仿宋_GB2312" w:hAnsi="Times New Roman" w:eastAsia="仿宋_GB2312" w:cs="仿宋_GB2312"/>
          <w:kern w:val="2"/>
          <w:sz w:val="32"/>
          <w:szCs w:val="32"/>
          <w:lang w:val="en-US" w:eastAsia="zh-CN" w:bidi="ar"/>
        </w:rPr>
        <w:t>年，查看货品最新详情，显示单价</w:t>
      </w:r>
      <w:r>
        <w:rPr>
          <w:rFonts w:hint="default" w:ascii="Times New Roman" w:hAnsi="Times New Roman" w:eastAsia="仿宋_GB2312" w:cs="Times New Roman"/>
          <w:kern w:val="2"/>
          <w:sz w:val="32"/>
          <w:szCs w:val="32"/>
          <w:lang w:val="en-US" w:eastAsia="zh-CN" w:bidi="ar"/>
        </w:rPr>
        <w:t>35.86-70.87</w:t>
      </w:r>
      <w:r>
        <w:rPr>
          <w:rFonts w:hint="eastAsia" w:ascii="仿宋_GB2312" w:hAnsi="Times New Roman" w:eastAsia="仿宋_GB2312" w:cs="仿宋_GB2312"/>
          <w:kern w:val="2"/>
          <w:sz w:val="32"/>
          <w:szCs w:val="32"/>
          <w:lang w:val="en-US" w:eastAsia="zh-CN" w:bidi="ar"/>
        </w:rPr>
        <w:t>元，一年内</w:t>
      </w:r>
      <w:bookmarkStart w:id="3" w:name="WKJC_ad2298aa76294a59b938eed467b78bff"/>
      <w:r>
        <w:rPr>
          <w:rFonts w:hint="eastAsia" w:ascii="仿宋_GB2312" w:hAnsi="Times New Roman" w:eastAsia="仿宋_GB2312" w:cs="仿宋_GB2312"/>
          <w:kern w:val="2"/>
          <w:sz w:val="32"/>
          <w:szCs w:val="32"/>
          <w:lang w:val="en-US" w:eastAsia="zh-CN" w:bidi="ar"/>
        </w:rPr>
        <w:t>＜</w:t>
      </w:r>
      <w:bookmarkEnd w:id="3"/>
      <w:r>
        <w:rPr>
          <w:rFonts w:hint="default" w:ascii="Times New Roman" w:hAnsi="Times New Roman" w:eastAsia="仿宋_GB2312" w:cs="Times New Roman"/>
          <w:kern w:val="2"/>
          <w:sz w:val="32"/>
          <w:szCs w:val="32"/>
          <w:lang w:val="en-US" w:eastAsia="zh-CN" w:bidi="ar"/>
        </w:rPr>
        <w:t>10</w:t>
      </w:r>
      <w:r>
        <w:rPr>
          <w:rFonts w:hint="eastAsia" w:ascii="仿宋_GB2312" w:hAnsi="Times New Roman" w:eastAsia="仿宋_GB2312" w:cs="仿宋_GB2312"/>
          <w:kern w:val="2"/>
          <w:sz w:val="32"/>
          <w:szCs w:val="32"/>
          <w:lang w:val="en-US" w:eastAsia="zh-CN" w:bidi="ar"/>
        </w:rPr>
        <w:t>个成交，</w:t>
      </w:r>
      <w:r>
        <w:rPr>
          <w:rFonts w:hint="default" w:ascii="Times New Roman" w:hAnsi="Times New Roman" w:eastAsia="仿宋_GB2312" w:cs="Times New Roman"/>
          <w:kern w:val="2"/>
          <w:sz w:val="32"/>
          <w:szCs w:val="32"/>
          <w:lang w:val="en-US" w:eastAsia="zh-CN" w:bidi="ar"/>
        </w:rPr>
        <w:t>0</w:t>
      </w:r>
      <w:r>
        <w:rPr>
          <w:rFonts w:hint="eastAsia" w:ascii="仿宋_GB2312" w:hAnsi="Times New Roman" w:eastAsia="仿宋_GB2312" w:cs="仿宋_GB2312"/>
          <w:kern w:val="2"/>
          <w:sz w:val="32"/>
          <w:szCs w:val="32"/>
          <w:lang w:val="en-US" w:eastAsia="zh-CN" w:bidi="ar"/>
        </w:rPr>
        <w:t>评价，共</w:t>
      </w:r>
      <w:r>
        <w:rPr>
          <w:rFonts w:hint="default" w:ascii="Times New Roman" w:hAnsi="Times New Roman" w:eastAsia="仿宋_GB2312" w:cs="Times New Roman"/>
          <w:kern w:val="2"/>
          <w:sz w:val="32"/>
          <w:szCs w:val="32"/>
          <w:lang w:val="en-US" w:eastAsia="zh-CN" w:bidi="ar"/>
        </w:rPr>
        <w:t>8</w:t>
      </w:r>
      <w:r>
        <w:rPr>
          <w:rFonts w:hint="eastAsia" w:ascii="仿宋_GB2312" w:hAnsi="Times New Roman" w:eastAsia="仿宋_GB2312" w:cs="仿宋_GB2312"/>
          <w:kern w:val="2"/>
          <w:sz w:val="32"/>
          <w:szCs w:val="32"/>
          <w:lang w:val="en-US" w:eastAsia="zh-CN" w:bidi="ar"/>
        </w:rPr>
        <w:t>个颜色分类（包括透明款、纯色款，层数</w:t>
      </w:r>
      <w:r>
        <w:rPr>
          <w:rFonts w:hint="default" w:ascii="Times New Roman" w:hAnsi="Times New Roman" w:eastAsia="仿宋_GB2312" w:cs="Times New Roman"/>
          <w:kern w:val="2"/>
          <w:sz w:val="32"/>
          <w:szCs w:val="32"/>
          <w:lang w:val="en-US" w:eastAsia="zh-CN" w:bidi="ar"/>
        </w:rPr>
        <w:t>2</w:t>
      </w:r>
      <w:r>
        <w:rPr>
          <w:rFonts w:hint="eastAsia" w:ascii="仿宋_GB2312" w:hAnsi="Times New Roman" w:eastAsia="仿宋_GB2312" w:cs="仿宋_GB2312"/>
          <w:kern w:val="2"/>
          <w:sz w:val="32"/>
          <w:szCs w:val="32"/>
          <w:lang w:val="en-US" w:eastAsia="zh-CN" w:bidi="ar"/>
        </w:rPr>
        <w:t>至</w:t>
      </w:r>
      <w:r>
        <w:rPr>
          <w:rFonts w:hint="default" w:ascii="Times New Roman" w:hAnsi="Times New Roman" w:eastAsia="仿宋_GB2312" w:cs="Times New Roman"/>
          <w:kern w:val="2"/>
          <w:sz w:val="32"/>
          <w:szCs w:val="32"/>
          <w:lang w:val="en-US" w:eastAsia="zh-CN" w:bidi="ar"/>
        </w:rPr>
        <w:t>5</w:t>
      </w:r>
      <w:r>
        <w:rPr>
          <w:rFonts w:hint="eastAsia" w:ascii="仿宋_GB2312" w:hAnsi="Times New Roman" w:eastAsia="仿宋_GB2312" w:cs="仿宋_GB2312"/>
          <w:kern w:val="2"/>
          <w:sz w:val="32"/>
          <w:szCs w:val="32"/>
          <w:lang w:val="en-US" w:eastAsia="zh-CN" w:bidi="ar"/>
        </w:rPr>
        <w:t>层不等），多件可售。在该店内点击搜索该商品链接，显示已售</w:t>
      </w:r>
      <w:r>
        <w:rPr>
          <w:rFonts w:hint="default" w:ascii="Times New Roman" w:hAnsi="Times New Roman" w:eastAsia="仿宋_GB2312" w:cs="Times New Roman"/>
          <w:kern w:val="2"/>
          <w:sz w:val="32"/>
          <w:szCs w:val="32"/>
          <w:lang w:val="en-US" w:eastAsia="zh-CN" w:bidi="ar"/>
        </w:rPr>
        <w:t>152</w:t>
      </w:r>
      <w:r>
        <w:rPr>
          <w:rFonts w:hint="eastAsia" w:ascii="仿宋_GB2312" w:hAnsi="Times New Roman" w:eastAsia="仿宋_GB2312" w:cs="仿宋_GB2312"/>
          <w:kern w:val="2"/>
          <w:sz w:val="32"/>
          <w:szCs w:val="32"/>
          <w:lang w:val="en-US" w:eastAsia="zh-CN" w:bidi="ar"/>
        </w:rPr>
        <w:t>件。点击查看店铺工厂档案，页面显示</w:t>
      </w:r>
      <w:r>
        <w:rPr>
          <w:rFonts w:hint="default" w:ascii="Times New Roman" w:hAnsi="Times New Roman" w:eastAsia="仿宋_GB2312" w:cs="Times New Roman"/>
          <w:kern w:val="2"/>
          <w:sz w:val="32"/>
          <w:szCs w:val="32"/>
          <w:lang w:val="en-US" w:eastAsia="zh-CN" w:bidi="ar"/>
        </w:rPr>
        <w:t>“</w:t>
      </w:r>
      <w:r>
        <w:rPr>
          <w:rFonts w:hint="eastAsia" w:ascii="仿宋_GB2312" w:hAnsi="Times New Roman" w:eastAsia="仿宋_GB2312" w:cs="仿宋_GB2312"/>
          <w:kern w:val="2"/>
          <w:sz w:val="32"/>
          <w:szCs w:val="32"/>
          <w:lang w:val="en-US" w:eastAsia="zh-CN" w:bidi="ar"/>
        </w:rPr>
        <w:t>诚</w:t>
      </w:r>
      <w:r>
        <w:rPr>
          <w:rFonts w:hint="default" w:ascii="Times New Roman" w:hAnsi="Times New Roman" w:eastAsia="仿宋_GB2312" w:cs="Times New Roman"/>
          <w:kern w:val="2"/>
          <w:sz w:val="32"/>
          <w:szCs w:val="32"/>
          <w:lang w:val="en-US" w:eastAsia="zh-CN" w:bidi="ar"/>
        </w:rPr>
        <w:t>1</w:t>
      </w:r>
      <w:r>
        <w:rPr>
          <w:rFonts w:hint="eastAsia" w:ascii="仿宋_GB2312" w:hAnsi="Times New Roman" w:eastAsia="仿宋_GB2312" w:cs="仿宋_GB2312"/>
          <w:kern w:val="2"/>
          <w:sz w:val="32"/>
          <w:szCs w:val="32"/>
          <w:lang w:val="en-US" w:eastAsia="zh-CN" w:bidi="ar"/>
        </w:rPr>
        <w:t>年</w:t>
      </w:r>
      <w:r>
        <w:rPr>
          <w:rFonts w:hint="default" w:ascii="Times New Roman" w:hAnsi="Times New Roman" w:eastAsia="仿宋_GB2312" w:cs="Times New Roman"/>
          <w:kern w:val="2"/>
          <w:sz w:val="32"/>
          <w:szCs w:val="32"/>
          <w:lang w:val="en-US" w:eastAsia="zh-CN" w:bidi="ar"/>
        </w:rPr>
        <w:t>”</w:t>
      </w:r>
      <w:r>
        <w:rPr>
          <w:rFonts w:hint="eastAsia" w:ascii="仿宋_GB2312" w:hAnsi="Times New Roman" w:eastAsia="仿宋_GB2312" w:cs="仿宋_GB2312"/>
          <w:kern w:val="2"/>
          <w:sz w:val="32"/>
          <w:szCs w:val="32"/>
          <w:lang w:val="en-US" w:eastAsia="zh-CN" w:bidi="ar"/>
        </w:rPr>
        <w:t>，加工方式有</w:t>
      </w:r>
      <w:r>
        <w:rPr>
          <w:rFonts w:hint="default" w:ascii="Times New Roman" w:hAnsi="Times New Roman" w:eastAsia="仿宋_GB2312" w:cs="Times New Roman"/>
          <w:kern w:val="2"/>
          <w:sz w:val="32"/>
          <w:szCs w:val="32"/>
          <w:lang w:val="en-US" w:eastAsia="zh-CN" w:bidi="ar"/>
        </w:rPr>
        <w:t>“</w:t>
      </w:r>
      <w:r>
        <w:rPr>
          <w:rFonts w:hint="eastAsia" w:ascii="仿宋_GB2312" w:hAnsi="Times New Roman" w:eastAsia="仿宋_GB2312" w:cs="仿宋_GB2312"/>
          <w:kern w:val="2"/>
          <w:sz w:val="32"/>
          <w:szCs w:val="32"/>
          <w:lang w:val="en-US" w:eastAsia="zh-CN" w:bidi="ar"/>
        </w:rPr>
        <w:t>来图加工</w:t>
      </w:r>
      <w:r>
        <w:rPr>
          <w:rFonts w:hint="default" w:ascii="Times New Roman" w:hAnsi="Times New Roman" w:eastAsia="仿宋_GB2312" w:cs="Times New Roman"/>
          <w:kern w:val="2"/>
          <w:sz w:val="32"/>
          <w:szCs w:val="32"/>
          <w:lang w:val="en-US" w:eastAsia="zh-CN" w:bidi="ar"/>
        </w:rPr>
        <w:t>”“</w:t>
      </w:r>
      <w:r>
        <w:rPr>
          <w:rFonts w:hint="eastAsia" w:ascii="仿宋_GB2312" w:hAnsi="Times New Roman" w:eastAsia="仿宋_GB2312" w:cs="仿宋_GB2312"/>
          <w:kern w:val="2"/>
          <w:sz w:val="32"/>
          <w:szCs w:val="32"/>
          <w:lang w:val="en-US" w:eastAsia="zh-CN" w:bidi="ar"/>
        </w:rPr>
        <w:t>来样加工</w:t>
      </w:r>
      <w:r>
        <w:rPr>
          <w:rFonts w:hint="default" w:ascii="Times New Roman" w:hAnsi="Times New Roman" w:eastAsia="仿宋_GB2312" w:cs="Times New Roman"/>
          <w:kern w:val="2"/>
          <w:sz w:val="32"/>
          <w:szCs w:val="32"/>
          <w:lang w:val="en-US" w:eastAsia="zh-CN" w:bidi="ar"/>
        </w:rPr>
        <w:t>”</w:t>
      </w:r>
      <w:r>
        <w:rPr>
          <w:rFonts w:hint="eastAsia" w:ascii="仿宋_GB2312" w:hAnsi="Times New Roman" w:eastAsia="仿宋_GB2312" w:cs="仿宋_GB2312"/>
          <w:kern w:val="2"/>
          <w:sz w:val="32"/>
          <w:szCs w:val="32"/>
          <w:lang w:val="en-US" w:eastAsia="zh-CN" w:bidi="ar"/>
        </w:rPr>
        <w:t>等，辅以工厂仓库照片。店铺经营主体信息显示经营者</w:t>
      </w:r>
      <w:r>
        <w:rPr>
          <w:rFonts w:hint="default" w:ascii="Times New Roman" w:hAnsi="Times New Roman" w:eastAsia="仿宋_GB2312" w:cs="Times New Roman"/>
          <w:kern w:val="2"/>
          <w:sz w:val="32"/>
          <w:szCs w:val="32"/>
          <w:lang w:val="en-US" w:eastAsia="zh-CN" w:bidi="ar"/>
        </w:rPr>
        <w:t>“</w:t>
      </w:r>
      <w:r>
        <w:rPr>
          <w:rFonts w:hint="eastAsia" w:ascii="仿宋_GB2312" w:hAnsi="Times New Roman" w:eastAsia="仿宋_GB2312" w:cs="仿宋_GB2312"/>
          <w:kern w:val="2"/>
          <w:sz w:val="32"/>
          <w:szCs w:val="32"/>
          <w:lang w:val="en-US" w:eastAsia="zh-CN" w:bidi="ar"/>
        </w:rPr>
        <w:t>廊坊嘉某家居有限公司</w:t>
      </w:r>
      <w:r>
        <w:rPr>
          <w:rFonts w:hint="default" w:ascii="Times New Roman" w:hAnsi="Times New Roman" w:eastAsia="仿宋_GB2312" w:cs="Times New Roman"/>
          <w:kern w:val="2"/>
          <w:sz w:val="32"/>
          <w:szCs w:val="32"/>
          <w:lang w:val="en-US" w:eastAsia="zh-CN" w:bidi="ar"/>
        </w:rPr>
        <w:t>”</w:t>
      </w:r>
      <w:r>
        <w:rPr>
          <w:rFonts w:hint="eastAsia" w:ascii="仿宋_GB2312" w:hAnsi="Times New Roman" w:eastAsia="仿宋_GB2312" w:cs="仿宋_GB2312"/>
          <w:kern w:val="2"/>
          <w:sz w:val="32"/>
          <w:szCs w:val="32"/>
          <w:lang w:val="en-US" w:eastAsia="zh-CN" w:bidi="ar"/>
        </w:rPr>
        <w:t>，法定代表人王某甲，企业类型为一人有限责任公司，注册资本</w:t>
      </w:r>
      <w:r>
        <w:rPr>
          <w:rFonts w:hint="default" w:ascii="Times New Roman" w:hAnsi="Times New Roman" w:eastAsia="仿宋_GB2312" w:cs="Times New Roman"/>
          <w:kern w:val="2"/>
          <w:sz w:val="32"/>
          <w:szCs w:val="32"/>
          <w:lang w:val="en-US" w:eastAsia="zh-CN" w:bidi="ar"/>
        </w:rPr>
        <w:t>50</w:t>
      </w:r>
      <w:r>
        <w:rPr>
          <w:rFonts w:hint="eastAsia" w:ascii="仿宋_GB2312" w:hAnsi="Times New Roman" w:eastAsia="仿宋_GB2312" w:cs="仿宋_GB2312"/>
          <w:kern w:val="2"/>
          <w:sz w:val="32"/>
          <w:szCs w:val="32"/>
          <w:lang w:val="en-US" w:eastAsia="zh-CN" w:bidi="ar"/>
        </w:rPr>
        <w:t>万元。</w:t>
      </w:r>
    </w:p>
    <w:p>
      <w:pPr>
        <w:keepNext w:val="0"/>
        <w:keepLines w:val="0"/>
        <w:widowControl w:val="0"/>
        <w:suppressLineNumbers w:val="0"/>
        <w:autoSpaceDE w:val="0"/>
        <w:autoSpaceDN w:val="0"/>
        <w:adjustRightInd w:val="0"/>
        <w:spacing w:before="0" w:beforeAutospacing="0" w:after="0" w:afterAutospacing="0" w:line="572" w:lineRule="exact"/>
        <w:ind w:left="0" w:right="0" w:firstLine="620" w:firstLineChars="200"/>
        <w:jc w:val="both"/>
        <w:rPr>
          <w:rFonts w:hint="default" w:ascii="Times New Roman" w:hAnsi="Times New Roman" w:eastAsia="仿宋_GB2312" w:cs="Times New Roman"/>
          <w:kern w:val="2"/>
          <w:sz w:val="32"/>
          <w:szCs w:val="32"/>
        </w:rPr>
      </w:pPr>
      <w:r>
        <w:rPr>
          <w:rFonts w:hint="eastAsia" w:ascii="仿宋_GB2312" w:hAnsi="Times New Roman" w:eastAsia="仿宋_GB2312" w:cs="仿宋_GB2312"/>
          <w:kern w:val="2"/>
          <w:sz w:val="32"/>
          <w:szCs w:val="32"/>
          <w:lang w:val="en-US" w:eastAsia="zh-CN" w:bidi="ar"/>
        </w:rPr>
        <w:t>郑某一审当庭出示上述公证实物，外包装封存完好。打开包装，其内有可移动抽屉式置物架组装零件若干，安装说明书一份，产品其组装方式唯一。经组装共有三层和两层置物架各一个，郑某以三层置物架作为本案被诉侵权产品予以主张，并明确以专利设计</w:t>
      </w:r>
      <w:r>
        <w:rPr>
          <w:rFonts w:hint="default" w:ascii="Times New Roman" w:hAnsi="Times New Roman" w:eastAsia="仿宋_GB2312" w:cs="Times New Roman"/>
          <w:kern w:val="2"/>
          <w:sz w:val="32"/>
          <w:szCs w:val="32"/>
          <w:lang w:val="en-US" w:eastAsia="zh-CN" w:bidi="ar"/>
        </w:rPr>
        <w:t>1</w:t>
      </w:r>
      <w:r>
        <w:rPr>
          <w:rFonts w:hint="eastAsia" w:ascii="仿宋_GB2312" w:hAnsi="Times New Roman" w:eastAsia="仿宋_GB2312" w:cs="仿宋_GB2312"/>
          <w:kern w:val="2"/>
          <w:sz w:val="32"/>
          <w:szCs w:val="32"/>
          <w:lang w:val="en-US" w:eastAsia="zh-CN" w:bidi="ar"/>
        </w:rPr>
        <w:t>作为比</w:t>
      </w:r>
      <w:bookmarkStart w:id="4" w:name="WKJC_d04ed828452047228b4a35094c670d3c"/>
      <w:r>
        <w:rPr>
          <w:rFonts w:hint="eastAsia" w:ascii="仿宋_GB2312" w:hAnsi="Times New Roman" w:eastAsia="仿宋_GB2312" w:cs="仿宋_GB2312"/>
          <w:kern w:val="2"/>
          <w:sz w:val="32"/>
          <w:szCs w:val="32"/>
          <w:lang w:val="en-US" w:eastAsia="zh-CN" w:bidi="ar"/>
        </w:rPr>
        <w:t>对对</w:t>
      </w:r>
      <w:bookmarkEnd w:id="4"/>
      <w:r>
        <w:rPr>
          <w:rFonts w:hint="eastAsia" w:ascii="仿宋_GB2312" w:hAnsi="Times New Roman" w:eastAsia="仿宋_GB2312" w:cs="仿宋_GB2312"/>
          <w:kern w:val="2"/>
          <w:sz w:val="32"/>
          <w:szCs w:val="32"/>
          <w:lang w:val="en-US" w:eastAsia="zh-CN" w:bidi="ar"/>
        </w:rPr>
        <w:t>象。经比对，郑某认为被诉侵权产品外观设计与授权外观设计</w:t>
      </w:r>
      <w:r>
        <w:rPr>
          <w:rFonts w:hint="default" w:ascii="Times New Roman" w:hAnsi="Times New Roman" w:eastAsia="仿宋_GB2312" w:cs="Times New Roman"/>
          <w:kern w:val="2"/>
          <w:sz w:val="32"/>
          <w:szCs w:val="32"/>
          <w:lang w:val="en-US" w:eastAsia="zh-CN" w:bidi="ar"/>
        </w:rPr>
        <w:t>1</w:t>
      </w:r>
      <w:r>
        <w:rPr>
          <w:rFonts w:hint="eastAsia" w:ascii="仿宋_GB2312" w:hAnsi="Times New Roman" w:eastAsia="仿宋_GB2312" w:cs="仿宋_GB2312"/>
          <w:kern w:val="2"/>
          <w:sz w:val="32"/>
          <w:szCs w:val="32"/>
          <w:lang w:val="en-US" w:eastAsia="zh-CN" w:bidi="ar"/>
        </w:rPr>
        <w:t>构成近似。嘉某公司认为被诉侵权产品外观设计与授权外观设计</w:t>
      </w:r>
      <w:r>
        <w:rPr>
          <w:rFonts w:hint="default" w:ascii="Times New Roman" w:hAnsi="Times New Roman" w:eastAsia="仿宋_GB2312" w:cs="Times New Roman"/>
          <w:kern w:val="2"/>
          <w:sz w:val="32"/>
          <w:szCs w:val="32"/>
          <w:lang w:val="en-US" w:eastAsia="zh-CN" w:bidi="ar"/>
        </w:rPr>
        <w:t>1</w:t>
      </w:r>
      <w:r>
        <w:rPr>
          <w:rFonts w:hint="eastAsia" w:ascii="仿宋_GB2312" w:hAnsi="Times New Roman" w:eastAsia="仿宋_GB2312" w:cs="仿宋_GB2312"/>
          <w:kern w:val="2"/>
          <w:sz w:val="32"/>
          <w:szCs w:val="32"/>
          <w:lang w:val="en-US" w:eastAsia="zh-CN" w:bidi="ar"/>
        </w:rPr>
        <w:t>既不相同也不近似。一审庭审中，郑某确认被诉侵权链接已于</w:t>
      </w:r>
      <w:r>
        <w:rPr>
          <w:rFonts w:hint="default" w:ascii="Times New Roman" w:hAnsi="Times New Roman" w:eastAsia="仿宋_GB2312" w:cs="Times New Roman"/>
          <w:kern w:val="2"/>
          <w:sz w:val="32"/>
          <w:szCs w:val="32"/>
          <w:lang w:val="en-US" w:eastAsia="zh-CN" w:bidi="ar"/>
        </w:rPr>
        <w:t>2024</w:t>
      </w:r>
      <w:r>
        <w:rPr>
          <w:rFonts w:hint="eastAsia" w:ascii="仿宋_GB2312" w:hAnsi="Times New Roman" w:eastAsia="仿宋_GB2312" w:cs="仿宋_GB2312"/>
          <w:kern w:val="2"/>
          <w:sz w:val="32"/>
          <w:szCs w:val="32"/>
          <w:lang w:val="en-US" w:eastAsia="zh-CN" w:bidi="ar"/>
        </w:rPr>
        <w:t>年</w:t>
      </w:r>
      <w:r>
        <w:rPr>
          <w:rFonts w:hint="default" w:ascii="Times New Roman" w:hAnsi="Times New Roman" w:eastAsia="仿宋_GB2312" w:cs="Times New Roman"/>
          <w:kern w:val="2"/>
          <w:sz w:val="32"/>
          <w:szCs w:val="32"/>
          <w:lang w:val="en-US" w:eastAsia="zh-CN" w:bidi="ar"/>
        </w:rPr>
        <w:t>9</w:t>
      </w:r>
      <w:r>
        <w:rPr>
          <w:rFonts w:hint="eastAsia" w:ascii="仿宋_GB2312" w:hAnsi="Times New Roman" w:eastAsia="仿宋_GB2312" w:cs="仿宋_GB2312"/>
          <w:kern w:val="2"/>
          <w:sz w:val="32"/>
          <w:szCs w:val="32"/>
          <w:lang w:val="en-US" w:eastAsia="zh-CN" w:bidi="ar"/>
        </w:rPr>
        <w:t>月</w:t>
      </w:r>
      <w:r>
        <w:rPr>
          <w:rFonts w:hint="default" w:ascii="Times New Roman" w:hAnsi="Times New Roman" w:eastAsia="仿宋_GB2312" w:cs="Times New Roman"/>
          <w:kern w:val="2"/>
          <w:sz w:val="32"/>
          <w:szCs w:val="32"/>
          <w:lang w:val="en-US" w:eastAsia="zh-CN" w:bidi="ar"/>
        </w:rPr>
        <w:t>2</w:t>
      </w:r>
      <w:r>
        <w:rPr>
          <w:rFonts w:hint="eastAsia" w:ascii="仿宋_GB2312" w:hAnsi="Times New Roman" w:eastAsia="仿宋_GB2312" w:cs="仿宋_GB2312"/>
          <w:kern w:val="2"/>
          <w:sz w:val="32"/>
          <w:szCs w:val="32"/>
          <w:lang w:val="en-US" w:eastAsia="zh-CN" w:bidi="ar"/>
        </w:rPr>
        <w:t>日删除。</w:t>
      </w:r>
    </w:p>
    <w:p>
      <w:pPr>
        <w:keepNext w:val="0"/>
        <w:keepLines w:val="0"/>
        <w:widowControl w:val="0"/>
        <w:suppressLineNumbers w:val="0"/>
        <w:autoSpaceDE w:val="0"/>
        <w:autoSpaceDN w:val="0"/>
        <w:adjustRightInd w:val="0"/>
        <w:spacing w:before="0" w:beforeAutospacing="0" w:after="0" w:afterAutospacing="0" w:line="572" w:lineRule="exact"/>
        <w:ind w:left="0" w:right="0" w:firstLine="620" w:firstLineChars="200"/>
        <w:jc w:val="both"/>
        <w:rPr>
          <w:rFonts w:hint="default" w:ascii="Times New Roman" w:hAnsi="Times New Roman" w:eastAsia="仿宋_GB2312" w:cs="Times New Roman"/>
          <w:kern w:val="2"/>
          <w:sz w:val="32"/>
          <w:szCs w:val="32"/>
        </w:rPr>
      </w:pPr>
      <w:r>
        <w:rPr>
          <w:rFonts w:hint="eastAsia" w:ascii="仿宋_GB2312" w:hAnsi="Times New Roman" w:eastAsia="仿宋_GB2312" w:cs="仿宋_GB2312"/>
          <w:kern w:val="2"/>
          <w:sz w:val="32"/>
          <w:szCs w:val="32"/>
          <w:lang w:val="en-US" w:eastAsia="zh-CN" w:bidi="ar"/>
        </w:rPr>
        <w:t>一审另查明，嘉某公司成立于</w:t>
      </w:r>
      <w:r>
        <w:rPr>
          <w:rFonts w:hint="default" w:ascii="Times New Roman" w:hAnsi="Times New Roman" w:eastAsia="仿宋_GB2312" w:cs="Times New Roman"/>
          <w:kern w:val="2"/>
          <w:sz w:val="32"/>
          <w:szCs w:val="32"/>
          <w:lang w:val="en-US" w:eastAsia="zh-CN" w:bidi="ar"/>
        </w:rPr>
        <w:t>2023</w:t>
      </w:r>
      <w:r>
        <w:rPr>
          <w:rFonts w:hint="eastAsia" w:ascii="仿宋_GB2312" w:hAnsi="Times New Roman" w:eastAsia="仿宋_GB2312" w:cs="仿宋_GB2312"/>
          <w:kern w:val="2"/>
          <w:sz w:val="32"/>
          <w:szCs w:val="32"/>
          <w:lang w:val="en-US" w:eastAsia="zh-CN" w:bidi="ar"/>
        </w:rPr>
        <w:t>年</w:t>
      </w:r>
      <w:r>
        <w:rPr>
          <w:rFonts w:hint="default" w:ascii="Times New Roman" w:hAnsi="Times New Roman" w:eastAsia="仿宋_GB2312" w:cs="Times New Roman"/>
          <w:kern w:val="2"/>
          <w:sz w:val="32"/>
          <w:szCs w:val="32"/>
          <w:lang w:val="en-US" w:eastAsia="zh-CN" w:bidi="ar"/>
        </w:rPr>
        <w:t>12</w:t>
      </w:r>
      <w:r>
        <w:rPr>
          <w:rFonts w:hint="eastAsia" w:ascii="仿宋_GB2312" w:hAnsi="Times New Roman" w:eastAsia="仿宋_GB2312" w:cs="仿宋_GB2312"/>
          <w:kern w:val="2"/>
          <w:sz w:val="32"/>
          <w:szCs w:val="32"/>
          <w:lang w:val="en-US" w:eastAsia="zh-CN" w:bidi="ar"/>
        </w:rPr>
        <w:t>月</w:t>
      </w:r>
      <w:r>
        <w:rPr>
          <w:rFonts w:hint="default" w:ascii="Times New Roman" w:hAnsi="Times New Roman" w:eastAsia="仿宋_GB2312" w:cs="Times New Roman"/>
          <w:kern w:val="2"/>
          <w:sz w:val="32"/>
          <w:szCs w:val="32"/>
          <w:lang w:val="en-US" w:eastAsia="zh-CN" w:bidi="ar"/>
        </w:rPr>
        <w:t>25</w:t>
      </w:r>
      <w:r>
        <w:rPr>
          <w:rFonts w:hint="eastAsia" w:ascii="仿宋_GB2312" w:hAnsi="Times New Roman" w:eastAsia="仿宋_GB2312" w:cs="仿宋_GB2312"/>
          <w:kern w:val="2"/>
          <w:sz w:val="32"/>
          <w:szCs w:val="32"/>
          <w:lang w:val="en-US" w:eastAsia="zh-CN" w:bidi="ar"/>
        </w:rPr>
        <w:t>日，系有限责任公司（自然人独资），注册资本</w:t>
      </w:r>
      <w:r>
        <w:rPr>
          <w:rFonts w:hint="default" w:ascii="Times New Roman" w:hAnsi="Times New Roman" w:eastAsia="仿宋_GB2312" w:cs="Times New Roman"/>
          <w:kern w:val="2"/>
          <w:sz w:val="32"/>
          <w:szCs w:val="32"/>
          <w:lang w:val="en-US" w:eastAsia="zh-CN" w:bidi="ar"/>
        </w:rPr>
        <w:t>2</w:t>
      </w:r>
      <w:r>
        <w:rPr>
          <w:rFonts w:hint="eastAsia" w:ascii="仿宋_GB2312" w:hAnsi="Times New Roman" w:eastAsia="仿宋_GB2312" w:cs="仿宋_GB2312"/>
          <w:kern w:val="2"/>
          <w:sz w:val="32"/>
          <w:szCs w:val="32"/>
          <w:lang w:val="en-US" w:eastAsia="zh-CN" w:bidi="ar"/>
        </w:rPr>
        <w:t>万元，公司经营范围：家居用品制造；家居用品销售；塑料制品制造；塑料制品销售；家具制造；家具销售等。王某乙为该公司监事。</w:t>
      </w:r>
      <w:r>
        <w:rPr>
          <w:rFonts w:hint="default" w:ascii="Times New Roman" w:hAnsi="Times New Roman" w:eastAsia="仿宋_GB2312" w:cs="Times New Roman"/>
          <w:kern w:val="2"/>
          <w:sz w:val="32"/>
          <w:szCs w:val="32"/>
          <w:lang w:val="en-US" w:eastAsia="zh-CN" w:bidi="ar"/>
        </w:rPr>
        <w:t>2024</w:t>
      </w:r>
      <w:r>
        <w:rPr>
          <w:rFonts w:hint="eastAsia" w:ascii="仿宋_GB2312" w:hAnsi="Times New Roman" w:eastAsia="仿宋_GB2312" w:cs="仿宋_GB2312"/>
          <w:kern w:val="2"/>
          <w:sz w:val="32"/>
          <w:szCs w:val="32"/>
          <w:lang w:val="en-US" w:eastAsia="zh-CN" w:bidi="ar"/>
        </w:rPr>
        <w:t>年</w:t>
      </w:r>
      <w:r>
        <w:rPr>
          <w:rFonts w:hint="default" w:ascii="Times New Roman" w:hAnsi="Times New Roman" w:eastAsia="仿宋_GB2312" w:cs="Times New Roman"/>
          <w:kern w:val="2"/>
          <w:sz w:val="32"/>
          <w:szCs w:val="32"/>
          <w:lang w:val="en-US" w:eastAsia="zh-CN" w:bidi="ar"/>
        </w:rPr>
        <w:t>8</w:t>
      </w:r>
      <w:r>
        <w:rPr>
          <w:rFonts w:hint="eastAsia" w:ascii="仿宋_GB2312" w:hAnsi="Times New Roman" w:eastAsia="仿宋_GB2312" w:cs="仿宋_GB2312"/>
          <w:kern w:val="2"/>
          <w:sz w:val="32"/>
          <w:szCs w:val="32"/>
          <w:lang w:val="en-US" w:eastAsia="zh-CN" w:bidi="ar"/>
        </w:rPr>
        <w:t>月</w:t>
      </w:r>
      <w:r>
        <w:rPr>
          <w:rFonts w:hint="default" w:ascii="Times New Roman" w:hAnsi="Times New Roman" w:eastAsia="仿宋_GB2312" w:cs="Times New Roman"/>
          <w:kern w:val="2"/>
          <w:sz w:val="32"/>
          <w:szCs w:val="32"/>
          <w:lang w:val="en-US" w:eastAsia="zh-CN" w:bidi="ar"/>
        </w:rPr>
        <w:t>20</w:t>
      </w:r>
      <w:r>
        <w:rPr>
          <w:rFonts w:hint="eastAsia" w:ascii="仿宋_GB2312" w:hAnsi="Times New Roman" w:eastAsia="仿宋_GB2312" w:cs="仿宋_GB2312"/>
          <w:kern w:val="2"/>
          <w:sz w:val="32"/>
          <w:szCs w:val="32"/>
          <w:lang w:val="en-US" w:eastAsia="zh-CN" w:bidi="ar"/>
        </w:rPr>
        <w:t>日，该公司的企业名称由</w:t>
      </w:r>
      <w:r>
        <w:rPr>
          <w:rFonts w:hint="default" w:ascii="Times New Roman" w:hAnsi="Times New Roman" w:eastAsia="仿宋_GB2312" w:cs="Times New Roman"/>
          <w:kern w:val="2"/>
          <w:sz w:val="32"/>
          <w:szCs w:val="32"/>
          <w:lang w:val="en-US" w:eastAsia="zh-CN" w:bidi="ar"/>
        </w:rPr>
        <w:t>“</w:t>
      </w:r>
      <w:r>
        <w:rPr>
          <w:rFonts w:hint="eastAsia" w:ascii="仿宋_GB2312" w:hAnsi="Times New Roman" w:eastAsia="仿宋_GB2312" w:cs="仿宋_GB2312"/>
          <w:kern w:val="2"/>
          <w:sz w:val="32"/>
          <w:szCs w:val="32"/>
          <w:lang w:val="en-US" w:eastAsia="zh-CN" w:bidi="ar"/>
        </w:rPr>
        <w:t>廊坊嘉某家居有限公司</w:t>
      </w:r>
      <w:r>
        <w:rPr>
          <w:rFonts w:hint="default" w:ascii="Times New Roman" w:hAnsi="Times New Roman" w:eastAsia="仿宋_GB2312" w:cs="Times New Roman"/>
          <w:kern w:val="2"/>
          <w:sz w:val="32"/>
          <w:szCs w:val="32"/>
          <w:lang w:val="en-US" w:eastAsia="zh-CN" w:bidi="ar"/>
        </w:rPr>
        <w:t>”</w:t>
      </w:r>
      <w:r>
        <w:rPr>
          <w:rFonts w:hint="eastAsia" w:ascii="仿宋_GB2312" w:hAnsi="Times New Roman" w:eastAsia="仿宋_GB2312" w:cs="仿宋_GB2312"/>
          <w:kern w:val="2"/>
          <w:sz w:val="32"/>
          <w:szCs w:val="32"/>
          <w:lang w:val="en-US" w:eastAsia="zh-CN" w:bidi="ar"/>
        </w:rPr>
        <w:t>变更为</w:t>
      </w:r>
      <w:r>
        <w:rPr>
          <w:rFonts w:hint="default" w:ascii="Times New Roman" w:hAnsi="Times New Roman" w:eastAsia="仿宋_GB2312" w:cs="Times New Roman"/>
          <w:kern w:val="2"/>
          <w:sz w:val="32"/>
          <w:szCs w:val="32"/>
          <w:lang w:val="en-US" w:eastAsia="zh-CN" w:bidi="ar"/>
        </w:rPr>
        <w:t>“</w:t>
      </w:r>
      <w:r>
        <w:rPr>
          <w:rFonts w:hint="eastAsia" w:ascii="仿宋_GB2312" w:hAnsi="Times New Roman" w:eastAsia="仿宋_GB2312" w:cs="仿宋_GB2312"/>
          <w:kern w:val="2"/>
          <w:sz w:val="32"/>
          <w:szCs w:val="32"/>
          <w:lang w:val="en-US" w:eastAsia="zh-CN" w:bidi="ar"/>
        </w:rPr>
        <w:t>霸州嘉某家居有限公司</w:t>
      </w:r>
      <w:r>
        <w:rPr>
          <w:rFonts w:hint="default" w:ascii="Times New Roman" w:hAnsi="Times New Roman" w:eastAsia="仿宋_GB2312" w:cs="Times New Roman"/>
          <w:kern w:val="2"/>
          <w:sz w:val="32"/>
          <w:szCs w:val="32"/>
          <w:lang w:val="en-US" w:eastAsia="zh-CN" w:bidi="ar"/>
        </w:rPr>
        <w:t>”</w:t>
      </w:r>
      <w:r>
        <w:rPr>
          <w:rFonts w:hint="eastAsia" w:ascii="仿宋_GB2312" w:hAnsi="Times New Roman" w:eastAsia="仿宋_GB2312" w:cs="仿宋_GB2312"/>
          <w:kern w:val="2"/>
          <w:sz w:val="32"/>
          <w:szCs w:val="32"/>
          <w:lang w:val="en-US" w:eastAsia="zh-CN" w:bidi="ar"/>
        </w:rPr>
        <w:t>，注册资本由</w:t>
      </w:r>
      <w:r>
        <w:rPr>
          <w:rFonts w:hint="default" w:ascii="Times New Roman" w:hAnsi="Times New Roman" w:eastAsia="仿宋_GB2312" w:cs="Times New Roman"/>
          <w:kern w:val="2"/>
          <w:sz w:val="32"/>
          <w:szCs w:val="32"/>
          <w:lang w:val="en-US" w:eastAsia="zh-CN" w:bidi="ar"/>
        </w:rPr>
        <w:t>50</w:t>
      </w:r>
      <w:r>
        <w:rPr>
          <w:rFonts w:hint="eastAsia" w:ascii="仿宋_GB2312" w:hAnsi="Times New Roman" w:eastAsia="仿宋_GB2312" w:cs="仿宋_GB2312"/>
          <w:kern w:val="2"/>
          <w:sz w:val="32"/>
          <w:szCs w:val="32"/>
          <w:lang w:val="en-US" w:eastAsia="zh-CN" w:bidi="ar"/>
        </w:rPr>
        <w:t>万元变更为</w:t>
      </w:r>
      <w:r>
        <w:rPr>
          <w:rFonts w:hint="default" w:ascii="Times New Roman" w:hAnsi="Times New Roman" w:eastAsia="仿宋_GB2312" w:cs="Times New Roman"/>
          <w:kern w:val="2"/>
          <w:sz w:val="32"/>
          <w:szCs w:val="32"/>
          <w:lang w:val="en-US" w:eastAsia="zh-CN" w:bidi="ar"/>
        </w:rPr>
        <w:t>2</w:t>
      </w:r>
      <w:r>
        <w:rPr>
          <w:rFonts w:hint="eastAsia" w:ascii="仿宋_GB2312" w:hAnsi="Times New Roman" w:eastAsia="仿宋_GB2312" w:cs="仿宋_GB2312"/>
          <w:kern w:val="2"/>
          <w:sz w:val="32"/>
          <w:szCs w:val="32"/>
          <w:lang w:val="en-US" w:eastAsia="zh-CN" w:bidi="ar"/>
        </w:rPr>
        <w:t>万元，变更前后股东均为及法定代表人均为王某甲。</w:t>
      </w:r>
    </w:p>
    <w:p>
      <w:pPr>
        <w:keepNext w:val="0"/>
        <w:keepLines w:val="0"/>
        <w:widowControl w:val="0"/>
        <w:suppressLineNumbers w:val="0"/>
        <w:autoSpaceDE w:val="0"/>
        <w:autoSpaceDN w:val="0"/>
        <w:adjustRightInd w:val="0"/>
        <w:spacing w:before="0" w:beforeAutospacing="0" w:after="0" w:afterAutospacing="0" w:line="572" w:lineRule="exact"/>
        <w:ind w:left="0" w:right="0" w:firstLine="620" w:firstLineChars="200"/>
        <w:jc w:val="both"/>
        <w:rPr>
          <w:rFonts w:hint="default" w:ascii="Times New Roman" w:hAnsi="Times New Roman" w:eastAsia="仿宋_GB2312" w:cs="Times New Roman"/>
          <w:kern w:val="2"/>
          <w:sz w:val="32"/>
          <w:szCs w:val="32"/>
        </w:rPr>
      </w:pPr>
      <w:r>
        <w:rPr>
          <w:rFonts w:hint="eastAsia" w:ascii="仿宋_GB2312" w:hAnsi="Times New Roman" w:eastAsia="仿宋_GB2312" w:cs="仿宋_GB2312"/>
          <w:kern w:val="2"/>
          <w:sz w:val="32"/>
          <w:szCs w:val="32"/>
          <w:lang w:val="en-US" w:eastAsia="zh-CN" w:bidi="ar"/>
        </w:rPr>
        <w:t>一审再查明，郑某为涉案专利维权，申请证据保全公证、委托律师代理诉讼等，支出了相应费用。</w:t>
      </w:r>
    </w:p>
    <w:p>
      <w:pPr>
        <w:keepNext w:val="0"/>
        <w:keepLines w:val="0"/>
        <w:widowControl w:val="0"/>
        <w:suppressLineNumbers w:val="0"/>
        <w:autoSpaceDE w:val="0"/>
        <w:autoSpaceDN w:val="0"/>
        <w:adjustRightInd w:val="0"/>
        <w:spacing w:before="0" w:beforeAutospacing="0" w:after="0" w:afterAutospacing="0" w:line="572" w:lineRule="exact"/>
        <w:ind w:left="0" w:right="0" w:firstLine="620" w:firstLineChars="200"/>
        <w:jc w:val="both"/>
        <w:rPr>
          <w:rFonts w:hint="default" w:ascii="Times New Roman" w:hAnsi="Times New Roman" w:eastAsia="仿宋_GB2312" w:cs="Times New Roman"/>
          <w:kern w:val="2"/>
          <w:sz w:val="32"/>
          <w:szCs w:val="32"/>
        </w:rPr>
      </w:pPr>
      <w:r>
        <w:rPr>
          <w:rFonts w:hint="eastAsia" w:ascii="仿宋_GB2312" w:hAnsi="Times New Roman" w:eastAsia="仿宋_GB2312" w:cs="仿宋_GB2312"/>
          <w:kern w:val="2"/>
          <w:sz w:val="32"/>
          <w:szCs w:val="32"/>
          <w:lang w:val="en-US" w:eastAsia="zh-CN" w:bidi="ar"/>
        </w:rPr>
        <w:t>一审法院认为，专利号为</w:t>
      </w:r>
      <w:r>
        <w:rPr>
          <w:rFonts w:hint="default" w:ascii="Times New Roman" w:hAnsi="Times New Roman" w:eastAsia="仿宋_GB2312" w:cs="Times New Roman"/>
          <w:kern w:val="2"/>
          <w:sz w:val="32"/>
          <w:szCs w:val="32"/>
          <w:lang w:val="en-US" w:eastAsia="zh-CN" w:bidi="ar"/>
        </w:rPr>
        <w:t>ZL2021xxxx54079</w:t>
      </w:r>
      <w:r>
        <w:rPr>
          <w:rFonts w:hint="eastAsia" w:ascii="仿宋_GB2312" w:hAnsi="Times New Roman" w:eastAsia="仿宋_GB2312" w:cs="仿宋_GB2312"/>
          <w:kern w:val="2"/>
          <w:sz w:val="32"/>
          <w:szCs w:val="32"/>
          <w:lang w:val="en-US" w:eastAsia="zh-CN" w:bidi="ar"/>
        </w:rPr>
        <w:t>、名称为</w:t>
      </w:r>
      <w:r>
        <w:rPr>
          <w:rFonts w:hint="default" w:ascii="Times New Roman" w:hAnsi="Times New Roman" w:eastAsia="仿宋_GB2312" w:cs="Times New Roman"/>
          <w:kern w:val="2"/>
          <w:sz w:val="32"/>
          <w:szCs w:val="32"/>
          <w:lang w:val="en-US" w:eastAsia="zh-CN" w:bidi="ar"/>
        </w:rPr>
        <w:t>“</w:t>
      </w:r>
      <w:r>
        <w:rPr>
          <w:rFonts w:hint="eastAsia" w:ascii="仿宋_GB2312" w:hAnsi="Times New Roman" w:eastAsia="仿宋_GB2312" w:cs="仿宋_GB2312"/>
          <w:kern w:val="2"/>
          <w:sz w:val="32"/>
          <w:szCs w:val="32"/>
          <w:lang w:val="en-US" w:eastAsia="zh-CN" w:bidi="ar"/>
        </w:rPr>
        <w:t>收纳架（</w:t>
      </w:r>
      <w:r>
        <w:rPr>
          <w:rFonts w:hint="default" w:ascii="Times New Roman" w:hAnsi="Times New Roman" w:eastAsia="仿宋_GB2312" w:cs="Times New Roman"/>
          <w:kern w:val="2"/>
          <w:sz w:val="32"/>
          <w:szCs w:val="32"/>
          <w:lang w:val="en-US" w:eastAsia="zh-CN" w:bidi="ar"/>
        </w:rPr>
        <w:t>2108</w:t>
      </w:r>
      <w:r>
        <w:rPr>
          <w:rFonts w:hint="eastAsia" w:ascii="仿宋_GB2312" w:hAnsi="Times New Roman" w:eastAsia="仿宋_GB2312" w:cs="仿宋_GB2312"/>
          <w:kern w:val="2"/>
          <w:sz w:val="32"/>
          <w:szCs w:val="32"/>
          <w:lang w:val="en-US" w:eastAsia="zh-CN" w:bidi="ar"/>
        </w:rPr>
        <w:t>）</w:t>
      </w:r>
      <w:r>
        <w:rPr>
          <w:rFonts w:hint="default" w:ascii="Times New Roman" w:hAnsi="Times New Roman" w:eastAsia="仿宋_GB2312" w:cs="Times New Roman"/>
          <w:kern w:val="2"/>
          <w:sz w:val="32"/>
          <w:szCs w:val="32"/>
          <w:lang w:val="en-US" w:eastAsia="zh-CN" w:bidi="ar"/>
        </w:rPr>
        <w:t>”</w:t>
      </w:r>
      <w:r>
        <w:rPr>
          <w:rFonts w:hint="eastAsia" w:ascii="仿宋_GB2312" w:hAnsi="Times New Roman" w:eastAsia="仿宋_GB2312" w:cs="仿宋_GB2312"/>
          <w:kern w:val="2"/>
          <w:sz w:val="32"/>
          <w:szCs w:val="32"/>
          <w:lang w:val="en-US" w:eastAsia="zh-CN" w:bidi="ar"/>
        </w:rPr>
        <w:t>的外观设计专利在有效期内，法律状态稳定，目前该专利合法有效。郑某作为涉案专利权人，有权提起本案诉讼。</w:t>
      </w:r>
    </w:p>
    <w:p>
      <w:pPr>
        <w:keepNext w:val="0"/>
        <w:keepLines w:val="0"/>
        <w:widowControl w:val="0"/>
        <w:suppressLineNumbers w:val="0"/>
        <w:autoSpaceDE w:val="0"/>
        <w:autoSpaceDN w:val="0"/>
        <w:adjustRightInd w:val="0"/>
        <w:spacing w:before="0" w:beforeAutospacing="0" w:after="0" w:afterAutospacing="0" w:line="572" w:lineRule="exact"/>
        <w:ind w:left="0" w:right="0" w:firstLine="620" w:firstLineChars="200"/>
        <w:jc w:val="both"/>
        <w:rPr>
          <w:rFonts w:hint="default" w:ascii="Times New Roman" w:hAnsi="Times New Roman" w:eastAsia="仿宋_GB2312" w:cs="Times New Roman"/>
          <w:kern w:val="2"/>
          <w:sz w:val="32"/>
          <w:szCs w:val="32"/>
        </w:rPr>
      </w:pPr>
      <w:r>
        <w:rPr>
          <w:rFonts w:hint="eastAsia" w:ascii="仿宋_GB2312" w:hAnsi="Times New Roman" w:eastAsia="仿宋_GB2312" w:cs="仿宋_GB2312"/>
          <w:kern w:val="2"/>
          <w:sz w:val="32"/>
          <w:szCs w:val="32"/>
          <w:lang w:val="en-US" w:eastAsia="zh-CN" w:bidi="ar"/>
        </w:rPr>
        <w:t>《中华人民共和国专利法》第六十四条第二款规定：</w:t>
      </w:r>
      <w:r>
        <w:rPr>
          <w:rFonts w:hint="default" w:ascii="Times New Roman" w:hAnsi="Times New Roman" w:eastAsia="仿宋_GB2312" w:cs="Times New Roman"/>
          <w:kern w:val="2"/>
          <w:sz w:val="32"/>
          <w:szCs w:val="32"/>
          <w:lang w:val="en-US" w:eastAsia="zh-CN" w:bidi="ar"/>
        </w:rPr>
        <w:t>“</w:t>
      </w:r>
      <w:r>
        <w:rPr>
          <w:rFonts w:hint="eastAsia" w:ascii="仿宋_GB2312" w:hAnsi="Times New Roman" w:eastAsia="仿宋_GB2312" w:cs="仿宋_GB2312"/>
          <w:kern w:val="2"/>
          <w:sz w:val="32"/>
          <w:szCs w:val="32"/>
          <w:lang w:val="en-US" w:eastAsia="zh-CN" w:bidi="ar"/>
        </w:rPr>
        <w:t>外观设计专利权的保护范围以表示在图片或者照片中的该产品的外观设计为准，简要说明可以用于解释图片或者照片所表示的该产品的外观设计。</w:t>
      </w:r>
      <w:r>
        <w:rPr>
          <w:rFonts w:hint="default" w:ascii="Times New Roman" w:hAnsi="Times New Roman" w:eastAsia="仿宋_GB2312" w:cs="Times New Roman"/>
          <w:kern w:val="2"/>
          <w:sz w:val="32"/>
          <w:szCs w:val="32"/>
          <w:lang w:val="en-US" w:eastAsia="zh-CN" w:bidi="ar"/>
        </w:rPr>
        <w:t>”</w:t>
      </w:r>
      <w:r>
        <w:rPr>
          <w:rFonts w:hint="eastAsia" w:ascii="仿宋_GB2312" w:hAnsi="Times New Roman" w:eastAsia="仿宋_GB2312" w:cs="仿宋_GB2312"/>
          <w:kern w:val="2"/>
          <w:sz w:val="32"/>
          <w:szCs w:val="32"/>
          <w:lang w:val="en-US" w:eastAsia="zh-CN" w:bidi="ar"/>
        </w:rPr>
        <w:t>《最高人民法院关于审理侵犯专利权纠纷案件应用法律若干问题的解释》第十条规定：</w:t>
      </w:r>
      <w:r>
        <w:rPr>
          <w:rFonts w:hint="default" w:ascii="Times New Roman" w:hAnsi="Times New Roman" w:eastAsia="仿宋_GB2312" w:cs="Times New Roman"/>
          <w:kern w:val="2"/>
          <w:sz w:val="32"/>
          <w:szCs w:val="32"/>
          <w:lang w:val="en-US" w:eastAsia="zh-CN" w:bidi="ar"/>
        </w:rPr>
        <w:t>“</w:t>
      </w:r>
      <w:r>
        <w:rPr>
          <w:rFonts w:hint="eastAsia" w:ascii="仿宋_GB2312" w:hAnsi="Times New Roman" w:eastAsia="仿宋_GB2312" w:cs="仿宋_GB2312"/>
          <w:kern w:val="2"/>
          <w:sz w:val="32"/>
          <w:szCs w:val="32"/>
          <w:lang w:val="en-US" w:eastAsia="zh-CN" w:bidi="ar"/>
        </w:rPr>
        <w:t>人民法院应当以外观设计专利产品的一般消费者的知识水平和认知能力，判断外观设计是否相同或者近似</w:t>
      </w:r>
      <w:r>
        <w:rPr>
          <w:rFonts w:hint="default" w:ascii="Times New Roman" w:hAnsi="Times New Roman" w:eastAsia="仿宋_GB2312" w:cs="Times New Roman"/>
          <w:kern w:val="2"/>
          <w:sz w:val="32"/>
          <w:szCs w:val="32"/>
          <w:lang w:val="en-US" w:eastAsia="zh-CN" w:bidi="ar"/>
        </w:rPr>
        <w:t>”</w:t>
      </w:r>
      <w:r>
        <w:rPr>
          <w:rFonts w:hint="eastAsia" w:ascii="仿宋_GB2312" w:hAnsi="Times New Roman" w:eastAsia="仿宋_GB2312" w:cs="仿宋_GB2312"/>
          <w:kern w:val="2"/>
          <w:sz w:val="32"/>
          <w:szCs w:val="32"/>
          <w:lang w:val="en-US" w:eastAsia="zh-CN" w:bidi="ar"/>
        </w:rPr>
        <w:t>；第十一条规定：</w:t>
      </w:r>
      <w:r>
        <w:rPr>
          <w:rFonts w:hint="default" w:ascii="Times New Roman" w:hAnsi="Times New Roman" w:eastAsia="仿宋_GB2312" w:cs="Times New Roman"/>
          <w:kern w:val="2"/>
          <w:sz w:val="32"/>
          <w:szCs w:val="32"/>
          <w:lang w:val="en-US" w:eastAsia="zh-CN" w:bidi="ar"/>
        </w:rPr>
        <w:t>“</w:t>
      </w:r>
      <w:r>
        <w:rPr>
          <w:rFonts w:hint="eastAsia" w:ascii="仿宋_GB2312" w:hAnsi="Times New Roman" w:eastAsia="仿宋_GB2312" w:cs="仿宋_GB2312"/>
          <w:kern w:val="2"/>
          <w:sz w:val="32"/>
          <w:szCs w:val="32"/>
          <w:lang w:val="en-US" w:eastAsia="zh-CN" w:bidi="ar"/>
        </w:rPr>
        <w:t>人民法院认定外观设计是否相同或者近似时，应当根据授权外观设计、被诉侵权设计的设计特征，以外观设计的整体视觉效果进行综合判断；</w:t>
      </w:r>
      <w:r>
        <w:rPr>
          <w:rFonts w:hint="default" w:ascii="Times New Roman" w:hAnsi="Times New Roman" w:eastAsia="仿宋_GB2312" w:cs="Times New Roman"/>
          <w:kern w:val="2"/>
          <w:sz w:val="32"/>
          <w:szCs w:val="32"/>
          <w:lang w:val="en-US" w:eastAsia="zh-CN" w:bidi="ar"/>
        </w:rPr>
        <w:t>……</w:t>
      </w:r>
      <w:r>
        <w:rPr>
          <w:rFonts w:hint="eastAsia" w:ascii="仿宋_GB2312" w:hAnsi="Times New Roman" w:eastAsia="仿宋_GB2312" w:cs="仿宋_GB2312"/>
          <w:kern w:val="2"/>
          <w:sz w:val="32"/>
          <w:szCs w:val="32"/>
          <w:lang w:val="en-US" w:eastAsia="zh-CN" w:bidi="ar"/>
        </w:rPr>
        <w:t>下列情形，通常对外观设计的整体视觉效果更具有影响：（一）产品正常使用时容易被直接观察到的部位相对于其他部位；（二）授权外观设计区别于现有设计的设计特征相对于授权外观设计的其他设计特征。被诉侵权设计与授权外观设计在整体视觉效果上无差异的，人民法院应当认定两者相同；在整体视觉效果上无实质性差异的，应当认定两者近似</w:t>
      </w:r>
      <w:r>
        <w:rPr>
          <w:rFonts w:hint="default" w:ascii="Times New Roman" w:hAnsi="Times New Roman" w:eastAsia="仿宋_GB2312" w:cs="Times New Roman"/>
          <w:kern w:val="2"/>
          <w:sz w:val="32"/>
          <w:szCs w:val="32"/>
          <w:lang w:val="en-US" w:eastAsia="zh-CN" w:bidi="ar"/>
        </w:rPr>
        <w:t>”</w:t>
      </w:r>
      <w:r>
        <w:rPr>
          <w:rFonts w:hint="eastAsia" w:ascii="仿宋_GB2312" w:hAnsi="Times New Roman" w:eastAsia="仿宋_GB2312" w:cs="仿宋_GB2312"/>
          <w:kern w:val="2"/>
          <w:sz w:val="32"/>
          <w:szCs w:val="32"/>
          <w:lang w:val="en-US" w:eastAsia="zh-CN" w:bidi="ar"/>
        </w:rPr>
        <w:t>。据此，判断外观设计是否相同或者近似，应当按照一般消费者的知识水平和认知能力，遵循全面观察设计特征、综合判断整体效果的基本原则，对所保护的外观设计专利与被诉侵权设计进行比对。本案中，被诉侵权产品与涉案专利产品均为收纳架，属于相同种类的产品。经比对，被诉侵权设计与授权外观设计</w:t>
      </w:r>
      <w:r>
        <w:rPr>
          <w:rFonts w:hint="default" w:ascii="Times New Roman" w:hAnsi="Times New Roman" w:eastAsia="仿宋_GB2312" w:cs="Times New Roman"/>
          <w:kern w:val="2"/>
          <w:sz w:val="32"/>
          <w:szCs w:val="32"/>
          <w:lang w:val="en-US" w:eastAsia="zh-CN" w:bidi="ar"/>
        </w:rPr>
        <w:t>1</w:t>
      </w:r>
      <w:r>
        <w:rPr>
          <w:rFonts w:hint="eastAsia" w:ascii="仿宋_GB2312" w:hAnsi="Times New Roman" w:eastAsia="仿宋_GB2312" w:cs="仿宋_GB2312"/>
          <w:kern w:val="2"/>
          <w:sz w:val="32"/>
          <w:szCs w:val="32"/>
          <w:lang w:val="en-US" w:eastAsia="zh-CN" w:bidi="ar"/>
        </w:rPr>
        <w:t>的相同点主要有：两者顶板均为圆角长方形，边缘有凸起的宽边，一侧设有</w:t>
      </w:r>
      <w:r>
        <w:rPr>
          <w:rFonts w:hint="default" w:ascii="Times New Roman" w:hAnsi="Times New Roman" w:eastAsia="仿宋_GB2312" w:cs="Times New Roman"/>
          <w:kern w:val="2"/>
          <w:sz w:val="32"/>
          <w:szCs w:val="32"/>
          <w:lang w:val="en-US" w:eastAsia="zh-CN" w:bidi="ar"/>
        </w:rPr>
        <w:t>90</w:t>
      </w:r>
      <w:r>
        <w:rPr>
          <w:rFonts w:hint="eastAsia" w:ascii="仿宋_GB2312" w:hAnsi="Times New Roman" w:eastAsia="仿宋_GB2312" w:cs="仿宋_GB2312"/>
          <w:kern w:val="2"/>
          <w:sz w:val="32"/>
          <w:szCs w:val="32"/>
          <w:lang w:val="en-US" w:eastAsia="zh-CN" w:bidi="ar"/>
        </w:rPr>
        <w:t>度向外弯曲的把手，主体部分均为三层结构，每一层设有一个置物篮，两侧有对称的侧面支撑架，支撑架整体上呈</w:t>
      </w:r>
      <w:r>
        <w:rPr>
          <w:rFonts w:hint="default" w:ascii="Times New Roman" w:hAnsi="Times New Roman" w:eastAsia="仿宋_GB2312" w:cs="Times New Roman"/>
          <w:kern w:val="2"/>
          <w:sz w:val="32"/>
          <w:szCs w:val="32"/>
          <w:lang w:val="en-US" w:eastAsia="zh-CN" w:bidi="ar"/>
        </w:rPr>
        <w:t>“</w:t>
      </w:r>
      <w:r>
        <w:rPr>
          <w:rFonts w:hint="eastAsia" w:ascii="仿宋_GB2312" w:hAnsi="Times New Roman" w:eastAsia="仿宋_GB2312" w:cs="仿宋_GB2312"/>
          <w:kern w:val="2"/>
          <w:sz w:val="32"/>
          <w:szCs w:val="32"/>
          <w:lang w:val="en-US" w:eastAsia="zh-CN" w:bidi="ar"/>
        </w:rPr>
        <w:t>井</w:t>
      </w:r>
      <w:r>
        <w:rPr>
          <w:rFonts w:hint="default" w:ascii="Times New Roman" w:hAnsi="Times New Roman" w:eastAsia="仿宋_GB2312" w:cs="Times New Roman"/>
          <w:kern w:val="2"/>
          <w:sz w:val="32"/>
          <w:szCs w:val="32"/>
          <w:lang w:val="en-US" w:eastAsia="zh-CN" w:bidi="ar"/>
        </w:rPr>
        <w:t>”</w:t>
      </w:r>
      <w:r>
        <w:rPr>
          <w:rFonts w:hint="eastAsia" w:ascii="仿宋_GB2312" w:hAnsi="Times New Roman" w:eastAsia="仿宋_GB2312" w:cs="仿宋_GB2312"/>
          <w:kern w:val="2"/>
          <w:sz w:val="32"/>
          <w:szCs w:val="32"/>
          <w:lang w:val="en-US" w:eastAsia="zh-CN" w:bidi="ar"/>
        </w:rPr>
        <w:t>字结构，置物篮可由前端抽出，底部为四个滑轮。两者的不同之处在于：</w:t>
      </w:r>
      <w:r>
        <w:rPr>
          <w:rFonts w:hint="default" w:ascii="Times New Roman" w:hAnsi="Times New Roman" w:eastAsia="仿宋_GB2312" w:cs="Times New Roman"/>
          <w:kern w:val="2"/>
          <w:sz w:val="32"/>
          <w:szCs w:val="32"/>
          <w:lang w:val="en-US" w:eastAsia="zh-CN" w:bidi="ar"/>
        </w:rPr>
        <w:t>1.</w:t>
      </w:r>
      <w:r>
        <w:rPr>
          <w:rFonts w:hint="eastAsia" w:ascii="仿宋_GB2312" w:hAnsi="Times New Roman" w:eastAsia="仿宋_GB2312" w:cs="仿宋_GB2312"/>
          <w:kern w:val="2"/>
          <w:sz w:val="32"/>
          <w:szCs w:val="32"/>
          <w:lang w:val="en-US" w:eastAsia="zh-CN" w:bidi="ar"/>
        </w:rPr>
        <w:t>授权外观设计</w:t>
      </w:r>
      <w:r>
        <w:rPr>
          <w:rFonts w:hint="default" w:ascii="Times New Roman" w:hAnsi="Times New Roman" w:eastAsia="仿宋_GB2312" w:cs="Times New Roman"/>
          <w:kern w:val="2"/>
          <w:sz w:val="32"/>
          <w:szCs w:val="32"/>
          <w:lang w:val="en-US" w:eastAsia="zh-CN" w:bidi="ar"/>
        </w:rPr>
        <w:t>1</w:t>
      </w:r>
      <w:r>
        <w:rPr>
          <w:rFonts w:hint="eastAsia" w:ascii="仿宋_GB2312" w:hAnsi="Times New Roman" w:eastAsia="仿宋_GB2312" w:cs="仿宋_GB2312"/>
          <w:kern w:val="2"/>
          <w:sz w:val="32"/>
          <w:szCs w:val="32"/>
          <w:lang w:val="en-US" w:eastAsia="zh-CN" w:bidi="ar"/>
        </w:rPr>
        <w:t>的把手光滑平整，被诉侵权设计的把手上设有四个手指槽；</w:t>
      </w:r>
      <w:r>
        <w:rPr>
          <w:rFonts w:hint="default" w:ascii="Times New Roman" w:hAnsi="Times New Roman" w:eastAsia="仿宋_GB2312" w:cs="Times New Roman"/>
          <w:kern w:val="2"/>
          <w:sz w:val="32"/>
          <w:szCs w:val="32"/>
          <w:lang w:val="en-US" w:eastAsia="zh-CN" w:bidi="ar"/>
        </w:rPr>
        <w:t>2.</w:t>
      </w:r>
      <w:r>
        <w:rPr>
          <w:rFonts w:hint="eastAsia" w:ascii="仿宋_GB2312" w:hAnsi="Times New Roman" w:eastAsia="仿宋_GB2312" w:cs="仿宋_GB2312"/>
          <w:kern w:val="2"/>
          <w:sz w:val="32"/>
          <w:szCs w:val="32"/>
          <w:lang w:val="en-US" w:eastAsia="zh-CN" w:bidi="ar"/>
        </w:rPr>
        <w:t>横板前端两个圆角区的设计不同，授权外观设计</w:t>
      </w:r>
      <w:r>
        <w:rPr>
          <w:rFonts w:hint="default" w:ascii="Times New Roman" w:hAnsi="Times New Roman" w:eastAsia="仿宋_GB2312" w:cs="Times New Roman"/>
          <w:kern w:val="2"/>
          <w:sz w:val="32"/>
          <w:szCs w:val="32"/>
          <w:lang w:val="en-US" w:eastAsia="zh-CN" w:bidi="ar"/>
        </w:rPr>
        <w:t>1</w:t>
      </w:r>
      <w:r>
        <w:rPr>
          <w:rFonts w:hint="eastAsia" w:ascii="仿宋_GB2312" w:hAnsi="Times New Roman" w:eastAsia="仿宋_GB2312" w:cs="仿宋_GB2312"/>
          <w:kern w:val="2"/>
          <w:sz w:val="32"/>
          <w:szCs w:val="32"/>
          <w:lang w:val="en-US" w:eastAsia="zh-CN" w:bidi="ar"/>
        </w:rPr>
        <w:t>为台阶状，被诉侵权设计为平面；</w:t>
      </w:r>
      <w:r>
        <w:rPr>
          <w:rFonts w:hint="default" w:ascii="Times New Roman" w:hAnsi="Times New Roman" w:eastAsia="仿宋_GB2312" w:cs="Times New Roman"/>
          <w:kern w:val="2"/>
          <w:sz w:val="32"/>
          <w:szCs w:val="32"/>
          <w:lang w:val="en-US" w:eastAsia="zh-CN" w:bidi="ar"/>
        </w:rPr>
        <w:t>3.</w:t>
      </w:r>
      <w:r>
        <w:rPr>
          <w:rFonts w:hint="eastAsia" w:ascii="仿宋_GB2312" w:hAnsi="Times New Roman" w:eastAsia="仿宋_GB2312" w:cs="仿宋_GB2312"/>
          <w:kern w:val="2"/>
          <w:sz w:val="32"/>
          <w:szCs w:val="32"/>
          <w:lang w:val="en-US" w:eastAsia="zh-CN" w:bidi="ar"/>
        </w:rPr>
        <w:t>侧面支撑架的细节设计不同，授权外观设计</w:t>
      </w:r>
      <w:r>
        <w:rPr>
          <w:rFonts w:hint="default" w:ascii="Times New Roman" w:hAnsi="Times New Roman" w:eastAsia="仿宋_GB2312" w:cs="Times New Roman"/>
          <w:kern w:val="2"/>
          <w:sz w:val="32"/>
          <w:szCs w:val="32"/>
          <w:lang w:val="en-US" w:eastAsia="zh-CN" w:bidi="ar"/>
        </w:rPr>
        <w:t>1</w:t>
      </w:r>
      <w:r>
        <w:rPr>
          <w:rFonts w:hint="eastAsia" w:ascii="仿宋_GB2312" w:hAnsi="Times New Roman" w:eastAsia="仿宋_GB2312" w:cs="仿宋_GB2312"/>
          <w:kern w:val="2"/>
          <w:sz w:val="32"/>
          <w:szCs w:val="32"/>
          <w:lang w:val="en-US" w:eastAsia="zh-CN" w:bidi="ar"/>
        </w:rPr>
        <w:t>每层为四根独立立柱，表面有凹凸</w:t>
      </w:r>
      <w:bookmarkStart w:id="5" w:name="WKJC_9ab2d15efb7840ce813cc8b075d855e1"/>
      <w:r>
        <w:rPr>
          <w:rFonts w:hint="eastAsia" w:ascii="仿宋_GB2312" w:hAnsi="Times New Roman" w:eastAsia="仿宋_GB2312" w:cs="仿宋_GB2312"/>
          <w:kern w:val="2"/>
          <w:sz w:val="32"/>
          <w:szCs w:val="32"/>
          <w:lang w:val="en-US" w:eastAsia="zh-CN" w:bidi="ar"/>
        </w:rPr>
        <w:t>竖纹</w:t>
      </w:r>
      <w:bookmarkEnd w:id="5"/>
      <w:r>
        <w:rPr>
          <w:rFonts w:hint="eastAsia" w:ascii="仿宋_GB2312" w:hAnsi="Times New Roman" w:eastAsia="仿宋_GB2312" w:cs="仿宋_GB2312"/>
          <w:kern w:val="2"/>
          <w:sz w:val="32"/>
          <w:szCs w:val="32"/>
          <w:lang w:val="en-US" w:eastAsia="zh-CN" w:bidi="ar"/>
        </w:rPr>
        <w:t>，内部镂空为正方形，被诉侵权设计每层侧面支撑架一体成型，其外围为方形，内部镂空类似圆角枕头形；</w:t>
      </w:r>
      <w:r>
        <w:rPr>
          <w:rFonts w:hint="default" w:ascii="Times New Roman" w:hAnsi="Times New Roman" w:eastAsia="仿宋_GB2312" w:cs="Times New Roman"/>
          <w:kern w:val="2"/>
          <w:sz w:val="32"/>
          <w:szCs w:val="32"/>
          <w:lang w:val="en-US" w:eastAsia="zh-CN" w:bidi="ar"/>
        </w:rPr>
        <w:t>4.</w:t>
      </w:r>
      <w:r>
        <w:rPr>
          <w:rFonts w:hint="eastAsia" w:ascii="仿宋_GB2312" w:hAnsi="Times New Roman" w:eastAsia="仿宋_GB2312" w:cs="仿宋_GB2312"/>
          <w:kern w:val="2"/>
          <w:sz w:val="32"/>
          <w:szCs w:val="32"/>
          <w:lang w:val="en-US" w:eastAsia="zh-CN" w:bidi="ar"/>
        </w:rPr>
        <w:t>抽屉方面，授权外观设计</w:t>
      </w:r>
      <w:r>
        <w:rPr>
          <w:rFonts w:hint="default" w:ascii="Times New Roman" w:hAnsi="Times New Roman" w:eastAsia="仿宋_GB2312" w:cs="Times New Roman"/>
          <w:kern w:val="2"/>
          <w:sz w:val="32"/>
          <w:szCs w:val="32"/>
          <w:lang w:val="en-US" w:eastAsia="zh-CN" w:bidi="ar"/>
        </w:rPr>
        <w:t>1</w:t>
      </w:r>
      <w:r>
        <w:rPr>
          <w:rFonts w:hint="eastAsia" w:ascii="仿宋_GB2312" w:hAnsi="Times New Roman" w:eastAsia="仿宋_GB2312" w:cs="仿宋_GB2312"/>
          <w:kern w:val="2"/>
          <w:sz w:val="32"/>
          <w:szCs w:val="32"/>
          <w:lang w:val="en-US" w:eastAsia="zh-CN" w:bidi="ar"/>
        </w:rPr>
        <w:t>的抽屉表面光滑，整体为透明材质，被诉侵权设计表面有凹凸纹面，整体为半透明材质。该院认为，对于授权外观设计</w:t>
      </w:r>
      <w:r>
        <w:rPr>
          <w:rFonts w:hint="default" w:ascii="Times New Roman" w:hAnsi="Times New Roman" w:eastAsia="仿宋_GB2312" w:cs="Times New Roman"/>
          <w:kern w:val="2"/>
          <w:sz w:val="32"/>
          <w:szCs w:val="32"/>
          <w:lang w:val="en-US" w:eastAsia="zh-CN" w:bidi="ar"/>
        </w:rPr>
        <w:t>1</w:t>
      </w:r>
      <w:r>
        <w:rPr>
          <w:rFonts w:hint="eastAsia" w:ascii="仿宋_GB2312" w:hAnsi="Times New Roman" w:eastAsia="仿宋_GB2312" w:cs="仿宋_GB2312"/>
          <w:kern w:val="2"/>
          <w:sz w:val="32"/>
          <w:szCs w:val="32"/>
          <w:lang w:val="en-US" w:eastAsia="zh-CN" w:bidi="ar"/>
        </w:rPr>
        <w:t>这类立体产品，其整体构造以及外形轮廓对其整体视觉效果最具影响，两者在整体构造、各部分的大小形状和比例关系上基本相同，两者呈现的整体视觉效果基本一致，虽然存在上述区别，但均属于局部细微变化，且在产品整体中所占比例较小，对整体视觉效果不具有显著影响，据此，该院认定两者构成近似设计，被诉侵权设计落入涉案专利权的保护范围。</w:t>
      </w:r>
    </w:p>
    <w:p>
      <w:pPr>
        <w:keepNext w:val="0"/>
        <w:keepLines w:val="0"/>
        <w:widowControl w:val="0"/>
        <w:suppressLineNumbers w:val="0"/>
        <w:autoSpaceDE w:val="0"/>
        <w:autoSpaceDN w:val="0"/>
        <w:adjustRightInd w:val="0"/>
        <w:spacing w:before="0" w:beforeAutospacing="0" w:after="0" w:afterAutospacing="0" w:line="572" w:lineRule="exact"/>
        <w:ind w:left="0" w:right="0" w:firstLine="620" w:firstLineChars="200"/>
        <w:jc w:val="both"/>
        <w:rPr>
          <w:rFonts w:hint="default" w:ascii="Times New Roman" w:hAnsi="Times New Roman" w:eastAsia="仿宋_GB2312" w:cs="Times New Roman"/>
          <w:kern w:val="2"/>
          <w:sz w:val="32"/>
          <w:szCs w:val="32"/>
        </w:rPr>
      </w:pPr>
      <w:r>
        <w:rPr>
          <w:rFonts w:hint="eastAsia" w:ascii="仿宋_GB2312" w:hAnsi="Times New Roman" w:eastAsia="仿宋_GB2312" w:cs="仿宋_GB2312"/>
          <w:kern w:val="2"/>
          <w:sz w:val="32"/>
          <w:szCs w:val="32"/>
          <w:lang w:val="en-US" w:eastAsia="zh-CN" w:bidi="ar"/>
        </w:rPr>
        <w:t>《中华人民共和国专利法》第十一条第二款规定：</w:t>
      </w:r>
      <w:r>
        <w:rPr>
          <w:rFonts w:hint="default" w:ascii="Times New Roman" w:hAnsi="Times New Roman" w:eastAsia="仿宋_GB2312" w:cs="Times New Roman"/>
          <w:kern w:val="2"/>
          <w:sz w:val="32"/>
          <w:szCs w:val="32"/>
          <w:lang w:val="en-US" w:eastAsia="zh-CN" w:bidi="ar"/>
        </w:rPr>
        <w:t>“</w:t>
      </w:r>
      <w:r>
        <w:rPr>
          <w:rFonts w:hint="eastAsia" w:ascii="仿宋_GB2312" w:hAnsi="Times New Roman" w:eastAsia="仿宋_GB2312" w:cs="仿宋_GB2312"/>
          <w:kern w:val="2"/>
          <w:sz w:val="32"/>
          <w:szCs w:val="32"/>
          <w:lang w:val="en-US" w:eastAsia="zh-CN" w:bidi="ar"/>
        </w:rPr>
        <w:t>外观设计专利权被授予后，任何单位或者个人未经专利权人许可，都不得实施其专利，即不得为生产经营目的制造、许诺销售、销售、进口其外观设计专利产品。</w:t>
      </w:r>
      <w:r>
        <w:rPr>
          <w:rFonts w:hint="default" w:ascii="Times New Roman" w:hAnsi="Times New Roman" w:eastAsia="仿宋_GB2312" w:cs="Times New Roman"/>
          <w:kern w:val="2"/>
          <w:sz w:val="32"/>
          <w:szCs w:val="32"/>
          <w:lang w:val="en-US" w:eastAsia="zh-CN" w:bidi="ar"/>
        </w:rPr>
        <w:t>”</w:t>
      </w:r>
      <w:r>
        <w:rPr>
          <w:rFonts w:hint="eastAsia" w:ascii="仿宋_GB2312" w:hAnsi="Times New Roman" w:eastAsia="仿宋_GB2312" w:cs="仿宋_GB2312"/>
          <w:kern w:val="2"/>
          <w:sz w:val="32"/>
          <w:szCs w:val="32"/>
          <w:lang w:val="en-US" w:eastAsia="zh-CN" w:bidi="ar"/>
        </w:rPr>
        <w:t>嘉某公司在其开设的</w:t>
      </w:r>
      <w:r>
        <w:rPr>
          <w:rFonts w:hint="default" w:ascii="Times New Roman" w:hAnsi="Times New Roman" w:eastAsia="仿宋_GB2312" w:cs="Times New Roman"/>
          <w:kern w:val="2"/>
          <w:sz w:val="32"/>
          <w:szCs w:val="32"/>
          <w:lang w:val="en-US" w:eastAsia="zh-CN" w:bidi="ar"/>
        </w:rPr>
        <w:t>1688</w:t>
      </w:r>
      <w:r>
        <w:rPr>
          <w:rFonts w:hint="eastAsia" w:ascii="仿宋_GB2312" w:hAnsi="Times New Roman" w:eastAsia="仿宋_GB2312" w:cs="仿宋_GB2312"/>
          <w:kern w:val="2"/>
          <w:sz w:val="32"/>
          <w:szCs w:val="32"/>
          <w:lang w:val="en-US" w:eastAsia="zh-CN" w:bidi="ar"/>
        </w:rPr>
        <w:t>网店中展示侵权产品，对外作出销售的意思表示，侵权链接下显示产品已有销量，郑某亦公证购买到了侵权产品，据此，该院认定嘉某公司实施了销售、许诺销售侵权产品的行为。被诉侵权店铺显示加工方式有</w:t>
      </w:r>
      <w:r>
        <w:rPr>
          <w:rFonts w:hint="default" w:ascii="Times New Roman" w:hAnsi="Times New Roman" w:eastAsia="仿宋_GB2312" w:cs="Times New Roman"/>
          <w:kern w:val="2"/>
          <w:sz w:val="32"/>
          <w:szCs w:val="32"/>
          <w:lang w:val="en-US" w:eastAsia="zh-CN" w:bidi="ar"/>
        </w:rPr>
        <w:t>“</w:t>
      </w:r>
      <w:r>
        <w:rPr>
          <w:rFonts w:hint="eastAsia" w:ascii="仿宋_GB2312" w:hAnsi="Times New Roman" w:eastAsia="仿宋_GB2312" w:cs="仿宋_GB2312"/>
          <w:kern w:val="2"/>
          <w:sz w:val="32"/>
          <w:szCs w:val="32"/>
          <w:lang w:val="en-US" w:eastAsia="zh-CN" w:bidi="ar"/>
        </w:rPr>
        <w:t>来图加工</w:t>
      </w:r>
      <w:r>
        <w:rPr>
          <w:rFonts w:hint="default" w:ascii="Times New Roman" w:hAnsi="Times New Roman" w:eastAsia="仿宋_GB2312" w:cs="Times New Roman"/>
          <w:kern w:val="2"/>
          <w:sz w:val="32"/>
          <w:szCs w:val="32"/>
          <w:lang w:val="en-US" w:eastAsia="zh-CN" w:bidi="ar"/>
        </w:rPr>
        <w:t>”“</w:t>
      </w:r>
      <w:r>
        <w:rPr>
          <w:rFonts w:hint="eastAsia" w:ascii="仿宋_GB2312" w:hAnsi="Times New Roman" w:eastAsia="仿宋_GB2312" w:cs="仿宋_GB2312"/>
          <w:kern w:val="2"/>
          <w:sz w:val="32"/>
          <w:szCs w:val="32"/>
          <w:lang w:val="en-US" w:eastAsia="zh-CN" w:bidi="ar"/>
        </w:rPr>
        <w:t>来样加工</w:t>
      </w:r>
      <w:r>
        <w:rPr>
          <w:rFonts w:hint="default" w:ascii="Times New Roman" w:hAnsi="Times New Roman" w:eastAsia="仿宋_GB2312" w:cs="Times New Roman"/>
          <w:kern w:val="2"/>
          <w:sz w:val="32"/>
          <w:szCs w:val="32"/>
          <w:lang w:val="en-US" w:eastAsia="zh-CN" w:bidi="ar"/>
        </w:rPr>
        <w:t>”</w:t>
      </w:r>
      <w:r>
        <w:rPr>
          <w:rFonts w:hint="eastAsia" w:ascii="仿宋_GB2312" w:hAnsi="Times New Roman" w:eastAsia="仿宋_GB2312" w:cs="仿宋_GB2312"/>
          <w:kern w:val="2"/>
          <w:sz w:val="32"/>
          <w:szCs w:val="32"/>
          <w:lang w:val="en-US" w:eastAsia="zh-CN" w:bidi="ar"/>
        </w:rPr>
        <w:t>等，结合嘉某公司的经营范围亦包含塑料制品制造、家具制造等，故在无相反证据的情况下，该院认定嘉某公司实施了制造侵权产品的行为。嘉某公司未经许可，以生产经营为目的制造、销售、许诺销售侵权产品，侵害了郑某享有的涉案外观设计专利权，应当承担停止侵权、赔偿损失的责任。</w:t>
      </w:r>
    </w:p>
    <w:p>
      <w:pPr>
        <w:keepNext w:val="0"/>
        <w:keepLines w:val="0"/>
        <w:widowControl w:val="0"/>
        <w:suppressLineNumbers w:val="0"/>
        <w:autoSpaceDE w:val="0"/>
        <w:autoSpaceDN w:val="0"/>
        <w:adjustRightInd w:val="0"/>
        <w:spacing w:before="0" w:beforeAutospacing="0" w:after="0" w:afterAutospacing="0" w:line="572" w:lineRule="exact"/>
        <w:ind w:left="0" w:right="0" w:firstLine="620" w:firstLineChars="200"/>
        <w:jc w:val="both"/>
        <w:rPr>
          <w:rFonts w:hint="default" w:ascii="Times New Roman" w:hAnsi="Times New Roman" w:eastAsia="仿宋_GB2312" w:cs="Times New Roman"/>
          <w:kern w:val="2"/>
          <w:sz w:val="32"/>
          <w:szCs w:val="32"/>
        </w:rPr>
      </w:pPr>
      <w:r>
        <w:rPr>
          <w:rFonts w:hint="eastAsia" w:ascii="仿宋_GB2312" w:hAnsi="Times New Roman" w:eastAsia="仿宋_GB2312" w:cs="仿宋_GB2312"/>
          <w:kern w:val="2"/>
          <w:sz w:val="32"/>
          <w:szCs w:val="32"/>
          <w:lang w:val="en-US" w:eastAsia="zh-CN" w:bidi="ar"/>
        </w:rPr>
        <w:t>《中华人民共和国公司法》第二十三条第三款规定：</w:t>
      </w:r>
      <w:r>
        <w:rPr>
          <w:rFonts w:hint="default" w:ascii="Times New Roman" w:hAnsi="Times New Roman" w:eastAsia="仿宋_GB2312" w:cs="Times New Roman"/>
          <w:kern w:val="2"/>
          <w:sz w:val="32"/>
          <w:szCs w:val="32"/>
          <w:lang w:val="en-US" w:eastAsia="zh-CN" w:bidi="ar"/>
        </w:rPr>
        <w:t>“</w:t>
      </w:r>
      <w:r>
        <w:rPr>
          <w:rFonts w:hint="eastAsia" w:ascii="仿宋_GB2312" w:hAnsi="Times New Roman" w:eastAsia="仿宋_GB2312" w:cs="仿宋_GB2312"/>
          <w:kern w:val="2"/>
          <w:sz w:val="32"/>
          <w:szCs w:val="32"/>
          <w:lang w:val="en-US" w:eastAsia="zh-CN" w:bidi="ar"/>
        </w:rPr>
        <w:t>只有一个股东的公司，股东不能证明公司财产独立于股东自己的财产的，应当对公司债务承担连带责任</w:t>
      </w:r>
      <w:r>
        <w:rPr>
          <w:rFonts w:hint="default" w:ascii="Times New Roman" w:hAnsi="Times New Roman" w:eastAsia="仿宋_GB2312" w:cs="Times New Roman"/>
          <w:kern w:val="2"/>
          <w:sz w:val="32"/>
          <w:szCs w:val="32"/>
          <w:lang w:val="en-US" w:eastAsia="zh-CN" w:bidi="ar"/>
        </w:rPr>
        <w:t>”</w:t>
      </w:r>
      <w:r>
        <w:rPr>
          <w:rFonts w:hint="eastAsia" w:ascii="仿宋_GB2312" w:hAnsi="Times New Roman" w:eastAsia="仿宋_GB2312" w:cs="仿宋_GB2312"/>
          <w:kern w:val="2"/>
          <w:sz w:val="32"/>
          <w:szCs w:val="32"/>
          <w:lang w:val="en-US" w:eastAsia="zh-CN" w:bidi="ar"/>
        </w:rPr>
        <w:t>。公证取证时，嘉某公司系一人有限责任公司，王某甲系公司法定代表人及公司唯一股东，其未能举证证明公司财产独立于股东自己的财产，应当对嘉某公司的债务承担连带责任。</w:t>
      </w:r>
    </w:p>
    <w:p>
      <w:pPr>
        <w:keepNext w:val="0"/>
        <w:keepLines w:val="0"/>
        <w:widowControl w:val="0"/>
        <w:suppressLineNumbers w:val="0"/>
        <w:autoSpaceDE w:val="0"/>
        <w:autoSpaceDN w:val="0"/>
        <w:adjustRightInd w:val="0"/>
        <w:spacing w:before="0" w:beforeAutospacing="0" w:after="0" w:afterAutospacing="0" w:line="572" w:lineRule="exact"/>
        <w:ind w:left="0" w:right="0" w:firstLine="620" w:firstLineChars="200"/>
        <w:jc w:val="both"/>
        <w:rPr>
          <w:rFonts w:hint="default" w:ascii="Times New Roman" w:hAnsi="Times New Roman" w:eastAsia="仿宋_GB2312" w:cs="Times New Roman"/>
          <w:kern w:val="2"/>
          <w:sz w:val="32"/>
          <w:szCs w:val="32"/>
        </w:rPr>
      </w:pPr>
      <w:r>
        <w:rPr>
          <w:rFonts w:hint="eastAsia" w:ascii="仿宋_GB2312" w:hAnsi="Times New Roman" w:eastAsia="仿宋_GB2312" w:cs="仿宋_GB2312"/>
          <w:kern w:val="2"/>
          <w:sz w:val="32"/>
          <w:szCs w:val="32"/>
          <w:lang w:val="en-US" w:eastAsia="zh-CN" w:bidi="ar"/>
        </w:rPr>
        <w:t>关于赔偿数额，《中华人民共和国专利法》第七十一条规定：</w:t>
      </w:r>
      <w:r>
        <w:rPr>
          <w:rFonts w:hint="default" w:ascii="Times New Roman" w:hAnsi="Times New Roman" w:eastAsia="仿宋_GB2312" w:cs="Times New Roman"/>
          <w:kern w:val="2"/>
          <w:sz w:val="32"/>
          <w:szCs w:val="32"/>
          <w:lang w:val="en-US" w:eastAsia="zh-CN" w:bidi="ar"/>
        </w:rPr>
        <w:t>“</w:t>
      </w:r>
      <w:r>
        <w:rPr>
          <w:rFonts w:hint="eastAsia" w:ascii="仿宋_GB2312" w:hAnsi="Times New Roman" w:eastAsia="仿宋_GB2312" w:cs="仿宋_GB2312"/>
          <w:kern w:val="2"/>
          <w:sz w:val="32"/>
          <w:szCs w:val="32"/>
          <w:lang w:val="en-US" w:eastAsia="zh-CN" w:bidi="ar"/>
        </w:rPr>
        <w:t>侵犯专利权的赔偿数额按照权利人因被侵权所受到的实际损失或者侵权人因侵权所获得的利益确定；权利人的损失或者侵权人获得的利益难以确定的，参照该专利许可使用费的倍数合理确定。对故意侵犯专利权，情节严重的，可以在按照上述方法确定数额的一倍以上五倍以下确定赔偿数额。权利人的损失、侵权人获得的利益和专利许可使用费均难以确定的，人民法院可以根据专利权的类型、侵权行为的性质和情节等因素，确定给予三万元以上五百万元以下的赔偿。赔偿数额还应当包括权利人为制止侵权行为所支付的合理开支。</w:t>
      </w:r>
      <w:r>
        <w:rPr>
          <w:rFonts w:hint="default" w:ascii="Times New Roman" w:hAnsi="Times New Roman" w:eastAsia="仿宋_GB2312" w:cs="Times New Roman"/>
          <w:kern w:val="2"/>
          <w:sz w:val="32"/>
          <w:szCs w:val="32"/>
          <w:lang w:val="en-US" w:eastAsia="zh-CN" w:bidi="ar"/>
        </w:rPr>
        <w:t>”</w:t>
      </w:r>
      <w:r>
        <w:rPr>
          <w:rFonts w:hint="eastAsia" w:ascii="仿宋_GB2312" w:hAnsi="Times New Roman" w:eastAsia="仿宋_GB2312" w:cs="仿宋_GB2312"/>
          <w:kern w:val="2"/>
          <w:sz w:val="32"/>
          <w:szCs w:val="32"/>
          <w:lang w:val="en-US" w:eastAsia="zh-CN" w:bidi="ar"/>
        </w:rPr>
        <w:t>本案中，依据现有证据，侵权人的侵权获利或郑某因被侵权所受到的具体损失均无法查清。该院认为，在专利侵权诉讼中，为进一步提高损害赔偿计算的合理性，在确定实际损失或侵权所得的赔偿数额时，人民法院可在一定事实和数据基础上，根据案情运用裁量权确定计算赔偿所需的其他数据，确定公平合理的赔偿数额。根据上述方法酌定的赔偿数额，可以不受法定赔偿最高或者最低限额的限制。根据在案证据显示，无论依据权利人实际损失或侵权人侵权获利所确定的赔偿数额均低于法定赔偿额的下限</w:t>
      </w:r>
      <w:r>
        <w:rPr>
          <w:rFonts w:hint="default" w:ascii="Times New Roman" w:hAnsi="Times New Roman" w:eastAsia="仿宋_GB2312" w:cs="Times New Roman"/>
          <w:kern w:val="2"/>
          <w:sz w:val="32"/>
          <w:szCs w:val="32"/>
          <w:lang w:val="en-US" w:eastAsia="zh-CN" w:bidi="ar"/>
        </w:rPr>
        <w:t>3</w:t>
      </w:r>
      <w:r>
        <w:rPr>
          <w:rFonts w:hint="eastAsia" w:ascii="仿宋_GB2312" w:hAnsi="Times New Roman" w:eastAsia="仿宋_GB2312" w:cs="仿宋_GB2312"/>
          <w:kern w:val="2"/>
          <w:sz w:val="32"/>
          <w:szCs w:val="32"/>
          <w:lang w:val="en-US" w:eastAsia="zh-CN" w:bidi="ar"/>
        </w:rPr>
        <w:t>万元，因此，该院综合考虑涉案专利的类型、授权时间、侵权行为的性质、情节等因素，酌定本案经济损失及为制止侵权所支付的合理费用共计</w:t>
      </w:r>
      <w:r>
        <w:rPr>
          <w:rFonts w:hint="default" w:ascii="Times New Roman" w:hAnsi="Times New Roman" w:eastAsia="仿宋_GB2312" w:cs="Times New Roman"/>
          <w:kern w:val="2"/>
          <w:sz w:val="32"/>
          <w:szCs w:val="32"/>
          <w:lang w:val="en-US" w:eastAsia="zh-CN" w:bidi="ar"/>
        </w:rPr>
        <w:t>2</w:t>
      </w:r>
      <w:r>
        <w:rPr>
          <w:rFonts w:hint="eastAsia" w:ascii="仿宋_GB2312" w:hAnsi="Times New Roman" w:eastAsia="仿宋_GB2312" w:cs="仿宋_GB2312"/>
          <w:kern w:val="2"/>
          <w:sz w:val="32"/>
          <w:szCs w:val="32"/>
          <w:lang w:val="en-US" w:eastAsia="zh-CN" w:bidi="ar"/>
        </w:rPr>
        <w:t>万元。</w:t>
      </w:r>
    </w:p>
    <w:p>
      <w:pPr>
        <w:keepNext w:val="0"/>
        <w:keepLines w:val="0"/>
        <w:widowControl w:val="0"/>
        <w:suppressLineNumbers w:val="0"/>
        <w:autoSpaceDE w:val="0"/>
        <w:autoSpaceDN w:val="0"/>
        <w:adjustRightInd w:val="0"/>
        <w:spacing w:before="0" w:beforeAutospacing="0" w:after="0" w:afterAutospacing="0" w:line="572" w:lineRule="exact"/>
        <w:ind w:left="0" w:right="0" w:firstLine="620" w:firstLineChars="200"/>
        <w:jc w:val="both"/>
        <w:rPr>
          <w:rFonts w:hint="default" w:ascii="Times New Roman" w:hAnsi="Times New Roman" w:eastAsia="仿宋_GB2312" w:cs="Times New Roman"/>
          <w:kern w:val="2"/>
          <w:sz w:val="32"/>
          <w:szCs w:val="32"/>
        </w:rPr>
      </w:pPr>
      <w:r>
        <w:rPr>
          <w:rFonts w:hint="eastAsia" w:ascii="仿宋_GB2312" w:hAnsi="Times New Roman" w:eastAsia="仿宋_GB2312" w:cs="仿宋_GB2312"/>
          <w:kern w:val="2"/>
          <w:sz w:val="32"/>
          <w:szCs w:val="32"/>
          <w:lang w:val="en-US" w:eastAsia="zh-CN" w:bidi="ar"/>
        </w:rPr>
        <w:t>综上，一审法院依照《中华人民共和国专利法》第十一条第二款、第六十四条第二款、第七十一条，《中华人民共和国公司法》第二十三条第三款，《最高人民法院关于审理侵犯专利权纠纷案件应用法律若干问题的解释》第八条、第九条、第十条、第十一条，《中华人民共和国民事诉讼法》第六十七条第一款之规定，于</w:t>
      </w:r>
      <w:r>
        <w:rPr>
          <w:rFonts w:hint="default" w:ascii="Times New Roman" w:hAnsi="Times New Roman" w:eastAsia="仿宋_GB2312" w:cs="Times New Roman"/>
          <w:kern w:val="2"/>
          <w:sz w:val="32"/>
          <w:szCs w:val="32"/>
          <w:lang w:val="en-US" w:eastAsia="zh-CN" w:bidi="ar"/>
        </w:rPr>
        <w:t>2025</w:t>
      </w:r>
      <w:r>
        <w:rPr>
          <w:rFonts w:hint="eastAsia" w:ascii="仿宋_GB2312" w:hAnsi="Times New Roman" w:eastAsia="仿宋_GB2312" w:cs="仿宋_GB2312"/>
          <w:kern w:val="2"/>
          <w:sz w:val="32"/>
          <w:szCs w:val="32"/>
          <w:lang w:val="en-US" w:eastAsia="zh-CN" w:bidi="ar"/>
        </w:rPr>
        <w:t>年</w:t>
      </w:r>
      <w:r>
        <w:rPr>
          <w:rFonts w:hint="default" w:ascii="Times New Roman" w:hAnsi="Times New Roman" w:eastAsia="仿宋_GB2312" w:cs="Times New Roman"/>
          <w:kern w:val="2"/>
          <w:sz w:val="32"/>
          <w:szCs w:val="32"/>
          <w:lang w:val="en-US" w:eastAsia="zh-CN" w:bidi="ar"/>
        </w:rPr>
        <w:t>8</w:t>
      </w:r>
      <w:r>
        <w:rPr>
          <w:rFonts w:hint="eastAsia" w:ascii="仿宋_GB2312" w:hAnsi="Times New Roman" w:eastAsia="仿宋_GB2312" w:cs="仿宋_GB2312"/>
          <w:kern w:val="2"/>
          <w:sz w:val="32"/>
          <w:szCs w:val="32"/>
          <w:lang w:val="en-US" w:eastAsia="zh-CN" w:bidi="ar"/>
        </w:rPr>
        <w:t>月</w:t>
      </w:r>
      <w:r>
        <w:rPr>
          <w:rFonts w:hint="default" w:ascii="Times New Roman" w:hAnsi="Times New Roman" w:eastAsia="仿宋_GB2312" w:cs="Times New Roman"/>
          <w:kern w:val="2"/>
          <w:sz w:val="32"/>
          <w:szCs w:val="32"/>
          <w:lang w:val="en-US" w:eastAsia="zh-CN" w:bidi="ar"/>
        </w:rPr>
        <w:t>22</w:t>
      </w:r>
      <w:r>
        <w:rPr>
          <w:rFonts w:hint="eastAsia" w:ascii="仿宋_GB2312" w:hAnsi="Times New Roman" w:eastAsia="仿宋_GB2312" w:cs="仿宋_GB2312"/>
          <w:kern w:val="2"/>
          <w:sz w:val="32"/>
          <w:szCs w:val="32"/>
          <w:lang w:val="en-US" w:eastAsia="zh-CN" w:bidi="ar"/>
        </w:rPr>
        <w:t>日判决：一、嘉某公司立即停止生产、销售、许诺销售侵害郑某专利号为</w:t>
      </w:r>
      <w:r>
        <w:rPr>
          <w:rFonts w:hint="default" w:ascii="Times New Roman" w:hAnsi="Times New Roman" w:eastAsia="仿宋_GB2312" w:cs="Times New Roman"/>
          <w:kern w:val="2"/>
          <w:sz w:val="32"/>
          <w:szCs w:val="32"/>
          <w:lang w:val="en-US" w:eastAsia="zh-CN" w:bidi="ar"/>
        </w:rPr>
        <w:t>ZL2021xxxx54079</w:t>
      </w:r>
      <w:r>
        <w:rPr>
          <w:rFonts w:hint="eastAsia" w:ascii="仿宋_GB2312" w:hAnsi="Times New Roman" w:eastAsia="仿宋_GB2312" w:cs="仿宋_GB2312"/>
          <w:kern w:val="2"/>
          <w:sz w:val="32"/>
          <w:szCs w:val="32"/>
          <w:lang w:val="en-US" w:eastAsia="zh-CN" w:bidi="ar"/>
        </w:rPr>
        <w:t>、名称为</w:t>
      </w:r>
      <w:r>
        <w:rPr>
          <w:rFonts w:hint="default" w:ascii="Times New Roman" w:hAnsi="Times New Roman" w:eastAsia="仿宋_GB2312" w:cs="Times New Roman"/>
          <w:kern w:val="2"/>
          <w:sz w:val="32"/>
          <w:szCs w:val="32"/>
          <w:lang w:val="en-US" w:eastAsia="zh-CN" w:bidi="ar"/>
        </w:rPr>
        <w:t>“</w:t>
      </w:r>
      <w:r>
        <w:rPr>
          <w:rFonts w:hint="eastAsia" w:ascii="仿宋_GB2312" w:hAnsi="Times New Roman" w:eastAsia="仿宋_GB2312" w:cs="仿宋_GB2312"/>
          <w:kern w:val="2"/>
          <w:sz w:val="32"/>
          <w:szCs w:val="32"/>
          <w:lang w:val="en-US" w:eastAsia="zh-CN" w:bidi="ar"/>
        </w:rPr>
        <w:t>收纳架（</w:t>
      </w:r>
      <w:r>
        <w:rPr>
          <w:rFonts w:hint="default" w:ascii="Times New Roman" w:hAnsi="Times New Roman" w:eastAsia="仿宋_GB2312" w:cs="Times New Roman"/>
          <w:kern w:val="2"/>
          <w:sz w:val="32"/>
          <w:szCs w:val="32"/>
          <w:lang w:val="en-US" w:eastAsia="zh-CN" w:bidi="ar"/>
        </w:rPr>
        <w:t>2108</w:t>
      </w:r>
      <w:r>
        <w:rPr>
          <w:rFonts w:hint="eastAsia" w:ascii="仿宋_GB2312" w:hAnsi="Times New Roman" w:eastAsia="仿宋_GB2312" w:cs="仿宋_GB2312"/>
          <w:kern w:val="2"/>
          <w:sz w:val="32"/>
          <w:szCs w:val="32"/>
          <w:lang w:val="en-US" w:eastAsia="zh-CN" w:bidi="ar"/>
        </w:rPr>
        <w:t>）</w:t>
      </w:r>
      <w:r>
        <w:rPr>
          <w:rFonts w:hint="default" w:ascii="Times New Roman" w:hAnsi="Times New Roman" w:eastAsia="仿宋_GB2312" w:cs="Times New Roman"/>
          <w:kern w:val="2"/>
          <w:sz w:val="32"/>
          <w:szCs w:val="32"/>
          <w:lang w:val="en-US" w:eastAsia="zh-CN" w:bidi="ar"/>
        </w:rPr>
        <w:t>”</w:t>
      </w:r>
      <w:r>
        <w:rPr>
          <w:rFonts w:hint="eastAsia" w:ascii="仿宋_GB2312" w:hAnsi="Times New Roman" w:eastAsia="仿宋_GB2312" w:cs="仿宋_GB2312"/>
          <w:kern w:val="2"/>
          <w:sz w:val="32"/>
          <w:szCs w:val="32"/>
          <w:lang w:val="en-US" w:eastAsia="zh-CN" w:bidi="ar"/>
        </w:rPr>
        <w:t>的外观设计专利权的产品；二、嘉某公司于判决生效之日起十日内赔偿郑某经济损失及维权合理费用共计</w:t>
      </w:r>
      <w:r>
        <w:rPr>
          <w:rFonts w:hint="default" w:ascii="Times New Roman" w:hAnsi="Times New Roman" w:eastAsia="仿宋_GB2312" w:cs="Times New Roman"/>
          <w:kern w:val="2"/>
          <w:sz w:val="32"/>
          <w:szCs w:val="32"/>
          <w:lang w:val="en-US" w:eastAsia="zh-CN" w:bidi="ar"/>
        </w:rPr>
        <w:t>2</w:t>
      </w:r>
      <w:r>
        <w:rPr>
          <w:rFonts w:hint="eastAsia" w:ascii="仿宋_GB2312" w:hAnsi="Times New Roman" w:eastAsia="仿宋_GB2312" w:cs="仿宋_GB2312"/>
          <w:kern w:val="2"/>
          <w:sz w:val="32"/>
          <w:szCs w:val="32"/>
          <w:lang w:val="en-US" w:eastAsia="zh-CN" w:bidi="ar"/>
        </w:rPr>
        <w:t>万元，王某甲对前述款项承担连带责任；三、驳回郑某的其他诉讼请求。如果未按判决指定的期间履行给付金钱义务，应当依照《中华人民共和国民事诉讼法》第二百六十四条之规定，加倍支付迟延履行期间的债务利息。判决生效后、进入执行程序前，判决认定受到侵害的外观设计专利权被宣告无效，当事人申请执行的，人民法院不予受理。进入执行程序后，判决认定受到侵害的外观设计专利权被宣告无效的，判决中止执行。有关无效宣告请求审查决定确定发生法律效力的，判决认定的侵害专利权行为视为自始即不存在；进入执行程序的，终结执行。一审案件受理费</w:t>
      </w:r>
      <w:r>
        <w:rPr>
          <w:rFonts w:hint="default" w:ascii="Times New Roman" w:hAnsi="Times New Roman" w:eastAsia="仿宋_GB2312" w:cs="Times New Roman"/>
          <w:kern w:val="2"/>
          <w:sz w:val="32"/>
          <w:szCs w:val="32"/>
          <w:lang w:val="en-US" w:eastAsia="zh-CN" w:bidi="ar"/>
        </w:rPr>
        <w:t>1050</w:t>
      </w:r>
      <w:r>
        <w:rPr>
          <w:rFonts w:hint="eastAsia" w:ascii="仿宋_GB2312" w:hAnsi="Times New Roman" w:eastAsia="仿宋_GB2312" w:cs="仿宋_GB2312"/>
          <w:kern w:val="2"/>
          <w:sz w:val="32"/>
          <w:szCs w:val="32"/>
          <w:lang w:val="en-US" w:eastAsia="zh-CN" w:bidi="ar"/>
        </w:rPr>
        <w:t>元，由郑某负担</w:t>
      </w:r>
      <w:r>
        <w:rPr>
          <w:rFonts w:hint="default" w:ascii="Times New Roman" w:hAnsi="Times New Roman" w:eastAsia="仿宋_GB2312" w:cs="Times New Roman"/>
          <w:kern w:val="2"/>
          <w:sz w:val="32"/>
          <w:szCs w:val="32"/>
          <w:lang w:val="en-US" w:eastAsia="zh-CN" w:bidi="ar"/>
        </w:rPr>
        <w:t>315</w:t>
      </w:r>
      <w:r>
        <w:rPr>
          <w:rFonts w:hint="eastAsia" w:ascii="仿宋_GB2312" w:hAnsi="Times New Roman" w:eastAsia="仿宋_GB2312" w:cs="仿宋_GB2312"/>
          <w:kern w:val="2"/>
          <w:sz w:val="32"/>
          <w:szCs w:val="32"/>
          <w:lang w:val="en-US" w:eastAsia="zh-CN" w:bidi="ar"/>
        </w:rPr>
        <w:t>元，嘉某公司、王某甲负担</w:t>
      </w:r>
      <w:r>
        <w:rPr>
          <w:rFonts w:hint="default" w:ascii="Times New Roman" w:hAnsi="Times New Roman" w:eastAsia="仿宋_GB2312" w:cs="Times New Roman"/>
          <w:kern w:val="2"/>
          <w:sz w:val="32"/>
          <w:szCs w:val="32"/>
          <w:lang w:val="en-US" w:eastAsia="zh-CN" w:bidi="ar"/>
        </w:rPr>
        <w:t>735</w:t>
      </w:r>
      <w:r>
        <w:rPr>
          <w:rFonts w:hint="eastAsia" w:ascii="仿宋_GB2312" w:hAnsi="Times New Roman" w:eastAsia="仿宋_GB2312" w:cs="仿宋_GB2312"/>
          <w:kern w:val="2"/>
          <w:sz w:val="32"/>
          <w:szCs w:val="32"/>
          <w:lang w:val="en-US" w:eastAsia="zh-CN" w:bidi="ar"/>
        </w:rPr>
        <w:t>元。</w:t>
      </w:r>
    </w:p>
    <w:p>
      <w:pPr>
        <w:keepNext w:val="0"/>
        <w:keepLines w:val="0"/>
        <w:widowControl w:val="0"/>
        <w:suppressLineNumbers w:val="0"/>
        <w:autoSpaceDE w:val="0"/>
        <w:autoSpaceDN w:val="0"/>
        <w:adjustRightInd w:val="0"/>
        <w:spacing w:before="0" w:beforeAutospacing="0" w:after="0" w:afterAutospacing="0" w:line="572" w:lineRule="exact"/>
        <w:ind w:left="0" w:right="0" w:firstLine="620" w:firstLineChars="200"/>
        <w:jc w:val="both"/>
        <w:rPr>
          <w:rFonts w:hint="default" w:ascii="Times New Roman" w:hAnsi="Times New Roman" w:eastAsia="仿宋_GB2312" w:cs="Times New Roman"/>
          <w:kern w:val="2"/>
          <w:sz w:val="32"/>
          <w:szCs w:val="32"/>
        </w:rPr>
      </w:pPr>
      <w:r>
        <w:rPr>
          <w:rFonts w:hint="eastAsia" w:ascii="仿宋_GB2312" w:hAnsi="Times New Roman" w:eastAsia="仿宋_GB2312" w:cs="仿宋_GB2312"/>
          <w:kern w:val="2"/>
          <w:sz w:val="32"/>
          <w:szCs w:val="32"/>
          <w:lang w:val="en-US" w:eastAsia="zh-CN" w:bidi="ar"/>
        </w:rPr>
        <w:t>二审中，郑某未向本院提交新的证据。嘉某公司、王某甲向本院提交了</w:t>
      </w:r>
      <w:r>
        <w:rPr>
          <w:rFonts w:hint="default" w:ascii="Times New Roman" w:hAnsi="Times New Roman" w:eastAsia="仿宋_GB2312" w:cs="Times New Roman"/>
          <w:kern w:val="2"/>
          <w:sz w:val="32"/>
          <w:szCs w:val="32"/>
          <w:lang w:val="en-US" w:eastAsia="zh-CN" w:bidi="ar"/>
        </w:rPr>
        <w:t>ZL2017xxxx2909.6</w:t>
      </w:r>
      <w:r>
        <w:rPr>
          <w:rFonts w:hint="eastAsia" w:ascii="仿宋_GB2312" w:hAnsi="Times New Roman" w:eastAsia="仿宋_GB2312" w:cs="仿宋_GB2312"/>
          <w:kern w:val="2"/>
          <w:sz w:val="32"/>
          <w:szCs w:val="32"/>
          <w:lang w:val="en-US" w:eastAsia="zh-CN" w:bidi="ar"/>
        </w:rPr>
        <w:t>号外观设计专利文本，拟证明被诉侵权产品实施的是现有设计。郑某质证认为，对该证据三性无异议，但不能实现其证明目的。</w:t>
      </w:r>
    </w:p>
    <w:p>
      <w:pPr>
        <w:keepNext w:val="0"/>
        <w:keepLines w:val="0"/>
        <w:widowControl w:val="0"/>
        <w:suppressLineNumbers w:val="0"/>
        <w:autoSpaceDE w:val="0"/>
        <w:autoSpaceDN w:val="0"/>
        <w:adjustRightInd w:val="0"/>
        <w:spacing w:before="0" w:beforeAutospacing="0" w:after="0" w:afterAutospacing="0" w:line="572" w:lineRule="exact"/>
        <w:ind w:left="0" w:right="0" w:firstLine="620" w:firstLineChars="200"/>
        <w:jc w:val="both"/>
        <w:rPr>
          <w:rFonts w:hint="default" w:ascii="Times New Roman" w:hAnsi="Times New Roman" w:eastAsia="仿宋_GB2312" w:cs="Times New Roman"/>
          <w:kern w:val="2"/>
          <w:sz w:val="32"/>
          <w:szCs w:val="32"/>
        </w:rPr>
      </w:pPr>
      <w:r>
        <w:rPr>
          <w:rFonts w:hint="eastAsia" w:ascii="仿宋_GB2312" w:hAnsi="Times New Roman" w:eastAsia="仿宋_GB2312" w:cs="仿宋_GB2312"/>
          <w:kern w:val="2"/>
          <w:sz w:val="32"/>
          <w:szCs w:val="32"/>
          <w:lang w:val="en-US" w:eastAsia="zh-CN" w:bidi="ar"/>
        </w:rPr>
        <w:t>本院经审查认为，对该证据的三性予以认定，能否实现证明目的将结合争议焦点在下文评述。</w:t>
      </w:r>
    </w:p>
    <w:p>
      <w:pPr>
        <w:keepNext w:val="0"/>
        <w:keepLines w:val="0"/>
        <w:widowControl w:val="0"/>
        <w:suppressLineNumbers w:val="0"/>
        <w:autoSpaceDE w:val="0"/>
        <w:autoSpaceDN w:val="0"/>
        <w:adjustRightInd w:val="0"/>
        <w:spacing w:before="0" w:beforeAutospacing="0" w:after="0" w:afterAutospacing="0" w:line="572" w:lineRule="exact"/>
        <w:ind w:left="0" w:right="0" w:firstLine="620" w:firstLineChars="200"/>
        <w:jc w:val="both"/>
        <w:rPr>
          <w:rFonts w:hint="default" w:ascii="Times New Roman" w:hAnsi="Times New Roman" w:eastAsia="仿宋_GB2312" w:cs="Times New Roman"/>
          <w:kern w:val="2"/>
          <w:sz w:val="32"/>
          <w:szCs w:val="32"/>
        </w:rPr>
      </w:pPr>
      <w:r>
        <w:rPr>
          <w:rFonts w:hint="eastAsia" w:ascii="仿宋_GB2312" w:hAnsi="Times New Roman" w:eastAsia="仿宋_GB2312" w:cs="仿宋_GB2312"/>
          <w:kern w:val="2"/>
          <w:sz w:val="32"/>
          <w:szCs w:val="32"/>
          <w:lang w:val="en-US" w:eastAsia="zh-CN" w:bidi="ar"/>
        </w:rPr>
        <w:t>本院二审对一审判决认定的事实予以确认。另查明，专利号为</w:t>
      </w:r>
      <w:r>
        <w:rPr>
          <w:rFonts w:hint="default" w:ascii="Times New Roman" w:hAnsi="Times New Roman" w:eastAsia="仿宋_GB2312" w:cs="Times New Roman"/>
          <w:kern w:val="2"/>
          <w:sz w:val="32"/>
          <w:szCs w:val="32"/>
          <w:lang w:val="en-US" w:eastAsia="zh-CN" w:bidi="ar"/>
        </w:rPr>
        <w:t>ZL2017xxxx2909.6</w:t>
      </w:r>
      <w:r>
        <w:rPr>
          <w:rFonts w:hint="eastAsia" w:ascii="仿宋_GB2312" w:hAnsi="Times New Roman" w:eastAsia="仿宋_GB2312" w:cs="仿宋_GB2312"/>
          <w:kern w:val="2"/>
          <w:sz w:val="32"/>
          <w:szCs w:val="32"/>
          <w:lang w:val="en-US" w:eastAsia="zh-CN" w:bidi="ar"/>
        </w:rPr>
        <w:t>、名称为</w:t>
      </w:r>
      <w:r>
        <w:rPr>
          <w:rFonts w:hint="default" w:ascii="Times New Roman" w:hAnsi="Times New Roman" w:eastAsia="仿宋_GB2312" w:cs="Times New Roman"/>
          <w:kern w:val="2"/>
          <w:sz w:val="32"/>
          <w:szCs w:val="32"/>
          <w:lang w:val="en-US" w:eastAsia="zh-CN" w:bidi="ar"/>
        </w:rPr>
        <w:t>“</w:t>
      </w:r>
      <w:bookmarkStart w:id="6" w:name="WKJC_b0740d26e7e84d89aa65fadf11080f31"/>
      <w:r>
        <w:rPr>
          <w:rFonts w:hint="eastAsia" w:ascii="仿宋_GB2312" w:hAnsi="Times New Roman" w:eastAsia="仿宋_GB2312" w:cs="仿宋_GB2312"/>
          <w:kern w:val="2"/>
          <w:sz w:val="32"/>
          <w:szCs w:val="32"/>
          <w:lang w:val="en-US" w:eastAsia="zh-CN" w:bidi="ar"/>
        </w:rPr>
        <w:t>抽拉柜</w:t>
      </w:r>
      <w:bookmarkEnd w:id="6"/>
      <w:r>
        <w:rPr>
          <w:rFonts w:hint="default" w:ascii="Times New Roman" w:hAnsi="Times New Roman" w:eastAsia="仿宋_GB2312" w:cs="Times New Roman"/>
          <w:kern w:val="2"/>
          <w:sz w:val="32"/>
          <w:szCs w:val="32"/>
          <w:lang w:val="en-US" w:eastAsia="zh-CN" w:bidi="ar"/>
        </w:rPr>
        <w:t>”</w:t>
      </w:r>
      <w:r>
        <w:rPr>
          <w:rFonts w:hint="eastAsia" w:ascii="仿宋_GB2312" w:hAnsi="Times New Roman" w:eastAsia="仿宋_GB2312" w:cs="仿宋_GB2312"/>
          <w:kern w:val="2"/>
          <w:sz w:val="32"/>
          <w:szCs w:val="32"/>
          <w:lang w:val="en-US" w:eastAsia="zh-CN" w:bidi="ar"/>
        </w:rPr>
        <w:t>的外观设计专利申请日为</w:t>
      </w:r>
      <w:r>
        <w:rPr>
          <w:rFonts w:hint="default" w:ascii="Times New Roman" w:hAnsi="Times New Roman" w:eastAsia="仿宋_GB2312" w:cs="Times New Roman"/>
          <w:kern w:val="2"/>
          <w:sz w:val="32"/>
          <w:szCs w:val="32"/>
          <w:lang w:val="en-US" w:eastAsia="zh-CN" w:bidi="ar"/>
        </w:rPr>
        <w:t>2017</w:t>
      </w:r>
      <w:r>
        <w:rPr>
          <w:rFonts w:hint="eastAsia" w:ascii="仿宋_GB2312" w:hAnsi="Times New Roman" w:eastAsia="仿宋_GB2312" w:cs="仿宋_GB2312"/>
          <w:kern w:val="2"/>
          <w:sz w:val="32"/>
          <w:szCs w:val="32"/>
          <w:lang w:val="en-US" w:eastAsia="zh-CN" w:bidi="ar"/>
        </w:rPr>
        <w:t>年</w:t>
      </w:r>
      <w:r>
        <w:rPr>
          <w:rFonts w:hint="default" w:ascii="Times New Roman" w:hAnsi="Times New Roman" w:eastAsia="仿宋_GB2312" w:cs="Times New Roman"/>
          <w:kern w:val="2"/>
          <w:sz w:val="32"/>
          <w:szCs w:val="32"/>
          <w:lang w:val="en-US" w:eastAsia="zh-CN" w:bidi="ar"/>
        </w:rPr>
        <w:t>11</w:t>
      </w:r>
      <w:r>
        <w:rPr>
          <w:rFonts w:hint="eastAsia" w:ascii="仿宋_GB2312" w:hAnsi="Times New Roman" w:eastAsia="仿宋_GB2312" w:cs="仿宋_GB2312"/>
          <w:kern w:val="2"/>
          <w:sz w:val="32"/>
          <w:szCs w:val="32"/>
          <w:lang w:val="en-US" w:eastAsia="zh-CN" w:bidi="ar"/>
        </w:rPr>
        <w:t>月</w:t>
      </w:r>
      <w:r>
        <w:rPr>
          <w:rFonts w:hint="default" w:ascii="Times New Roman" w:hAnsi="Times New Roman" w:eastAsia="仿宋_GB2312" w:cs="Times New Roman"/>
          <w:kern w:val="2"/>
          <w:sz w:val="32"/>
          <w:szCs w:val="32"/>
          <w:lang w:val="en-US" w:eastAsia="zh-CN" w:bidi="ar"/>
        </w:rPr>
        <w:t>2</w:t>
      </w:r>
      <w:r>
        <w:rPr>
          <w:rFonts w:hint="eastAsia" w:ascii="仿宋_GB2312" w:hAnsi="Times New Roman" w:eastAsia="仿宋_GB2312" w:cs="仿宋_GB2312"/>
          <w:kern w:val="2"/>
          <w:sz w:val="32"/>
          <w:szCs w:val="32"/>
          <w:lang w:val="en-US" w:eastAsia="zh-CN" w:bidi="ar"/>
        </w:rPr>
        <w:t>日，授权公告日为</w:t>
      </w:r>
      <w:r>
        <w:rPr>
          <w:rFonts w:hint="default" w:ascii="Times New Roman" w:hAnsi="Times New Roman" w:eastAsia="仿宋_GB2312" w:cs="Times New Roman"/>
          <w:kern w:val="2"/>
          <w:sz w:val="32"/>
          <w:szCs w:val="32"/>
          <w:lang w:val="en-US" w:eastAsia="zh-CN" w:bidi="ar"/>
        </w:rPr>
        <w:t>2018</w:t>
      </w:r>
      <w:r>
        <w:rPr>
          <w:rFonts w:hint="eastAsia" w:ascii="仿宋_GB2312" w:hAnsi="Times New Roman" w:eastAsia="仿宋_GB2312" w:cs="仿宋_GB2312"/>
          <w:kern w:val="2"/>
          <w:sz w:val="32"/>
          <w:szCs w:val="32"/>
          <w:lang w:val="en-US" w:eastAsia="zh-CN" w:bidi="ar"/>
        </w:rPr>
        <w:t>年</w:t>
      </w:r>
      <w:r>
        <w:rPr>
          <w:rFonts w:hint="default" w:ascii="Times New Roman" w:hAnsi="Times New Roman" w:eastAsia="仿宋_GB2312" w:cs="Times New Roman"/>
          <w:kern w:val="2"/>
          <w:sz w:val="32"/>
          <w:szCs w:val="32"/>
          <w:lang w:val="en-US" w:eastAsia="zh-CN" w:bidi="ar"/>
        </w:rPr>
        <w:t>5</w:t>
      </w:r>
      <w:r>
        <w:rPr>
          <w:rFonts w:hint="eastAsia" w:ascii="仿宋_GB2312" w:hAnsi="Times New Roman" w:eastAsia="仿宋_GB2312" w:cs="仿宋_GB2312"/>
          <w:kern w:val="2"/>
          <w:sz w:val="32"/>
          <w:szCs w:val="32"/>
          <w:lang w:val="en-US" w:eastAsia="zh-CN" w:bidi="ar"/>
        </w:rPr>
        <w:t>月</w:t>
      </w:r>
      <w:r>
        <w:rPr>
          <w:rFonts w:hint="default" w:ascii="Times New Roman" w:hAnsi="Times New Roman" w:eastAsia="仿宋_GB2312" w:cs="Times New Roman"/>
          <w:kern w:val="2"/>
          <w:sz w:val="32"/>
          <w:szCs w:val="32"/>
          <w:lang w:val="en-US" w:eastAsia="zh-CN" w:bidi="ar"/>
        </w:rPr>
        <w:t>1</w:t>
      </w:r>
      <w:r>
        <w:rPr>
          <w:rFonts w:hint="eastAsia" w:ascii="仿宋_GB2312" w:hAnsi="Times New Roman" w:eastAsia="仿宋_GB2312" w:cs="仿宋_GB2312"/>
          <w:kern w:val="2"/>
          <w:sz w:val="32"/>
          <w:szCs w:val="32"/>
          <w:lang w:val="en-US" w:eastAsia="zh-CN" w:bidi="ar"/>
        </w:rPr>
        <w:t>日。</w:t>
      </w:r>
    </w:p>
    <w:p>
      <w:pPr>
        <w:keepNext w:val="0"/>
        <w:keepLines w:val="0"/>
        <w:widowControl w:val="0"/>
        <w:suppressLineNumbers w:val="0"/>
        <w:autoSpaceDE w:val="0"/>
        <w:autoSpaceDN w:val="0"/>
        <w:adjustRightInd w:val="0"/>
        <w:spacing w:before="0" w:beforeAutospacing="0" w:after="0" w:afterAutospacing="0" w:line="572" w:lineRule="exact"/>
        <w:ind w:left="0" w:right="0" w:firstLine="620" w:firstLineChars="200"/>
        <w:jc w:val="both"/>
        <w:rPr>
          <w:rFonts w:hint="default" w:ascii="Times New Roman" w:hAnsi="Times New Roman" w:eastAsia="仿宋_GB2312" w:cs="Times New Roman"/>
          <w:kern w:val="2"/>
          <w:sz w:val="32"/>
          <w:szCs w:val="32"/>
        </w:rPr>
      </w:pPr>
      <w:r>
        <w:rPr>
          <w:rFonts w:hint="eastAsia" w:ascii="仿宋_GB2312" w:hAnsi="Times New Roman" w:eastAsia="仿宋_GB2312" w:cs="仿宋_GB2312"/>
          <w:kern w:val="2"/>
          <w:sz w:val="32"/>
          <w:szCs w:val="32"/>
          <w:lang w:val="en-US" w:eastAsia="zh-CN" w:bidi="ar"/>
        </w:rPr>
        <w:t>本院认为，根据嘉某公司、王某甲的上诉请求和理由及郑某的答辩意见，本案二审的争议焦点为：一、被诉侵权设计是否落入涉案专利权的保护范围；二、嘉某公司、王某甲提出的现有设计抗辩是否成立；三、若侵权成立，一审判决确定的赔偿金额是否合理。</w:t>
      </w:r>
    </w:p>
    <w:p>
      <w:pPr>
        <w:keepNext w:val="0"/>
        <w:keepLines w:val="0"/>
        <w:widowControl w:val="0"/>
        <w:suppressLineNumbers w:val="0"/>
        <w:autoSpaceDE w:val="0"/>
        <w:autoSpaceDN w:val="0"/>
        <w:adjustRightInd w:val="0"/>
        <w:spacing w:before="0" w:beforeAutospacing="0" w:after="0" w:afterAutospacing="0" w:line="572" w:lineRule="exact"/>
        <w:ind w:left="0" w:right="0" w:firstLine="620" w:firstLineChars="200"/>
        <w:jc w:val="both"/>
        <w:rPr>
          <w:rFonts w:hint="default" w:ascii="Times New Roman" w:hAnsi="Times New Roman" w:eastAsia="仿宋_GB2312" w:cs="Times New Roman"/>
          <w:kern w:val="2"/>
          <w:sz w:val="32"/>
          <w:szCs w:val="32"/>
        </w:rPr>
      </w:pPr>
      <w:r>
        <w:rPr>
          <w:rFonts w:hint="eastAsia" w:ascii="仿宋_GB2312" w:hAnsi="Times New Roman" w:eastAsia="仿宋_GB2312" w:cs="仿宋_GB2312"/>
          <w:kern w:val="2"/>
          <w:sz w:val="32"/>
          <w:szCs w:val="32"/>
          <w:lang w:val="en-US" w:eastAsia="zh-CN" w:bidi="ar"/>
        </w:rPr>
        <w:t>关于争议焦点一</w:t>
      </w:r>
    </w:p>
    <w:p>
      <w:pPr>
        <w:keepNext w:val="0"/>
        <w:keepLines w:val="0"/>
        <w:widowControl w:val="0"/>
        <w:suppressLineNumbers w:val="0"/>
        <w:autoSpaceDE w:val="0"/>
        <w:autoSpaceDN w:val="0"/>
        <w:adjustRightInd w:val="0"/>
        <w:spacing w:before="0" w:beforeAutospacing="0" w:after="0" w:afterAutospacing="0" w:line="572" w:lineRule="exact"/>
        <w:ind w:left="0" w:right="0" w:firstLine="620" w:firstLineChars="200"/>
        <w:jc w:val="both"/>
        <w:rPr>
          <w:rFonts w:hint="default" w:ascii="Times New Roman" w:hAnsi="Times New Roman" w:eastAsia="仿宋_GB2312" w:cs="Times New Roman"/>
          <w:kern w:val="2"/>
          <w:sz w:val="32"/>
          <w:szCs w:val="32"/>
        </w:rPr>
      </w:pPr>
      <w:r>
        <w:rPr>
          <w:rFonts w:hint="eastAsia" w:ascii="仿宋_GB2312" w:hAnsi="Times New Roman" w:eastAsia="仿宋_GB2312" w:cs="仿宋_GB2312"/>
          <w:kern w:val="2"/>
          <w:sz w:val="32"/>
          <w:szCs w:val="32"/>
          <w:lang w:val="en-US" w:eastAsia="zh-CN" w:bidi="ar"/>
        </w:rPr>
        <w:t>根据《中华人民共和国专利法》第六十四条第二款规定，外观设计专利权的保护范围以表示在图片或者照片中的该产品的外观设计为准，简要说明可以用于解释图片或者照片所表示的该产品的外观设计。根据《最高人民法院关于审理侵犯专利权纠纷案件应用法律若干问题的解释》第十条、第十一条规定，人民法院应当以外观设计专利产品的一般消费者的知识水平和认知能力，判断外观设计是否相同或者近似；人民法院认定外观设计是否相同或者近似时，应当根据授权外观设计、被诉侵权设计的设计特征，以外观设计的整体视觉效果进行综合判断；产品正常使用时容易被直接观察到的部位相对于其他部位、授权外观设计区别于现有设计的设计特征相对于授权外观设计的其他设计特征通常对外观设计的整体视觉效果更具有影响。</w:t>
      </w:r>
    </w:p>
    <w:p>
      <w:pPr>
        <w:keepNext w:val="0"/>
        <w:keepLines w:val="0"/>
        <w:widowControl w:val="0"/>
        <w:suppressLineNumbers w:val="0"/>
        <w:autoSpaceDE w:val="0"/>
        <w:autoSpaceDN w:val="0"/>
        <w:adjustRightInd w:val="0"/>
        <w:spacing w:before="0" w:beforeAutospacing="0" w:after="0" w:afterAutospacing="0" w:line="572" w:lineRule="exact"/>
        <w:ind w:left="0" w:right="0" w:firstLine="620" w:firstLineChars="200"/>
        <w:jc w:val="both"/>
        <w:rPr>
          <w:rFonts w:hint="default" w:ascii="Times New Roman" w:hAnsi="Times New Roman" w:eastAsia="仿宋_GB2312" w:cs="Times New Roman"/>
          <w:kern w:val="2"/>
          <w:sz w:val="32"/>
          <w:szCs w:val="32"/>
        </w:rPr>
      </w:pPr>
      <w:r>
        <w:rPr>
          <w:rFonts w:hint="eastAsia" w:ascii="仿宋_GB2312" w:hAnsi="Times New Roman" w:eastAsia="仿宋_GB2312" w:cs="仿宋_GB2312"/>
          <w:kern w:val="2"/>
          <w:sz w:val="32"/>
          <w:szCs w:val="32"/>
          <w:lang w:val="en-US" w:eastAsia="zh-CN" w:bidi="ar"/>
        </w:rPr>
        <w:t>本案中，被诉侵权产品与涉案专利产品均为收纳架，属于相同种类的产品，可以进行比对。郑某主张以授权外观设计</w:t>
      </w:r>
      <w:r>
        <w:rPr>
          <w:rFonts w:hint="default" w:ascii="Times New Roman" w:hAnsi="Times New Roman" w:eastAsia="仿宋_GB2312" w:cs="Times New Roman"/>
          <w:kern w:val="2"/>
          <w:sz w:val="32"/>
          <w:szCs w:val="32"/>
          <w:lang w:val="en-US" w:eastAsia="zh-CN" w:bidi="ar"/>
        </w:rPr>
        <w:t>1</w:t>
      </w:r>
      <w:r>
        <w:rPr>
          <w:rFonts w:hint="eastAsia" w:ascii="仿宋_GB2312" w:hAnsi="Times New Roman" w:eastAsia="仿宋_GB2312" w:cs="仿宋_GB2312"/>
          <w:kern w:val="2"/>
          <w:sz w:val="32"/>
          <w:szCs w:val="32"/>
          <w:lang w:val="en-US" w:eastAsia="zh-CN" w:bidi="ar"/>
        </w:rPr>
        <w:t>作为权利基础。经比对，被诉侵权设计与授权外观设计</w:t>
      </w:r>
      <w:r>
        <w:rPr>
          <w:rFonts w:hint="default" w:ascii="Times New Roman" w:hAnsi="Times New Roman" w:eastAsia="仿宋_GB2312" w:cs="Times New Roman"/>
          <w:kern w:val="2"/>
          <w:sz w:val="32"/>
          <w:szCs w:val="32"/>
          <w:lang w:val="en-US" w:eastAsia="zh-CN" w:bidi="ar"/>
        </w:rPr>
        <w:t>1</w:t>
      </w:r>
      <w:r>
        <w:rPr>
          <w:rFonts w:hint="eastAsia" w:ascii="仿宋_GB2312" w:hAnsi="Times New Roman" w:eastAsia="仿宋_GB2312" w:cs="仿宋_GB2312"/>
          <w:kern w:val="2"/>
          <w:sz w:val="32"/>
          <w:szCs w:val="32"/>
          <w:lang w:val="en-US" w:eastAsia="zh-CN" w:bidi="ar"/>
        </w:rPr>
        <w:t>的相同点主要有：两者均由主体、把手、轮子三部分组成；主体部分均为三层结构，每一层设有一个置物篮；两侧有对称的侧面支撑架，支撑架整体上呈</w:t>
      </w:r>
      <w:r>
        <w:rPr>
          <w:rFonts w:hint="default" w:ascii="Times New Roman" w:hAnsi="Times New Roman" w:eastAsia="仿宋_GB2312" w:cs="Times New Roman"/>
          <w:kern w:val="2"/>
          <w:sz w:val="32"/>
          <w:szCs w:val="32"/>
          <w:lang w:val="en-US" w:eastAsia="zh-CN" w:bidi="ar"/>
        </w:rPr>
        <w:t>“</w:t>
      </w:r>
      <w:r>
        <w:rPr>
          <w:rFonts w:hint="eastAsia" w:ascii="仿宋_GB2312" w:hAnsi="Times New Roman" w:eastAsia="仿宋_GB2312" w:cs="仿宋_GB2312"/>
          <w:kern w:val="2"/>
          <w:sz w:val="32"/>
          <w:szCs w:val="32"/>
          <w:lang w:val="en-US" w:eastAsia="zh-CN" w:bidi="ar"/>
        </w:rPr>
        <w:t>井</w:t>
      </w:r>
      <w:r>
        <w:rPr>
          <w:rFonts w:hint="default" w:ascii="Times New Roman" w:hAnsi="Times New Roman" w:eastAsia="仿宋_GB2312" w:cs="Times New Roman"/>
          <w:kern w:val="2"/>
          <w:sz w:val="32"/>
          <w:szCs w:val="32"/>
          <w:lang w:val="en-US" w:eastAsia="zh-CN" w:bidi="ar"/>
        </w:rPr>
        <w:t>”</w:t>
      </w:r>
      <w:r>
        <w:rPr>
          <w:rFonts w:hint="eastAsia" w:ascii="仿宋_GB2312" w:hAnsi="Times New Roman" w:eastAsia="仿宋_GB2312" w:cs="仿宋_GB2312"/>
          <w:kern w:val="2"/>
          <w:sz w:val="32"/>
          <w:szCs w:val="32"/>
          <w:lang w:val="en-US" w:eastAsia="zh-CN" w:bidi="ar"/>
        </w:rPr>
        <w:t>字结构；顶板均为圆角长方形，边缘有凸起的宽边，一侧设有</w:t>
      </w:r>
      <w:r>
        <w:rPr>
          <w:rFonts w:hint="default" w:ascii="Times New Roman" w:hAnsi="Times New Roman" w:eastAsia="仿宋_GB2312" w:cs="Times New Roman"/>
          <w:kern w:val="2"/>
          <w:sz w:val="32"/>
          <w:szCs w:val="32"/>
          <w:lang w:val="en-US" w:eastAsia="zh-CN" w:bidi="ar"/>
        </w:rPr>
        <w:t>90</w:t>
      </w:r>
      <w:r>
        <w:rPr>
          <w:rFonts w:hint="eastAsia" w:ascii="仿宋_GB2312" w:hAnsi="Times New Roman" w:eastAsia="仿宋_GB2312" w:cs="仿宋_GB2312"/>
          <w:kern w:val="2"/>
          <w:sz w:val="32"/>
          <w:szCs w:val="32"/>
          <w:lang w:val="en-US" w:eastAsia="zh-CN" w:bidi="ar"/>
        </w:rPr>
        <w:t>度向外弯曲的把手；底部为四个轮子。两者的不同之处在于：</w:t>
      </w:r>
      <w:r>
        <w:rPr>
          <w:rFonts w:hint="default" w:ascii="Times New Roman" w:hAnsi="Times New Roman" w:eastAsia="仿宋_GB2312" w:cs="Times New Roman"/>
          <w:kern w:val="2"/>
          <w:sz w:val="32"/>
          <w:szCs w:val="32"/>
          <w:lang w:val="en-US" w:eastAsia="zh-CN" w:bidi="ar"/>
        </w:rPr>
        <w:t>1.</w:t>
      </w:r>
      <w:r>
        <w:rPr>
          <w:rFonts w:hint="eastAsia" w:ascii="仿宋_GB2312" w:hAnsi="Times New Roman" w:eastAsia="仿宋_GB2312" w:cs="仿宋_GB2312"/>
          <w:kern w:val="2"/>
          <w:sz w:val="32"/>
          <w:szCs w:val="32"/>
          <w:lang w:val="en-US" w:eastAsia="zh-CN" w:bidi="ar"/>
        </w:rPr>
        <w:t>每层横板前端两个圆角区的设计不同，授权外观设计</w:t>
      </w:r>
      <w:r>
        <w:rPr>
          <w:rFonts w:hint="default" w:ascii="Times New Roman" w:hAnsi="Times New Roman" w:eastAsia="仿宋_GB2312" w:cs="Times New Roman"/>
          <w:kern w:val="2"/>
          <w:sz w:val="32"/>
          <w:szCs w:val="32"/>
          <w:lang w:val="en-US" w:eastAsia="zh-CN" w:bidi="ar"/>
        </w:rPr>
        <w:t>1</w:t>
      </w:r>
      <w:r>
        <w:rPr>
          <w:rFonts w:hint="eastAsia" w:ascii="仿宋_GB2312" w:hAnsi="Times New Roman" w:eastAsia="仿宋_GB2312" w:cs="仿宋_GB2312"/>
          <w:kern w:val="2"/>
          <w:sz w:val="32"/>
          <w:szCs w:val="32"/>
          <w:lang w:val="en-US" w:eastAsia="zh-CN" w:bidi="ar"/>
        </w:rPr>
        <w:t>为台阶状，被诉侵权设计为平面；</w:t>
      </w:r>
      <w:r>
        <w:rPr>
          <w:rFonts w:hint="default" w:ascii="Times New Roman" w:hAnsi="Times New Roman" w:eastAsia="仿宋_GB2312" w:cs="Times New Roman"/>
          <w:kern w:val="2"/>
          <w:sz w:val="32"/>
          <w:szCs w:val="32"/>
          <w:lang w:val="en-US" w:eastAsia="zh-CN" w:bidi="ar"/>
        </w:rPr>
        <w:t>2.</w:t>
      </w:r>
      <w:r>
        <w:rPr>
          <w:rFonts w:hint="eastAsia" w:ascii="仿宋_GB2312" w:hAnsi="Times New Roman" w:eastAsia="仿宋_GB2312" w:cs="仿宋_GB2312"/>
          <w:kern w:val="2"/>
          <w:sz w:val="32"/>
          <w:szCs w:val="32"/>
          <w:lang w:val="en-US" w:eastAsia="zh-CN" w:bidi="ar"/>
        </w:rPr>
        <w:t>侧面支撑架的设计不同，授权外观设计</w:t>
      </w:r>
      <w:r>
        <w:rPr>
          <w:rFonts w:hint="default" w:ascii="Times New Roman" w:hAnsi="Times New Roman" w:eastAsia="仿宋_GB2312" w:cs="Times New Roman"/>
          <w:kern w:val="2"/>
          <w:sz w:val="32"/>
          <w:szCs w:val="32"/>
          <w:lang w:val="en-US" w:eastAsia="zh-CN" w:bidi="ar"/>
        </w:rPr>
        <w:t>1</w:t>
      </w:r>
      <w:r>
        <w:rPr>
          <w:rFonts w:hint="eastAsia" w:ascii="仿宋_GB2312" w:hAnsi="Times New Roman" w:eastAsia="仿宋_GB2312" w:cs="仿宋_GB2312"/>
          <w:kern w:val="2"/>
          <w:sz w:val="32"/>
          <w:szCs w:val="32"/>
          <w:lang w:val="en-US" w:eastAsia="zh-CN" w:bidi="ar"/>
        </w:rPr>
        <w:t>每层每侧为两根独立立柱，表面有凹凸竖纹，立柱与横板形成镂空正方形，被诉侵权设计每层每侧支撑架呈一体成型的</w:t>
      </w:r>
      <w:r>
        <w:rPr>
          <w:rFonts w:hint="default" w:ascii="Times New Roman" w:hAnsi="Times New Roman" w:eastAsia="仿宋_GB2312" w:cs="Times New Roman"/>
          <w:kern w:val="2"/>
          <w:sz w:val="32"/>
          <w:szCs w:val="32"/>
          <w:lang w:val="en-US" w:eastAsia="zh-CN" w:bidi="ar"/>
        </w:rPr>
        <w:t>“</w:t>
      </w:r>
      <w:r>
        <w:rPr>
          <w:rFonts w:hint="eastAsia" w:ascii="仿宋_GB2312" w:hAnsi="Times New Roman" w:eastAsia="仿宋_GB2312" w:cs="仿宋_GB2312"/>
          <w:kern w:val="2"/>
          <w:sz w:val="32"/>
          <w:szCs w:val="32"/>
          <w:lang w:val="en-US" w:eastAsia="zh-CN" w:bidi="ar"/>
        </w:rPr>
        <w:t>回</w:t>
      </w:r>
      <w:r>
        <w:rPr>
          <w:rFonts w:hint="default" w:ascii="Times New Roman" w:hAnsi="Times New Roman" w:eastAsia="仿宋_GB2312" w:cs="Times New Roman"/>
          <w:kern w:val="2"/>
          <w:sz w:val="32"/>
          <w:szCs w:val="32"/>
          <w:lang w:val="en-US" w:eastAsia="zh-CN" w:bidi="ar"/>
        </w:rPr>
        <w:t>”</w:t>
      </w:r>
      <w:bookmarkStart w:id="7" w:name="WKJC_bb5f82c52499430ca6c73ad085786789"/>
      <w:r>
        <w:rPr>
          <w:rFonts w:hint="eastAsia" w:ascii="仿宋_GB2312" w:hAnsi="Times New Roman" w:eastAsia="仿宋_GB2312" w:cs="仿宋_GB2312"/>
          <w:kern w:val="2"/>
          <w:sz w:val="32"/>
          <w:szCs w:val="32"/>
          <w:lang w:val="en-US" w:eastAsia="zh-CN" w:bidi="ar"/>
        </w:rPr>
        <w:t>字</w:t>
      </w:r>
      <w:bookmarkEnd w:id="7"/>
      <w:r>
        <w:rPr>
          <w:rFonts w:hint="eastAsia" w:ascii="仿宋_GB2312" w:hAnsi="Times New Roman" w:eastAsia="仿宋_GB2312" w:cs="仿宋_GB2312"/>
          <w:kern w:val="2"/>
          <w:sz w:val="32"/>
          <w:szCs w:val="32"/>
          <w:lang w:val="en-US" w:eastAsia="zh-CN" w:bidi="ar"/>
        </w:rPr>
        <w:t>形，其外围为方形，内部镂空形成类似圆角枕头形；</w:t>
      </w:r>
      <w:r>
        <w:rPr>
          <w:rFonts w:hint="default" w:ascii="Times New Roman" w:hAnsi="Times New Roman" w:eastAsia="仿宋_GB2312" w:cs="Times New Roman"/>
          <w:kern w:val="2"/>
          <w:sz w:val="32"/>
          <w:szCs w:val="32"/>
          <w:lang w:val="en-US" w:eastAsia="zh-CN" w:bidi="ar"/>
        </w:rPr>
        <w:t>3.</w:t>
      </w:r>
      <w:r>
        <w:rPr>
          <w:rFonts w:hint="eastAsia" w:ascii="仿宋_GB2312" w:hAnsi="Times New Roman" w:eastAsia="仿宋_GB2312" w:cs="仿宋_GB2312"/>
          <w:kern w:val="2"/>
          <w:sz w:val="32"/>
          <w:szCs w:val="32"/>
          <w:lang w:val="en-US" w:eastAsia="zh-CN" w:bidi="ar"/>
        </w:rPr>
        <w:t>抽屉部分，授权外观设计</w:t>
      </w:r>
      <w:r>
        <w:rPr>
          <w:rFonts w:hint="default" w:ascii="Times New Roman" w:hAnsi="Times New Roman" w:eastAsia="仿宋_GB2312" w:cs="Times New Roman"/>
          <w:kern w:val="2"/>
          <w:sz w:val="32"/>
          <w:szCs w:val="32"/>
          <w:lang w:val="en-US" w:eastAsia="zh-CN" w:bidi="ar"/>
        </w:rPr>
        <w:t>1</w:t>
      </w:r>
      <w:r>
        <w:rPr>
          <w:rFonts w:hint="eastAsia" w:ascii="仿宋_GB2312" w:hAnsi="Times New Roman" w:eastAsia="仿宋_GB2312" w:cs="仿宋_GB2312"/>
          <w:kern w:val="2"/>
          <w:sz w:val="32"/>
          <w:szCs w:val="32"/>
          <w:lang w:val="en-US" w:eastAsia="zh-CN" w:bidi="ar"/>
        </w:rPr>
        <w:t>的抽屉表面光滑，整体为透明材质，被诉侵权设计的抽屉表面有凹凸纹面，整体为半透明材质；</w:t>
      </w:r>
      <w:r>
        <w:rPr>
          <w:rFonts w:hint="default" w:ascii="Times New Roman" w:hAnsi="Times New Roman" w:eastAsia="仿宋_GB2312" w:cs="Times New Roman"/>
          <w:kern w:val="2"/>
          <w:sz w:val="32"/>
          <w:szCs w:val="32"/>
          <w:lang w:val="en-US" w:eastAsia="zh-CN" w:bidi="ar"/>
        </w:rPr>
        <w:t>4.</w:t>
      </w:r>
      <w:r>
        <w:rPr>
          <w:rFonts w:hint="eastAsia" w:ascii="仿宋_GB2312" w:hAnsi="Times New Roman" w:eastAsia="仿宋_GB2312" w:cs="仿宋_GB2312"/>
          <w:kern w:val="2"/>
          <w:sz w:val="32"/>
          <w:szCs w:val="32"/>
          <w:lang w:val="en-US" w:eastAsia="zh-CN" w:bidi="ar"/>
        </w:rPr>
        <w:t>把手部分，授权外观设计</w:t>
      </w:r>
      <w:r>
        <w:rPr>
          <w:rFonts w:hint="default" w:ascii="Times New Roman" w:hAnsi="Times New Roman" w:eastAsia="仿宋_GB2312" w:cs="Times New Roman"/>
          <w:kern w:val="2"/>
          <w:sz w:val="32"/>
          <w:szCs w:val="32"/>
          <w:lang w:val="en-US" w:eastAsia="zh-CN" w:bidi="ar"/>
        </w:rPr>
        <w:t>1</w:t>
      </w:r>
      <w:r>
        <w:rPr>
          <w:rFonts w:hint="eastAsia" w:ascii="仿宋_GB2312" w:hAnsi="Times New Roman" w:eastAsia="仿宋_GB2312" w:cs="仿宋_GB2312"/>
          <w:kern w:val="2"/>
          <w:sz w:val="32"/>
          <w:szCs w:val="32"/>
          <w:lang w:val="en-US" w:eastAsia="zh-CN" w:bidi="ar"/>
        </w:rPr>
        <w:t>的把手光滑平整，被诉侵权设计的把手上设有四个手指槽。</w:t>
      </w:r>
    </w:p>
    <w:p>
      <w:pPr>
        <w:keepNext w:val="0"/>
        <w:keepLines w:val="0"/>
        <w:widowControl w:val="0"/>
        <w:suppressLineNumbers w:val="0"/>
        <w:autoSpaceDE w:val="0"/>
        <w:autoSpaceDN w:val="0"/>
        <w:adjustRightInd w:val="0"/>
        <w:spacing w:before="0" w:beforeAutospacing="0" w:after="0" w:afterAutospacing="0" w:line="572" w:lineRule="exact"/>
        <w:ind w:left="0" w:right="0" w:firstLine="620" w:firstLineChars="200"/>
        <w:jc w:val="both"/>
        <w:rPr>
          <w:rFonts w:hint="default" w:ascii="Times New Roman" w:hAnsi="Times New Roman" w:eastAsia="仿宋_GB2312" w:cs="Times New Roman"/>
          <w:kern w:val="2"/>
          <w:sz w:val="32"/>
          <w:szCs w:val="32"/>
        </w:rPr>
      </w:pPr>
      <w:r>
        <w:rPr>
          <w:rFonts w:hint="eastAsia" w:ascii="仿宋_GB2312" w:hAnsi="Times New Roman" w:eastAsia="仿宋_GB2312" w:cs="仿宋_GB2312"/>
          <w:kern w:val="2"/>
          <w:sz w:val="32"/>
          <w:szCs w:val="32"/>
          <w:lang w:val="en-US" w:eastAsia="zh-CN" w:bidi="ar"/>
        </w:rPr>
        <w:t>本院认为，涉案专利由多层长方体形状的主体部分以及把手、轮子三部分组成，根据涉案专利权评价报告中的对比设计及嘉某公司、王某甲提交的现有设计情况来看，整体为多层设计的长方体形状在收纳架产品的在先设计中比较常见，并且，涉案专利的主体部分分层结构、置物篮设置、侧面支撑架形状结构乃至每层横板前端的台阶状设计细节设计以及由上述设计特征组合成的整体形状、轮廓均与在先公开的</w:t>
      </w:r>
      <w:r>
        <w:rPr>
          <w:rFonts w:hint="default" w:ascii="Times New Roman" w:hAnsi="Times New Roman" w:eastAsia="仿宋_GB2312" w:cs="Times New Roman"/>
          <w:kern w:val="2"/>
          <w:sz w:val="32"/>
          <w:szCs w:val="32"/>
          <w:lang w:val="en-US" w:eastAsia="zh-CN" w:bidi="ar"/>
        </w:rPr>
        <w:t>ZL2017xxxx2909.6</w:t>
      </w:r>
      <w:r>
        <w:rPr>
          <w:rFonts w:hint="eastAsia" w:ascii="仿宋_GB2312" w:hAnsi="Times New Roman" w:eastAsia="仿宋_GB2312" w:cs="仿宋_GB2312"/>
          <w:kern w:val="2"/>
          <w:sz w:val="32"/>
          <w:szCs w:val="32"/>
          <w:lang w:val="en-US" w:eastAsia="zh-CN" w:bidi="ar"/>
        </w:rPr>
        <w:t>号</w:t>
      </w:r>
      <w:r>
        <w:rPr>
          <w:rFonts w:hint="default" w:ascii="Times New Roman" w:hAnsi="Times New Roman" w:eastAsia="仿宋_GB2312" w:cs="Times New Roman"/>
          <w:kern w:val="2"/>
          <w:sz w:val="32"/>
          <w:szCs w:val="32"/>
          <w:lang w:val="en-US" w:eastAsia="zh-CN" w:bidi="ar"/>
        </w:rPr>
        <w:t>“</w:t>
      </w:r>
      <w:r>
        <w:rPr>
          <w:rFonts w:hint="eastAsia" w:ascii="仿宋_GB2312" w:hAnsi="Times New Roman" w:eastAsia="仿宋_GB2312" w:cs="仿宋_GB2312"/>
          <w:kern w:val="2"/>
          <w:sz w:val="32"/>
          <w:szCs w:val="32"/>
          <w:lang w:val="en-US" w:eastAsia="zh-CN" w:bidi="ar"/>
        </w:rPr>
        <w:t>抽拉柜</w:t>
      </w:r>
      <w:r>
        <w:rPr>
          <w:rFonts w:hint="default" w:ascii="Times New Roman" w:hAnsi="Times New Roman" w:eastAsia="仿宋_GB2312" w:cs="Times New Roman"/>
          <w:kern w:val="2"/>
          <w:sz w:val="32"/>
          <w:szCs w:val="32"/>
          <w:lang w:val="en-US" w:eastAsia="zh-CN" w:bidi="ar"/>
        </w:rPr>
        <w:t>”</w:t>
      </w:r>
      <w:r>
        <w:rPr>
          <w:rFonts w:hint="eastAsia" w:ascii="仿宋_GB2312" w:hAnsi="Times New Roman" w:eastAsia="仿宋_GB2312" w:cs="仿宋_GB2312"/>
          <w:kern w:val="2"/>
          <w:sz w:val="32"/>
          <w:szCs w:val="32"/>
          <w:lang w:val="en-US" w:eastAsia="zh-CN" w:bidi="ar"/>
        </w:rPr>
        <w:t>外观设计专利相同，弯曲的把手和底部的轮子设计元素</w:t>
      </w:r>
      <w:bookmarkStart w:id="8" w:name="WKJC_4b92826b1add416580797667d9e38ec0"/>
      <w:r>
        <w:rPr>
          <w:rFonts w:hint="eastAsia" w:ascii="仿宋_GB2312" w:hAnsi="Times New Roman" w:eastAsia="仿宋_GB2312" w:cs="仿宋_GB2312"/>
          <w:kern w:val="2"/>
          <w:sz w:val="32"/>
          <w:szCs w:val="32"/>
          <w:lang w:val="en-US" w:eastAsia="zh-CN" w:bidi="ar"/>
        </w:rPr>
        <w:t>在在先</w:t>
      </w:r>
      <w:bookmarkEnd w:id="8"/>
      <w:r>
        <w:rPr>
          <w:rFonts w:hint="eastAsia" w:ascii="仿宋_GB2312" w:hAnsi="Times New Roman" w:eastAsia="仿宋_GB2312" w:cs="仿宋_GB2312"/>
          <w:kern w:val="2"/>
          <w:sz w:val="32"/>
          <w:szCs w:val="32"/>
          <w:lang w:val="en-US" w:eastAsia="zh-CN" w:bidi="ar"/>
        </w:rPr>
        <w:t>设计中也有所体现，涉案专利将三者简单组合后形成授权外观设计，创新性较弱。专利权的保护范围和保护强度应与其创新和贡献程度相协调，创新程度较低的外观设计专利，保护范围较小。就涉案抽拉柜产品而言，一般消费者更容易关注到产品细节方面的变化设计，具体区别设计对整体视觉效果的影响权重较高。被诉侵权设计虽同样采用在整体形状接近的长方体主体部分加设弯曲把手和轮子的组合设计，但存在如上所述的</w:t>
      </w:r>
      <w:r>
        <w:rPr>
          <w:rFonts w:hint="default" w:ascii="Times New Roman" w:hAnsi="Times New Roman" w:eastAsia="仿宋_GB2312" w:cs="Times New Roman"/>
          <w:kern w:val="2"/>
          <w:sz w:val="32"/>
          <w:szCs w:val="32"/>
          <w:lang w:val="en-US" w:eastAsia="zh-CN" w:bidi="ar"/>
        </w:rPr>
        <w:t>4</w:t>
      </w:r>
      <w:r>
        <w:rPr>
          <w:rFonts w:hint="eastAsia" w:ascii="仿宋_GB2312" w:hAnsi="Times New Roman" w:eastAsia="仿宋_GB2312" w:cs="仿宋_GB2312"/>
          <w:kern w:val="2"/>
          <w:sz w:val="32"/>
          <w:szCs w:val="32"/>
          <w:lang w:val="en-US" w:eastAsia="zh-CN" w:bidi="ar"/>
        </w:rPr>
        <w:t>个区别点，其中主体部分存在的区别点</w:t>
      </w:r>
      <w:r>
        <w:rPr>
          <w:rFonts w:hint="default" w:ascii="Times New Roman" w:hAnsi="Times New Roman" w:eastAsia="仿宋_GB2312" w:cs="Times New Roman"/>
          <w:kern w:val="2"/>
          <w:sz w:val="32"/>
          <w:szCs w:val="32"/>
          <w:lang w:val="en-US" w:eastAsia="zh-CN" w:bidi="ar"/>
        </w:rPr>
        <w:t>1</w:t>
      </w:r>
      <w:r>
        <w:rPr>
          <w:rFonts w:hint="eastAsia" w:ascii="仿宋_GB2312" w:hAnsi="Times New Roman" w:eastAsia="仿宋_GB2312" w:cs="仿宋_GB2312"/>
          <w:kern w:val="2"/>
          <w:sz w:val="32"/>
          <w:szCs w:val="32"/>
          <w:lang w:val="en-US" w:eastAsia="zh-CN" w:bidi="ar"/>
        </w:rPr>
        <w:t>、</w:t>
      </w:r>
      <w:r>
        <w:rPr>
          <w:rFonts w:hint="default" w:ascii="Times New Roman" w:hAnsi="Times New Roman" w:eastAsia="仿宋_GB2312" w:cs="Times New Roman"/>
          <w:kern w:val="2"/>
          <w:sz w:val="32"/>
          <w:szCs w:val="32"/>
          <w:lang w:val="en-US" w:eastAsia="zh-CN" w:bidi="ar"/>
        </w:rPr>
        <w:t>2</w:t>
      </w:r>
      <w:r>
        <w:rPr>
          <w:rFonts w:hint="eastAsia" w:ascii="仿宋_GB2312" w:hAnsi="Times New Roman" w:eastAsia="仿宋_GB2312" w:cs="仿宋_GB2312"/>
          <w:kern w:val="2"/>
          <w:sz w:val="32"/>
          <w:szCs w:val="32"/>
          <w:lang w:val="en-US" w:eastAsia="zh-CN" w:bidi="ar"/>
        </w:rPr>
        <w:t>位于产品正常使用时容易被直接观察到的部位，且在整体外观中占比较大，使两者呈现出不同的视觉观感。根据整体观察、综合判断的比对原则，从一般消费者的知识水平和认知能力看，应认定被诉侵权设计与涉案专利不构成相同或近似设计，未落入涉案专利权的保护范围。鉴于嘉某公司、王某甲未侵害郑某的涉案外观设计专利权，故对其他争议焦点不再予以评述。</w:t>
      </w:r>
    </w:p>
    <w:p>
      <w:pPr>
        <w:keepNext w:val="0"/>
        <w:keepLines w:val="0"/>
        <w:widowControl w:val="0"/>
        <w:suppressLineNumbers w:val="0"/>
        <w:autoSpaceDE w:val="0"/>
        <w:autoSpaceDN w:val="0"/>
        <w:adjustRightInd w:val="0"/>
        <w:spacing w:before="0" w:beforeAutospacing="0" w:after="0" w:afterAutospacing="0" w:line="572" w:lineRule="exact"/>
        <w:ind w:left="0" w:right="0" w:firstLine="620" w:firstLineChars="200"/>
        <w:jc w:val="both"/>
        <w:rPr>
          <w:rFonts w:hint="default" w:ascii="Times New Roman" w:hAnsi="Times New Roman" w:eastAsia="仿宋_GB2312" w:cs="Times New Roman"/>
          <w:kern w:val="2"/>
          <w:sz w:val="32"/>
          <w:szCs w:val="32"/>
        </w:rPr>
      </w:pPr>
      <w:r>
        <w:rPr>
          <w:rFonts w:hint="eastAsia" w:ascii="仿宋_GB2312" w:hAnsi="Times New Roman" w:eastAsia="仿宋_GB2312" w:cs="仿宋_GB2312"/>
          <w:kern w:val="2"/>
          <w:sz w:val="32"/>
          <w:szCs w:val="32"/>
          <w:lang w:val="en-US" w:eastAsia="zh-CN" w:bidi="ar"/>
        </w:rPr>
        <w:t>综上，嘉某公司、王某甲的上诉请求成立，应予支持。一审判决认定事实清楚，但因二审出现新的证据，故本院根据新查明的事实予以改判。依照《中华人民共和国专利法》第六十四条第二款，</w:t>
      </w:r>
      <w:bookmarkStart w:id="9" w:name="WKJC_3ad2a9559c2743db91725194a68f8f66"/>
      <w:r>
        <w:rPr>
          <w:rFonts w:hint="eastAsia" w:ascii="仿宋_GB2312" w:hAnsi="Times New Roman" w:eastAsia="仿宋_GB2312" w:cs="仿宋_GB2312"/>
          <w:kern w:val="2"/>
          <w:sz w:val="32"/>
          <w:szCs w:val="32"/>
          <w:lang w:val="en-US" w:eastAsia="zh-CN" w:bidi="ar"/>
        </w:rPr>
        <w:t>《最高人民法院关于审理侵犯专利权纠纷案件应用法律若干问题的解释》第八条、第十条、第十一条第三款</w:t>
      </w:r>
      <w:bookmarkEnd w:id="9"/>
      <w:r>
        <w:rPr>
          <w:rFonts w:hint="eastAsia" w:ascii="仿宋_GB2312" w:hAnsi="Times New Roman" w:eastAsia="仿宋_GB2312" w:cs="仿宋_GB2312"/>
          <w:kern w:val="2"/>
          <w:sz w:val="32"/>
          <w:szCs w:val="32"/>
          <w:lang w:val="en-US" w:eastAsia="zh-CN" w:bidi="ar"/>
        </w:rPr>
        <w:t>，《中华人民共和国民事诉讼法》第一百七十七条第一款第二项之规定，判决如下：</w:t>
      </w:r>
    </w:p>
    <w:p>
      <w:pPr>
        <w:pStyle w:val="12"/>
        <w:keepNext w:val="0"/>
        <w:keepLines w:val="0"/>
        <w:widowControl w:val="0"/>
        <w:suppressLineNumbers w:val="0"/>
        <w:spacing w:before="0" w:beforeAutospacing="1" w:after="0" w:afterAutospacing="0" w:line="572" w:lineRule="exact"/>
        <w:ind w:left="0" w:right="0" w:firstLine="620" w:firstLineChars="200"/>
        <w:jc w:val="both"/>
        <w:rPr>
          <w:rFonts w:hint="default" w:ascii="Times New Roman" w:hAnsi="Times New Roman" w:eastAsia="仿宋_GB2312" w:cs="Times New Roman"/>
          <w:kern w:val="2"/>
          <w:sz w:val="32"/>
          <w:szCs w:val="32"/>
        </w:rPr>
      </w:pPr>
      <w:r>
        <w:rPr>
          <w:rFonts w:hint="eastAsia" w:ascii="仿宋_GB2312" w:hAnsi="Times New Roman" w:eastAsia="仿宋_GB2312" w:cs="仿宋_GB2312"/>
          <w:kern w:val="2"/>
          <w:sz w:val="32"/>
          <w:szCs w:val="32"/>
          <w:lang w:val="en-US" w:eastAsia="zh-CN" w:bidi="ar"/>
        </w:rPr>
        <w:t>一、撤销浙江省杭州市中级人民法院（</w:t>
      </w:r>
      <w:r>
        <w:rPr>
          <w:rFonts w:hint="default" w:ascii="Times New Roman" w:hAnsi="Times New Roman" w:eastAsia="仿宋_GB2312" w:cs="Times New Roman"/>
          <w:kern w:val="2"/>
          <w:sz w:val="32"/>
          <w:szCs w:val="32"/>
          <w:lang w:val="en-US" w:eastAsia="zh-CN" w:bidi="ar"/>
        </w:rPr>
        <w:t>2025</w:t>
      </w:r>
      <w:r>
        <w:rPr>
          <w:rFonts w:hint="eastAsia" w:ascii="仿宋_GB2312" w:hAnsi="Times New Roman" w:eastAsia="仿宋_GB2312" w:cs="仿宋_GB2312"/>
          <w:kern w:val="2"/>
          <w:sz w:val="32"/>
          <w:szCs w:val="32"/>
          <w:lang w:val="en-US" w:eastAsia="zh-CN" w:bidi="ar"/>
        </w:rPr>
        <w:t>）浙</w:t>
      </w:r>
      <w:r>
        <w:rPr>
          <w:rFonts w:hint="default" w:ascii="Times New Roman" w:hAnsi="Times New Roman" w:eastAsia="仿宋_GB2312" w:cs="Times New Roman"/>
          <w:kern w:val="2"/>
          <w:sz w:val="32"/>
          <w:szCs w:val="32"/>
          <w:lang w:val="en-US" w:eastAsia="zh-CN" w:bidi="ar"/>
        </w:rPr>
        <w:t>01</w:t>
      </w:r>
      <w:r>
        <w:rPr>
          <w:rFonts w:hint="eastAsia" w:ascii="仿宋_GB2312" w:hAnsi="Times New Roman" w:eastAsia="仿宋_GB2312" w:cs="仿宋_GB2312"/>
          <w:kern w:val="2"/>
          <w:sz w:val="32"/>
          <w:szCs w:val="32"/>
          <w:lang w:val="en-US" w:eastAsia="zh-CN" w:bidi="ar"/>
        </w:rPr>
        <w:t>民初</w:t>
      </w:r>
      <w:r>
        <w:rPr>
          <w:rFonts w:hint="default" w:ascii="Times New Roman" w:hAnsi="Times New Roman" w:eastAsia="仿宋_GB2312" w:cs="Times New Roman"/>
          <w:kern w:val="2"/>
          <w:sz w:val="32"/>
          <w:szCs w:val="32"/>
          <w:lang w:val="en-US" w:eastAsia="zh-CN" w:bidi="ar"/>
        </w:rPr>
        <w:t>232</w:t>
      </w:r>
      <w:r>
        <w:rPr>
          <w:rFonts w:hint="eastAsia" w:ascii="仿宋_GB2312" w:hAnsi="Times New Roman" w:eastAsia="仿宋_GB2312" w:cs="仿宋_GB2312"/>
          <w:kern w:val="2"/>
          <w:sz w:val="32"/>
          <w:szCs w:val="32"/>
          <w:lang w:val="en-US" w:eastAsia="zh-CN" w:bidi="ar"/>
        </w:rPr>
        <w:t>号民事判决；</w:t>
      </w:r>
    </w:p>
    <w:p>
      <w:pPr>
        <w:pStyle w:val="12"/>
        <w:keepNext w:val="0"/>
        <w:keepLines w:val="0"/>
        <w:widowControl w:val="0"/>
        <w:suppressLineNumbers w:val="0"/>
        <w:spacing w:before="0" w:beforeAutospacing="1" w:after="0" w:afterAutospacing="0" w:line="572" w:lineRule="exact"/>
        <w:ind w:left="0" w:right="0" w:firstLine="620" w:firstLineChars="200"/>
        <w:jc w:val="both"/>
        <w:rPr>
          <w:rFonts w:hint="default" w:ascii="Times New Roman" w:hAnsi="Times New Roman" w:eastAsia="仿宋_GB2312" w:cs="Times New Roman"/>
          <w:kern w:val="2"/>
          <w:sz w:val="32"/>
          <w:szCs w:val="32"/>
        </w:rPr>
      </w:pPr>
      <w:r>
        <w:rPr>
          <w:rFonts w:hint="eastAsia" w:ascii="仿宋_GB2312" w:hAnsi="Times New Roman" w:eastAsia="仿宋_GB2312" w:cs="仿宋_GB2312"/>
          <w:kern w:val="2"/>
          <w:sz w:val="32"/>
          <w:szCs w:val="32"/>
          <w:lang w:val="en-US" w:eastAsia="zh-CN" w:bidi="ar"/>
        </w:rPr>
        <w:t>二、驳回郑某的全部诉讼请求。</w:t>
      </w:r>
    </w:p>
    <w:p>
      <w:pPr>
        <w:pStyle w:val="12"/>
        <w:keepNext w:val="0"/>
        <w:keepLines w:val="0"/>
        <w:widowControl w:val="0"/>
        <w:suppressLineNumbers w:val="0"/>
        <w:spacing w:before="0" w:beforeAutospacing="1" w:after="0" w:afterAutospacing="0" w:line="572" w:lineRule="exact"/>
        <w:ind w:left="0" w:right="0" w:firstLine="620" w:firstLineChars="200"/>
        <w:jc w:val="both"/>
        <w:rPr>
          <w:rFonts w:hint="default" w:ascii="Times New Roman" w:hAnsi="Times New Roman" w:eastAsia="仿宋_GB2312" w:cs="Times New Roman"/>
          <w:kern w:val="2"/>
          <w:sz w:val="32"/>
          <w:szCs w:val="32"/>
        </w:rPr>
      </w:pPr>
      <w:r>
        <w:rPr>
          <w:rFonts w:hint="eastAsia" w:ascii="仿宋_GB2312" w:hAnsi="Times New Roman" w:eastAsia="仿宋_GB2312" w:cs="仿宋_GB2312"/>
          <w:kern w:val="2"/>
          <w:sz w:val="32"/>
          <w:szCs w:val="32"/>
          <w:lang w:val="en-US" w:eastAsia="zh-CN" w:bidi="ar"/>
        </w:rPr>
        <w:t>一审案件受理费</w:t>
      </w:r>
      <w:r>
        <w:rPr>
          <w:rFonts w:hint="default" w:ascii="Times New Roman" w:hAnsi="Times New Roman" w:eastAsia="仿宋_GB2312" w:cs="Times New Roman"/>
          <w:kern w:val="2"/>
          <w:sz w:val="32"/>
          <w:szCs w:val="32"/>
          <w:lang w:val="en-US" w:eastAsia="zh-CN" w:bidi="ar"/>
        </w:rPr>
        <w:t>1050</w:t>
      </w:r>
      <w:r>
        <w:rPr>
          <w:rFonts w:hint="eastAsia" w:ascii="仿宋_GB2312" w:hAnsi="Times New Roman" w:eastAsia="仿宋_GB2312" w:cs="仿宋_GB2312"/>
          <w:kern w:val="2"/>
          <w:sz w:val="32"/>
          <w:szCs w:val="32"/>
          <w:lang w:val="en-US" w:eastAsia="zh-CN" w:bidi="ar"/>
        </w:rPr>
        <w:t>元、二审案件受理费</w:t>
      </w:r>
      <w:r>
        <w:rPr>
          <w:rFonts w:hint="default" w:ascii="Times New Roman" w:hAnsi="Times New Roman" w:eastAsia="仿宋_GB2312" w:cs="Times New Roman"/>
          <w:kern w:val="2"/>
          <w:sz w:val="32"/>
          <w:szCs w:val="32"/>
          <w:lang w:val="en-US" w:eastAsia="zh-CN" w:bidi="ar"/>
        </w:rPr>
        <w:t>300</w:t>
      </w:r>
      <w:r>
        <w:rPr>
          <w:rFonts w:hint="eastAsia" w:ascii="仿宋_GB2312" w:hAnsi="Times New Roman" w:eastAsia="仿宋_GB2312" w:cs="仿宋_GB2312"/>
          <w:kern w:val="2"/>
          <w:sz w:val="32"/>
          <w:szCs w:val="32"/>
          <w:lang w:val="en-US" w:eastAsia="zh-CN" w:bidi="ar"/>
        </w:rPr>
        <w:t>元，均由郑某负担。</w:t>
      </w:r>
    </w:p>
    <w:p>
      <w:pPr>
        <w:pStyle w:val="12"/>
        <w:keepNext w:val="0"/>
        <w:keepLines w:val="0"/>
        <w:widowControl w:val="0"/>
        <w:suppressLineNumbers w:val="0"/>
        <w:spacing w:before="0" w:beforeAutospacing="1" w:after="0" w:afterAutospacing="0" w:line="572" w:lineRule="exact"/>
        <w:ind w:left="0" w:right="0" w:firstLine="620" w:firstLineChars="200"/>
        <w:jc w:val="both"/>
        <w:rPr>
          <w:rFonts w:hint="default" w:ascii="Times New Roman" w:hAnsi="Times New Roman" w:eastAsia="仿宋_GB2312" w:cs="Times New Roman"/>
          <w:kern w:val="2"/>
          <w:sz w:val="32"/>
          <w:szCs w:val="32"/>
        </w:rPr>
      </w:pPr>
      <w:r>
        <w:rPr>
          <w:rFonts w:hint="eastAsia" w:ascii="仿宋_GB2312" w:hAnsi="Times New Roman" w:eastAsia="仿宋_GB2312" w:cs="仿宋_GB2312"/>
          <w:kern w:val="2"/>
          <w:sz w:val="32"/>
          <w:szCs w:val="32"/>
          <w:lang w:val="en-US" w:eastAsia="zh-CN" w:bidi="ar"/>
        </w:rPr>
        <w:t>本判决为终审判决。</w:t>
      </w:r>
    </w:p>
    <w:p>
      <w:pPr>
        <w:pStyle w:val="2"/>
        <w:keepNext w:val="0"/>
        <w:keepLines w:val="0"/>
        <w:pageBreakBefore w:val="0"/>
        <w:widowControl w:val="0"/>
        <w:kinsoku/>
        <w:wordWrap/>
        <w:overflowPunct/>
        <w:topLinePunct w:val="0"/>
        <w:bidi w:val="0"/>
        <w:snapToGrid/>
        <w:spacing w:after="0" w:line="572" w:lineRule="exact"/>
        <w:ind w:firstLine="620" w:firstLineChars="200"/>
        <w:jc w:val="both"/>
        <w:textAlignment w:val="auto"/>
        <w:rPr>
          <w:rFonts w:hint="default" w:ascii="Times New Roman" w:hAnsi="Times New Roman" w:eastAsia="仿宋_GB2312" w:cs="Times New Roman"/>
          <w:sz w:val="32"/>
          <w:szCs w:val="32"/>
        </w:rPr>
      </w:pPr>
    </w:p>
    <w:p>
      <w:pPr>
        <w:pStyle w:val="2"/>
        <w:keepNext w:val="0"/>
        <w:keepLines w:val="0"/>
        <w:pageBreakBefore w:val="0"/>
        <w:widowControl w:val="0"/>
        <w:kinsoku/>
        <w:wordWrap/>
        <w:overflowPunct/>
        <w:topLinePunct w:val="0"/>
        <w:bidi w:val="0"/>
        <w:spacing w:after="0" w:line="580" w:lineRule="exact"/>
        <w:ind w:firstLine="620" w:firstLineChars="200"/>
        <w:textAlignment w:val="auto"/>
        <w:rPr>
          <w:rFonts w:eastAsia="仿宋_GB2312"/>
          <w:sz w:val="32"/>
          <w:szCs w:val="32"/>
        </w:rPr>
      </w:pPr>
    </w:p>
    <w:p>
      <w:pPr>
        <w:keepNext w:val="0"/>
        <w:keepLines w:val="0"/>
        <w:pageBreakBefore w:val="0"/>
        <w:widowControl w:val="0"/>
        <w:kinsoku/>
        <w:wordWrap/>
        <w:overflowPunct/>
        <w:topLinePunct w:val="0"/>
        <w:autoSpaceDE w:val="0"/>
        <w:autoSpaceDN w:val="0"/>
        <w:bidi w:val="0"/>
        <w:adjustRightInd w:val="0"/>
        <w:spacing w:line="580" w:lineRule="exact"/>
        <w:ind w:firstLine="4340" w:firstLineChars="1400"/>
        <w:textAlignment w:val="auto"/>
        <w:rPr>
          <w:rFonts w:ascii="Times New Roman" w:hAnsi="Times New Roman" w:eastAsia="仿宋_GB2312"/>
          <w:sz w:val="32"/>
          <w:szCs w:val="32"/>
        </w:rPr>
      </w:pPr>
    </w:p>
    <w:p>
      <w:pPr>
        <w:keepNext w:val="0"/>
        <w:keepLines w:val="0"/>
        <w:pageBreakBefore w:val="0"/>
        <w:widowControl w:val="0"/>
        <w:kinsoku/>
        <w:wordWrap/>
        <w:overflowPunct/>
        <w:topLinePunct w:val="0"/>
        <w:autoSpaceDE w:val="0"/>
        <w:autoSpaceDN w:val="0"/>
        <w:bidi w:val="0"/>
        <w:adjustRightInd w:val="0"/>
        <w:spacing w:line="580" w:lineRule="exact"/>
        <w:ind w:firstLine="4340" w:firstLineChars="1400"/>
        <w:textAlignment w:val="auto"/>
        <w:rPr>
          <w:rFonts w:ascii="Times New Roman" w:hAnsi="Times New Roman" w:eastAsia="仿宋_GB2312"/>
          <w:sz w:val="32"/>
          <w:szCs w:val="32"/>
        </w:rPr>
      </w:pPr>
      <w:r>
        <w:rPr>
          <w:rFonts w:ascii="Times New Roman" w:hAnsi="Times New Roman" w:eastAsia="仿宋_GB2312"/>
          <w:sz w:val="32"/>
          <w:szCs w:val="32"/>
        </w:rPr>
        <w:t>审  判  长    何      琼</w:t>
      </w:r>
    </w:p>
    <w:p>
      <w:pPr>
        <w:keepNext w:val="0"/>
        <w:keepLines w:val="0"/>
        <w:pageBreakBefore w:val="0"/>
        <w:widowControl w:val="0"/>
        <w:tabs>
          <w:tab w:val="left" w:pos="6456"/>
          <w:tab w:val="left" w:pos="6725"/>
          <w:tab w:val="left" w:pos="7263"/>
        </w:tabs>
        <w:kinsoku/>
        <w:wordWrap/>
        <w:overflowPunct/>
        <w:topLinePunct w:val="0"/>
        <w:bidi w:val="0"/>
        <w:spacing w:line="580" w:lineRule="exact"/>
        <w:ind w:firstLine="4349" w:firstLineChars="1403"/>
        <w:textAlignment w:val="auto"/>
        <w:rPr>
          <w:rFonts w:ascii="Times New Roman" w:hAnsi="Times New Roman" w:eastAsia="仿宋_GB2312"/>
          <w:sz w:val="32"/>
          <w:szCs w:val="32"/>
        </w:rPr>
      </w:pPr>
      <w:r>
        <w:rPr>
          <w:rFonts w:ascii="Times New Roman" w:hAnsi="Times New Roman" w:eastAsia="仿宋_GB2312"/>
          <w:sz w:val="32"/>
          <w:szCs w:val="32"/>
        </w:rPr>
        <w:t>审  判  员    路      遥</w:t>
      </w:r>
    </w:p>
    <w:p>
      <w:pPr>
        <w:keepNext w:val="0"/>
        <w:keepLines w:val="0"/>
        <w:pageBreakBefore w:val="0"/>
        <w:widowControl w:val="0"/>
        <w:tabs>
          <w:tab w:val="left" w:pos="5918"/>
          <w:tab w:val="left" w:pos="6456"/>
          <w:tab w:val="left" w:pos="7263"/>
        </w:tabs>
        <w:kinsoku/>
        <w:wordWrap/>
        <w:overflowPunct/>
        <w:topLinePunct w:val="0"/>
        <w:bidi w:val="0"/>
        <w:spacing w:line="580" w:lineRule="exact"/>
        <w:ind w:firstLine="4349" w:firstLineChars="1403"/>
        <w:textAlignment w:val="auto"/>
        <w:rPr>
          <w:rFonts w:ascii="Times New Roman" w:hAnsi="Times New Roman" w:eastAsia="仿宋_GB2312"/>
          <w:sz w:val="32"/>
          <w:szCs w:val="32"/>
        </w:rPr>
      </w:pPr>
      <w:r>
        <w:rPr>
          <w:rFonts w:ascii="Times New Roman" w:hAnsi="Times New Roman" w:eastAsia="仿宋_GB2312"/>
          <w:sz w:val="32"/>
          <w:szCs w:val="32"/>
        </w:rPr>
        <w:t>审  判  员    刘  建  中</w:t>
      </w:r>
    </w:p>
    <w:p>
      <w:pPr>
        <w:keepNext w:val="0"/>
        <w:keepLines w:val="0"/>
        <w:pageBreakBefore w:val="0"/>
        <w:widowControl w:val="0"/>
        <w:tabs>
          <w:tab w:val="left" w:pos="5918"/>
          <w:tab w:val="left" w:pos="6456"/>
          <w:tab w:val="left" w:pos="7263"/>
        </w:tabs>
        <w:kinsoku/>
        <w:wordWrap/>
        <w:overflowPunct/>
        <w:topLinePunct w:val="0"/>
        <w:bidi w:val="0"/>
        <w:spacing w:line="580" w:lineRule="exact"/>
        <w:ind w:firstLine="4349" w:firstLineChars="1403"/>
        <w:textAlignment w:val="auto"/>
        <w:rPr>
          <w:rFonts w:ascii="Times New Roman" w:hAnsi="Times New Roman" w:eastAsia="仿宋_GB2312"/>
          <w:sz w:val="32"/>
          <w:szCs w:val="32"/>
        </w:rPr>
      </w:pPr>
    </w:p>
    <w:p>
      <w:pPr>
        <w:pStyle w:val="2"/>
        <w:keepNext w:val="0"/>
        <w:keepLines w:val="0"/>
        <w:pageBreakBefore w:val="0"/>
        <w:widowControl w:val="0"/>
        <w:kinsoku/>
        <w:wordWrap/>
        <w:overflowPunct/>
        <w:topLinePunct w:val="0"/>
        <w:bidi w:val="0"/>
        <w:spacing w:after="0" w:line="580" w:lineRule="exact"/>
        <w:textAlignment w:val="auto"/>
      </w:pPr>
    </w:p>
    <w:p>
      <w:pPr>
        <w:pStyle w:val="5"/>
        <w:keepNext w:val="0"/>
        <w:keepLines w:val="0"/>
        <w:pageBreakBefore w:val="0"/>
        <w:widowControl w:val="0"/>
        <w:kinsoku/>
        <w:wordWrap/>
        <w:overflowPunct/>
        <w:topLinePunct w:val="0"/>
        <w:bidi w:val="0"/>
        <w:spacing w:line="580" w:lineRule="exact"/>
        <w:textAlignment w:val="auto"/>
        <w:rPr>
          <w:rFonts w:ascii="Times New Roman" w:hAnsi="Times New Roman" w:eastAsia="仿宋_GB2312" w:cs="Times New Roman"/>
          <w:sz w:val="32"/>
          <w:szCs w:val="32"/>
        </w:rPr>
      </w:pPr>
    </w:p>
    <w:p>
      <w:pPr>
        <w:pStyle w:val="5"/>
        <w:keepNext w:val="0"/>
        <w:keepLines w:val="0"/>
        <w:pageBreakBefore w:val="0"/>
        <w:widowControl w:val="0"/>
        <w:kinsoku/>
        <w:wordWrap/>
        <w:overflowPunct/>
        <w:topLinePunct w:val="0"/>
        <w:bidi w:val="0"/>
        <w:spacing w:line="580" w:lineRule="exact"/>
        <w:textAlignment w:val="auto"/>
        <w:rPr>
          <w:rFonts w:ascii="Times New Roman" w:hAnsi="Times New Roman" w:eastAsia="仿宋_GB2312" w:cs="Times New Roman"/>
          <w:sz w:val="32"/>
          <w:szCs w:val="32"/>
        </w:rPr>
      </w:pPr>
    </w:p>
    <w:tbl>
      <w:tblPr>
        <w:tblStyle w:val="14"/>
        <w:tblW w:w="0" w:type="auto"/>
        <w:tblInd w:w="414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17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71" w:type="dxa"/>
            <w:tcBorders>
              <w:top w:val="nil"/>
              <w:left w:val="nil"/>
              <w:bottom w:val="nil"/>
              <w:right w:val="nil"/>
            </w:tcBorders>
            <w:noWrap w:val="0"/>
            <w:vAlign w:val="top"/>
          </w:tcPr>
          <w:p>
            <w:pPr>
              <w:pStyle w:val="6"/>
              <w:keepNext w:val="0"/>
              <w:keepLines w:val="0"/>
              <w:pageBreakBefore w:val="0"/>
              <w:widowControl w:val="0"/>
              <w:kinsoku/>
              <w:wordWrap/>
              <w:overflowPunct/>
              <w:topLinePunct w:val="0"/>
              <w:bidi w:val="0"/>
              <w:spacing w:line="580" w:lineRule="exact"/>
              <w:ind w:firstLine="137" w:firstLineChars="45"/>
              <w:textAlignment w:val="auto"/>
              <w:rPr>
                <w:rFonts w:ascii="Times New Roman" w:hAnsi="Times New Roman" w:eastAsia="仿宋_GB2312" w:cs="Times New Roman"/>
                <w:sz w:val="32"/>
                <w:szCs w:val="32"/>
              </w:rPr>
            </w:pPr>
            <w:r>
              <w:rPr>
                <w:rFonts w:ascii="Times New Roman" w:hAnsi="Times New Roman" w:eastAsia="仿宋_GB2312" w:cs="Times New Roman"/>
                <w:spacing w:val="1"/>
                <w:w w:val="98"/>
                <w:kern w:val="0"/>
                <w:sz w:val="32"/>
                <w:szCs w:val="32"/>
                <w:fitText w:val="3766" w:id="939275141"/>
              </w:rPr>
              <w:t>二〇二</w:t>
            </w:r>
            <w:r>
              <w:rPr>
                <w:rFonts w:hint="eastAsia" w:ascii="Times New Roman" w:hAnsi="Times New Roman" w:eastAsia="仿宋_GB2312" w:cs="Times New Roman"/>
                <w:spacing w:val="1"/>
                <w:w w:val="98"/>
                <w:kern w:val="0"/>
                <w:sz w:val="32"/>
                <w:szCs w:val="32"/>
                <w:fitText w:val="3766" w:id="939275141"/>
              </w:rPr>
              <w:t>五</w:t>
            </w:r>
            <w:r>
              <w:rPr>
                <w:rFonts w:ascii="Times New Roman" w:hAnsi="Times New Roman" w:eastAsia="仿宋_GB2312" w:cs="Times New Roman"/>
                <w:spacing w:val="1"/>
                <w:w w:val="98"/>
                <w:kern w:val="0"/>
                <w:sz w:val="32"/>
                <w:szCs w:val="32"/>
                <w:fitText w:val="3766" w:id="939275141"/>
              </w:rPr>
              <w:t>年</w:t>
            </w:r>
            <w:r>
              <w:rPr>
                <w:rFonts w:hint="eastAsia" w:ascii="Times New Roman" w:hAnsi="Times New Roman" w:eastAsia="仿宋_GB2312" w:cs="Times New Roman"/>
                <w:spacing w:val="1"/>
                <w:w w:val="98"/>
                <w:kern w:val="0"/>
                <w:sz w:val="32"/>
                <w:szCs w:val="32"/>
                <w:fitText w:val="3766" w:id="939275141"/>
                <w:lang w:eastAsia="zh-CN"/>
              </w:rPr>
              <w:t>十二</w:t>
            </w:r>
            <w:r>
              <w:rPr>
                <w:rFonts w:ascii="Times New Roman" w:hAnsi="Times New Roman" w:eastAsia="仿宋_GB2312" w:cs="Times New Roman"/>
                <w:spacing w:val="1"/>
                <w:w w:val="98"/>
                <w:kern w:val="0"/>
                <w:sz w:val="32"/>
                <w:szCs w:val="32"/>
                <w:fitText w:val="3766" w:id="939275141"/>
              </w:rPr>
              <w:t>月</w:t>
            </w:r>
            <w:r>
              <w:rPr>
                <w:rFonts w:hint="eastAsia" w:ascii="Times New Roman" w:hAnsi="Times New Roman" w:eastAsia="仿宋_GB2312" w:cs="Times New Roman"/>
                <w:spacing w:val="1"/>
                <w:w w:val="98"/>
                <w:kern w:val="0"/>
                <w:sz w:val="32"/>
                <w:szCs w:val="32"/>
                <w:fitText w:val="3766" w:id="939275141"/>
                <w:lang w:val="en-US" w:eastAsia="zh-CN"/>
              </w:rPr>
              <w:t>二十二</w:t>
            </w:r>
            <w:r>
              <w:rPr>
                <w:rFonts w:ascii="Times New Roman" w:hAnsi="Times New Roman" w:eastAsia="仿宋_GB2312" w:cs="Times New Roman"/>
                <w:spacing w:val="-3"/>
                <w:w w:val="98"/>
                <w:kern w:val="0"/>
                <w:sz w:val="32"/>
                <w:szCs w:val="32"/>
                <w:fitText w:val="3766" w:id="939275141"/>
              </w:rPr>
              <w:t>日</w:t>
            </w:r>
          </w:p>
        </w:tc>
      </w:tr>
    </w:tbl>
    <w:p>
      <w:pPr>
        <w:keepNext w:val="0"/>
        <w:keepLines w:val="0"/>
        <w:pageBreakBefore w:val="0"/>
        <w:widowControl w:val="0"/>
        <w:tabs>
          <w:tab w:val="left" w:pos="4304"/>
          <w:tab w:val="left" w:pos="5649"/>
          <w:tab w:val="left" w:pos="5918"/>
          <w:tab w:val="left" w:pos="6456"/>
          <w:tab w:val="left" w:pos="7230"/>
          <w:tab w:val="left" w:pos="7801"/>
          <w:tab w:val="left" w:pos="8070"/>
        </w:tabs>
        <w:kinsoku/>
        <w:wordWrap/>
        <w:overflowPunct/>
        <w:topLinePunct w:val="0"/>
        <w:bidi w:val="0"/>
        <w:spacing w:line="580" w:lineRule="exact"/>
        <w:textAlignment w:val="auto"/>
        <w:rPr>
          <w:rFonts w:ascii="Times New Roman" w:hAnsi="Times New Roman" w:eastAsia="仿宋_GB2312"/>
          <w:sz w:val="32"/>
          <w:szCs w:val="32"/>
        </w:rPr>
      </w:pPr>
    </w:p>
    <w:p>
      <w:pPr>
        <w:pStyle w:val="2"/>
        <w:rPr>
          <w:rFonts w:ascii="Times New Roman" w:hAnsi="Times New Roman" w:eastAsia="仿宋_GB2312"/>
          <w:kern w:val="0"/>
          <w:sz w:val="32"/>
          <w:szCs w:val="32"/>
        </w:rPr>
      </w:pPr>
      <w:r>
        <w:rPr>
          <w:rFonts w:ascii="Times New Roman" w:hAnsi="Times New Roman" w:eastAsia="仿宋_GB2312"/>
          <w:sz w:val="32"/>
          <w:szCs w:val="32"/>
        </w:rPr>
        <w:t xml:space="preserve">                            </w:t>
      </w:r>
      <w:r>
        <w:rPr>
          <w:rFonts w:ascii="Times New Roman" w:hAnsi="Times New Roman" w:eastAsia="仿宋_GB2312"/>
          <w:spacing w:val="-20"/>
          <w:sz w:val="32"/>
          <w:szCs w:val="32"/>
        </w:rPr>
        <w:t>书   记   员</w:t>
      </w:r>
      <w:r>
        <w:rPr>
          <w:rFonts w:ascii="Times New Roman" w:hAnsi="Times New Roman" w:eastAsia="仿宋_GB2312"/>
          <w:kern w:val="0"/>
          <w:sz w:val="32"/>
          <w:szCs w:val="32"/>
        </w:rPr>
        <w:t xml:space="preserve">     姜      镭</w:t>
      </w:r>
    </w:p>
    <w:p>
      <w:pPr>
        <w:pStyle w:val="2"/>
        <w:rPr>
          <w:rFonts w:ascii="Times New Roman" w:hAnsi="Times New Roman" w:eastAsia="仿宋_GB2312"/>
          <w:kern w:val="0"/>
          <w:sz w:val="32"/>
          <w:szCs w:val="32"/>
        </w:rPr>
      </w:pPr>
    </w:p>
    <w:p>
      <w:pPr>
        <w:pStyle w:val="2"/>
        <w:rPr>
          <w:rFonts w:ascii="Times New Roman" w:hAnsi="Times New Roman" w:eastAsia="仿宋_GB2312"/>
          <w:kern w:val="0"/>
          <w:sz w:val="32"/>
          <w:szCs w:val="32"/>
        </w:rPr>
      </w:pPr>
    </w:p>
    <w:p>
      <w:pPr>
        <w:pStyle w:val="2"/>
        <w:rPr>
          <w:rFonts w:ascii="Times New Roman" w:hAnsi="Times New Roman" w:eastAsia="仿宋_GB2312"/>
          <w:kern w:val="0"/>
          <w:sz w:val="32"/>
          <w:szCs w:val="32"/>
        </w:rPr>
      </w:pPr>
    </w:p>
    <w:p>
      <w:pPr>
        <w:pStyle w:val="2"/>
        <w:rPr>
          <w:rFonts w:ascii="Times New Roman" w:hAnsi="Times New Roman" w:eastAsia="仿宋_GB2312"/>
          <w:kern w:val="0"/>
          <w:sz w:val="32"/>
          <w:szCs w:val="32"/>
        </w:rPr>
      </w:pPr>
    </w:p>
    <w:p>
      <w:pPr>
        <w:pStyle w:val="2"/>
        <w:rPr>
          <w:rFonts w:ascii="Times New Roman" w:hAnsi="Times New Roman" w:eastAsia="仿宋_GB2312"/>
          <w:kern w:val="0"/>
          <w:sz w:val="32"/>
          <w:szCs w:val="32"/>
        </w:rPr>
      </w:pPr>
    </w:p>
    <w:p>
      <w:pPr>
        <w:pStyle w:val="2"/>
        <w:rPr>
          <w:rFonts w:ascii="Times New Roman" w:hAnsi="Times New Roman" w:eastAsia="仿宋_GB2312"/>
          <w:kern w:val="0"/>
          <w:sz w:val="32"/>
          <w:szCs w:val="32"/>
        </w:rPr>
      </w:pPr>
    </w:p>
    <w:p>
      <w:pPr>
        <w:pStyle w:val="2"/>
        <w:rPr>
          <w:rFonts w:ascii="Times New Roman" w:hAnsi="Times New Roman" w:eastAsia="仿宋_GB2312"/>
          <w:kern w:val="0"/>
          <w:sz w:val="32"/>
          <w:szCs w:val="32"/>
        </w:rPr>
      </w:pPr>
    </w:p>
    <w:p>
      <w:pPr>
        <w:pStyle w:val="2"/>
        <w:rPr>
          <w:rFonts w:ascii="Times New Roman" w:hAnsi="Times New Roman" w:eastAsia="仿宋_GB2312"/>
          <w:kern w:val="0"/>
          <w:sz w:val="32"/>
          <w:szCs w:val="32"/>
        </w:rPr>
      </w:pPr>
    </w:p>
    <w:p>
      <w:pPr>
        <w:pStyle w:val="2"/>
        <w:rPr>
          <w:rFonts w:ascii="Times New Roman" w:hAnsi="Times New Roman" w:eastAsia="仿宋_GB2312"/>
          <w:kern w:val="0"/>
          <w:sz w:val="32"/>
          <w:szCs w:val="32"/>
        </w:rPr>
      </w:pPr>
      <w:bookmarkStart w:id="10" w:name="_GoBack"/>
      <w:bookmarkEnd w:id="10"/>
    </w:p>
    <w:p>
      <w:pPr>
        <w:pStyle w:val="2"/>
        <w:rPr>
          <w:rFonts w:hint="eastAsia" w:ascii="宋体" w:hAnsi="宋体" w:eastAsia="宋体" w:cs="宋体"/>
          <w:kern w:val="0"/>
          <w:sz w:val="32"/>
          <w:szCs w:val="32"/>
          <w:lang w:eastAsia="zh-CN"/>
        </w:rPr>
      </w:pPr>
      <w:r>
        <w:rPr>
          <w:rFonts w:hint="eastAsia" w:ascii="宋体" w:hAnsi="宋体" w:eastAsia="宋体" w:cs="宋体"/>
          <w:kern w:val="0"/>
          <w:sz w:val="32"/>
          <w:szCs w:val="32"/>
          <w:lang w:eastAsia="zh-CN"/>
        </w:rPr>
        <w:t>附图：</w:t>
      </w:r>
    </w:p>
    <w:p>
      <w:pPr>
        <w:pStyle w:val="2"/>
        <w:ind w:firstLine="620" w:firstLineChars="200"/>
        <w:rPr>
          <w:rFonts w:hint="eastAsia" w:ascii="宋体" w:hAnsi="宋体" w:eastAsia="宋体" w:cs="宋体"/>
          <w:kern w:val="0"/>
          <w:sz w:val="32"/>
          <w:szCs w:val="32"/>
          <w:lang w:eastAsia="zh-CN"/>
        </w:rPr>
      </w:pPr>
      <w:r>
        <w:rPr>
          <w:rFonts w:hint="eastAsia" w:ascii="宋体" w:hAnsi="宋体" w:eastAsia="宋体" w:cs="宋体"/>
          <w:kern w:val="0"/>
          <w:sz w:val="32"/>
          <w:szCs w:val="32"/>
          <w:lang w:val="en-US" w:eastAsia="zh-CN"/>
        </w:rPr>
        <w:t xml:space="preserve">在先设计         </w:t>
      </w:r>
      <w:r>
        <w:rPr>
          <w:rFonts w:hint="eastAsia" w:ascii="宋体" w:hAnsi="宋体" w:eastAsia="宋体" w:cs="宋体"/>
          <w:kern w:val="0"/>
          <w:sz w:val="32"/>
          <w:szCs w:val="32"/>
          <w:lang w:eastAsia="zh-CN"/>
        </w:rPr>
        <w:t>授权外观设计</w:t>
      </w:r>
      <w:r>
        <w:rPr>
          <w:rFonts w:hint="eastAsia" w:ascii="宋体" w:hAnsi="宋体" w:eastAsia="宋体" w:cs="宋体"/>
          <w:kern w:val="0"/>
          <w:sz w:val="32"/>
          <w:szCs w:val="32"/>
          <w:lang w:val="en-US" w:eastAsia="zh-CN"/>
        </w:rPr>
        <w:t xml:space="preserve">1       被诉侵权设计  </w:t>
      </w:r>
    </w:p>
    <w:p>
      <w:pPr>
        <w:pStyle w:val="2"/>
        <w:rPr>
          <w:rFonts w:hint="eastAsia" w:ascii="Times New Roman" w:hAnsi="Times New Roman" w:eastAsia="仿宋_GB2312"/>
          <w:kern w:val="0"/>
          <w:sz w:val="32"/>
          <w:szCs w:val="32"/>
          <w:lang w:eastAsia="zh-CN"/>
        </w:rPr>
      </w:pPr>
      <w:r>
        <w:rPr>
          <w:rFonts w:hint="eastAsia" w:ascii="Times New Roman" w:hAnsi="Times New Roman" w:eastAsia="仿宋_GB2312"/>
          <w:kern w:val="0"/>
          <w:sz w:val="32"/>
          <w:szCs w:val="32"/>
          <w:lang w:eastAsia="zh-CN"/>
        </w:rPr>
        <w:pict>
          <v:shape id="_x0000_i1025" o:spt="75" alt="在先设计侧视图" type="#_x0000_t75" style="height:206.95pt;width:115.75pt;" filled="f" o:preferrelative="t" stroked="f" coordsize="21600,21600">
            <v:path/>
            <v:fill on="f" focussize="0,0"/>
            <v:stroke on="f"/>
            <v:imagedata r:id="rId6" o:title="在先设计侧视图"/>
            <o:lock v:ext="edit" aspectratio="t"/>
            <w10:wrap type="none"/>
            <w10:anchorlock/>
          </v:shape>
        </w:pict>
      </w:r>
      <w:r>
        <w:rPr>
          <w:rFonts w:hint="eastAsia" w:eastAsia="仿宋_GB2312"/>
          <w:kern w:val="0"/>
          <w:sz w:val="32"/>
          <w:szCs w:val="32"/>
          <w:lang w:val="en-US" w:eastAsia="zh-CN"/>
        </w:rPr>
        <w:t xml:space="preserve">    </w:t>
      </w:r>
      <w:r>
        <w:rPr>
          <w:rFonts w:hint="eastAsia" w:ascii="Times New Roman" w:hAnsi="Times New Roman" w:eastAsia="仿宋_GB2312"/>
          <w:kern w:val="0"/>
          <w:sz w:val="32"/>
          <w:szCs w:val="32"/>
          <w:lang w:eastAsia="zh-CN"/>
        </w:rPr>
        <w:pict>
          <v:shape id="_x0000_i1026" o:spt="75" alt="专利侧" type="#_x0000_t75" style="height:218.25pt;width:128.55pt;" filled="f" o:preferrelative="t" stroked="f" coordsize="21600,21600">
            <v:path/>
            <v:fill on="f" focussize="0,0"/>
            <v:stroke on="f"/>
            <v:imagedata r:id="rId7" o:title="专利侧"/>
            <o:lock v:ext="edit" aspectratio="t"/>
            <w10:wrap type="none"/>
            <w10:anchorlock/>
          </v:shape>
        </w:pict>
      </w:r>
      <w:r>
        <w:rPr>
          <w:rFonts w:hint="eastAsia" w:eastAsia="仿宋_GB2312"/>
          <w:kern w:val="0"/>
          <w:sz w:val="32"/>
          <w:szCs w:val="32"/>
          <w:lang w:val="en-US" w:eastAsia="zh-CN"/>
        </w:rPr>
        <w:t xml:space="preserve">    </w:t>
      </w:r>
      <w:r>
        <w:rPr>
          <w:rFonts w:hint="eastAsia" w:ascii="Times New Roman" w:hAnsi="Times New Roman" w:eastAsia="仿宋_GB2312"/>
          <w:kern w:val="0"/>
          <w:sz w:val="32"/>
          <w:szCs w:val="32"/>
          <w:lang w:eastAsia="zh-CN"/>
        </w:rPr>
        <w:pict>
          <v:shape id="_x0000_i1027" o:spt="75" alt="侵权侧面" type="#_x0000_t75" style="height:204.1pt;width:130.6pt;" filled="f" o:preferrelative="t" stroked="f" coordsize="21600,21600">
            <v:path/>
            <v:fill on="f" focussize="0,0"/>
            <v:stroke on="f"/>
            <v:imagedata r:id="rId8" o:title="侵权侧面"/>
            <o:lock v:ext="edit" aspectratio="t"/>
            <w10:wrap type="none"/>
            <w10:anchorlock/>
          </v:shape>
        </w:pict>
      </w:r>
    </w:p>
    <w:p>
      <w:pPr>
        <w:pStyle w:val="2"/>
        <w:rPr>
          <w:rFonts w:hint="eastAsia" w:eastAsia="仿宋_GB2312"/>
          <w:kern w:val="0"/>
          <w:sz w:val="32"/>
          <w:szCs w:val="32"/>
          <w:lang w:eastAsia="zh-CN"/>
        </w:rPr>
      </w:pPr>
      <w:r>
        <w:rPr>
          <w:rFonts w:hint="eastAsia" w:eastAsia="仿宋_GB2312"/>
          <w:kern w:val="0"/>
          <w:sz w:val="32"/>
          <w:szCs w:val="32"/>
          <w:lang w:eastAsia="zh-CN"/>
        </w:rPr>
        <w:pict>
          <v:shape id="_x0000_i1028" o:spt="75" alt="在先设计立体图" type="#_x0000_t75" style="height:216pt;width:150.75pt;" filled="f" o:preferrelative="t" stroked="f" coordsize="21600,21600">
            <v:path/>
            <v:fill on="f" focussize="0,0"/>
            <v:stroke on="f"/>
            <v:imagedata r:id="rId9" o:title="在先设计立体图"/>
            <o:lock v:ext="edit" aspectratio="t"/>
            <w10:wrap type="none"/>
            <w10:anchorlock/>
          </v:shape>
        </w:pict>
      </w:r>
      <w:r>
        <w:rPr>
          <w:rFonts w:hint="eastAsia" w:eastAsia="仿宋_GB2312"/>
          <w:kern w:val="0"/>
          <w:sz w:val="32"/>
          <w:szCs w:val="32"/>
          <w:lang w:eastAsia="zh-CN"/>
        </w:rPr>
        <w:pict>
          <v:shape id="_x0000_i1029" o:spt="75" alt="设计1立体图" type="#_x0000_t75" style="height:218.25pt;width:124.8pt;" filled="f" o:preferrelative="t" stroked="f" coordsize="21600,21600">
            <v:path/>
            <v:fill on="f" focussize="0,0"/>
            <v:stroke on="f"/>
            <v:imagedata r:id="rId10" o:title="设计1立体图"/>
            <o:lock v:ext="edit" aspectratio="t"/>
            <w10:wrap type="none"/>
            <w10:anchorlock/>
          </v:shape>
        </w:pict>
      </w:r>
      <w:r>
        <w:rPr>
          <w:rFonts w:hint="eastAsia" w:eastAsia="仿宋_GB2312"/>
          <w:kern w:val="0"/>
          <w:sz w:val="32"/>
          <w:szCs w:val="32"/>
          <w:lang w:val="en-US" w:eastAsia="zh-CN"/>
        </w:rPr>
        <w:t xml:space="preserve">  </w:t>
      </w:r>
      <w:r>
        <w:rPr>
          <w:rFonts w:hint="eastAsia" w:eastAsia="仿宋_GB2312"/>
          <w:kern w:val="0"/>
          <w:sz w:val="32"/>
          <w:szCs w:val="32"/>
          <w:lang w:eastAsia="zh-CN"/>
        </w:rPr>
        <w:pict>
          <v:shape id="_x0000_i1030" o:spt="75" alt="侵权立体" type="#_x0000_t75" style="height:207.65pt;width:141.75pt;" filled="f" o:preferrelative="t" stroked="f" coordsize="21600,21600">
            <v:path/>
            <v:fill on="f" focussize="0,0"/>
            <v:stroke on="f"/>
            <v:imagedata r:id="rId11" o:title="侵权立体"/>
            <o:lock v:ext="edit" aspectratio="t"/>
            <w10:wrap type="none"/>
            <w10:anchorlock/>
          </v:shape>
        </w:pict>
      </w:r>
    </w:p>
    <w:sectPr>
      <w:footerReference r:id="rId3" w:type="default"/>
      <w:footerReference r:id="rId4" w:type="even"/>
      <w:pgSz w:w="11907" w:h="16840"/>
      <w:pgMar w:top="1928" w:right="1304" w:bottom="1497" w:left="1644" w:header="851" w:footer="1531" w:gutter="0"/>
      <w:pgNumType w:start="1"/>
      <w:cols w:space="720" w:num="1"/>
      <w:docGrid w:type="linesAndChars" w:linePitch="600" w:charSpace="-2183"/>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86"/>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Calibri">
    <w:altName w:val="DejaVu Sans"/>
    <w:panose1 w:val="020F0502020204030204"/>
    <w:charset w:val="00"/>
    <w:family w:val="swiss"/>
    <w:pitch w:val="default"/>
    <w:sig w:usb0="00000000" w:usb1="00000000" w:usb2="00000001" w:usb3="00000000" w:csb0="0000019F" w:csb1="00000000"/>
  </w:font>
  <w:font w:name="楷体_GB2312">
    <w:panose1 w:val="02010609030101010101"/>
    <w:charset w:val="86"/>
    <w:family w:val="modern"/>
    <w:pitch w:val="default"/>
    <w:sig w:usb0="00000001" w:usb1="080E0000" w:usb2="00000000" w:usb3="00000000" w:csb0="00040000" w:csb1="00000000"/>
  </w:font>
  <w:font w:name="华文中宋">
    <w:panose1 w:val="02010600040101010101"/>
    <w:charset w:val="86"/>
    <w:family w:val="auto"/>
    <w:pitch w:val="default"/>
    <w:sig w:usb0="00000287" w:usb1="080F0000" w:usb2="00000000" w:usb3="00000000" w:csb0="0004009F" w:csb1="DFD70000"/>
  </w:font>
  <w:font w:name="仿宋_GB2312">
    <w:panose1 w:val="02010609030101010101"/>
    <w:charset w:val="86"/>
    <w:family w:val="modern"/>
    <w:pitch w:val="default"/>
    <w:sig w:usb0="00000001" w:usb1="080E0000" w:usb2="00000000" w:usb3="00000000" w:csb0="00040000" w:csb1="00000000"/>
  </w:font>
  <w:font w:name="方正宋体S-超大字符集">
    <w:panose1 w:val="02000000000000000000"/>
    <w:charset w:val="86"/>
    <w:family w:val="auto"/>
    <w:pitch w:val="default"/>
    <w:sig w:usb0="00000001" w:usb1="08000000" w:usb2="00000000" w:usb3="00000000" w:csb0="00040000" w:csb1="00000000"/>
  </w:font>
  <w:font w:name="方正书宋_GBK">
    <w:panose1 w:val="02000000000000000000"/>
    <w:charset w:val="86"/>
    <w:family w:val="auto"/>
    <w:pitch w:val="default"/>
    <w:sig w:usb0="00000001" w:usb1="08000000" w:usb2="00000000" w:usb3="00000000" w:csb0="00040000" w:csb1="00000000"/>
  </w:font>
  <w:font w:name="DejaVu Sans">
    <w:panose1 w:val="020B0603030804020204"/>
    <w:charset w:val="00"/>
    <w:family w:val="auto"/>
    <w:pitch w:val="default"/>
    <w:sig w:usb0="E7006EFF" w:usb1="D200FDFF" w:usb2="0A246029" w:usb3="0400200C" w:csb0="600001FF" w:csb1="D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framePr w:wrap="around" w:vAnchor="text" w:hAnchor="margin" w:xAlign="outside" w:y="1"/>
      <w:ind w:left="397" w:right="397"/>
      <w:rPr>
        <w:rStyle w:val="17"/>
        <w:rFonts w:ascii="仿宋_GB2312"/>
        <w:sz w:val="30"/>
      </w:rPr>
    </w:pPr>
    <w:r>
      <w:rPr>
        <w:rStyle w:val="17"/>
        <w:rFonts w:hint="eastAsia" w:ascii="仿宋_GB2312"/>
        <w:sz w:val="30"/>
      </w:rPr>
      <w:t>·</w:t>
    </w:r>
    <w:r>
      <w:rPr>
        <w:rFonts w:ascii="仿宋_GB2312"/>
        <w:sz w:val="30"/>
      </w:rPr>
      <w:fldChar w:fldCharType="begin"/>
    </w:r>
    <w:r>
      <w:rPr>
        <w:rStyle w:val="17"/>
        <w:rFonts w:ascii="仿宋_GB2312"/>
        <w:sz w:val="30"/>
      </w:rPr>
      <w:instrText xml:space="preserve"> PAGE </w:instrText>
    </w:r>
    <w:r>
      <w:rPr>
        <w:rFonts w:ascii="仿宋_GB2312"/>
        <w:sz w:val="30"/>
      </w:rPr>
      <w:fldChar w:fldCharType="separate"/>
    </w:r>
    <w:r>
      <w:rPr>
        <w:rStyle w:val="17"/>
        <w:rFonts w:ascii="仿宋_GB2312"/>
        <w:sz w:val="30"/>
      </w:rPr>
      <w:t>4</w:t>
    </w:r>
    <w:r>
      <w:rPr>
        <w:rFonts w:ascii="仿宋_GB2312"/>
        <w:sz w:val="30"/>
      </w:rPr>
      <w:fldChar w:fldCharType="end"/>
    </w:r>
    <w:r>
      <w:rPr>
        <w:rStyle w:val="17"/>
        <w:rFonts w:hint="eastAsia" w:ascii="仿宋_GB2312"/>
        <w:sz w:val="30"/>
      </w:rPr>
      <w:t>·</w:t>
    </w:r>
  </w:p>
  <w:p>
    <w:pPr>
      <w:pStyle w:val="8"/>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framePr w:wrap="around" w:vAnchor="text" w:hAnchor="margin" w:xAlign="outside" w:y="1"/>
      <w:rPr>
        <w:rStyle w:val="17"/>
      </w:rPr>
    </w:pPr>
    <w:r>
      <w:fldChar w:fldCharType="begin"/>
    </w:r>
    <w:r>
      <w:rPr>
        <w:rStyle w:val="17"/>
      </w:rPr>
      <w:instrText xml:space="preserve">PAGE  </w:instrText>
    </w:r>
    <w:r>
      <w:fldChar w:fldCharType="separate"/>
    </w:r>
    <w:r>
      <w:rPr>
        <w:rStyle w:val="17"/>
      </w:rPr>
      <w:t>1</w:t>
    </w:r>
    <w:r>
      <w:fldChar w:fldCharType="end"/>
    </w:r>
  </w:p>
  <w:p>
    <w:pPr>
      <w:pStyle w:val="8"/>
      <w:ind w:right="360" w:firstLine="360"/>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false"/>
  <w:bordersDoNotSurroundFooter w:val="false"/>
  <w:documentProtection w:enforcement="0"/>
  <w:defaultTabStop w:val="420"/>
  <w:hyphenationZone w:val="360"/>
  <w:drawingGridVerticalSpacing w:val="156"/>
  <w:displayHorizontalDrawingGridEvery w:val="0"/>
  <w:displayVerticalDrawingGridEvery w:val="2"/>
  <w:doNotShadeFormData w:val="true"/>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ommondata" w:val="eyJoZGlkIjoiNzYyMTZmNjVkMmViNjg2MmQ4NGE4NjQ1NmQ3YTBlZGQifQ=="/>
  </w:docVars>
  <w:rsids>
    <w:rsidRoot w:val="00172A27"/>
    <w:rsid w:val="000737FB"/>
    <w:rsid w:val="00123774"/>
    <w:rsid w:val="00222163"/>
    <w:rsid w:val="0029052E"/>
    <w:rsid w:val="00313B62"/>
    <w:rsid w:val="003F4478"/>
    <w:rsid w:val="003F65BA"/>
    <w:rsid w:val="00486709"/>
    <w:rsid w:val="004B6030"/>
    <w:rsid w:val="0052207C"/>
    <w:rsid w:val="00530E7C"/>
    <w:rsid w:val="007232D9"/>
    <w:rsid w:val="007D4398"/>
    <w:rsid w:val="0086063F"/>
    <w:rsid w:val="00A93E80"/>
    <w:rsid w:val="00BA1C33"/>
    <w:rsid w:val="00C176B9"/>
    <w:rsid w:val="00C85589"/>
    <w:rsid w:val="00D94CBA"/>
    <w:rsid w:val="00E12106"/>
    <w:rsid w:val="00E628A2"/>
    <w:rsid w:val="00EE6E9B"/>
    <w:rsid w:val="00F04970"/>
    <w:rsid w:val="00F44D5C"/>
    <w:rsid w:val="03EE2141"/>
    <w:rsid w:val="04CF0D24"/>
    <w:rsid w:val="057ABA3B"/>
    <w:rsid w:val="0664493D"/>
    <w:rsid w:val="07DBE57A"/>
    <w:rsid w:val="0EDEC41B"/>
    <w:rsid w:val="0F7FDFAA"/>
    <w:rsid w:val="104C2D30"/>
    <w:rsid w:val="1169A25D"/>
    <w:rsid w:val="12B5207C"/>
    <w:rsid w:val="144F49E3"/>
    <w:rsid w:val="14773A8D"/>
    <w:rsid w:val="15A7146F"/>
    <w:rsid w:val="171C9728"/>
    <w:rsid w:val="17771AC0"/>
    <w:rsid w:val="18618DC2"/>
    <w:rsid w:val="19EB8B4E"/>
    <w:rsid w:val="19FD5093"/>
    <w:rsid w:val="1A0827A9"/>
    <w:rsid w:val="1A9F6D85"/>
    <w:rsid w:val="1C1DEC54"/>
    <w:rsid w:val="1D1EAF0D"/>
    <w:rsid w:val="1EBFF532"/>
    <w:rsid w:val="1EFFB17E"/>
    <w:rsid w:val="1F3D52B8"/>
    <w:rsid w:val="1F3FFCB4"/>
    <w:rsid w:val="1F7E56E0"/>
    <w:rsid w:val="1FBD04C6"/>
    <w:rsid w:val="1FBF441F"/>
    <w:rsid w:val="1FDE789F"/>
    <w:rsid w:val="1FF1F223"/>
    <w:rsid w:val="1FF7CF72"/>
    <w:rsid w:val="223F4CDE"/>
    <w:rsid w:val="2463BA8A"/>
    <w:rsid w:val="24652F53"/>
    <w:rsid w:val="24E013A4"/>
    <w:rsid w:val="251A0B90"/>
    <w:rsid w:val="2536E804"/>
    <w:rsid w:val="269D6508"/>
    <w:rsid w:val="26FD6EC1"/>
    <w:rsid w:val="2799B4D1"/>
    <w:rsid w:val="28DB207A"/>
    <w:rsid w:val="28EC4596"/>
    <w:rsid w:val="29F94094"/>
    <w:rsid w:val="2C8C2459"/>
    <w:rsid w:val="2DB6227C"/>
    <w:rsid w:val="2DCB9CFE"/>
    <w:rsid w:val="2E0F3E92"/>
    <w:rsid w:val="2E3F087A"/>
    <w:rsid w:val="2EDF48C3"/>
    <w:rsid w:val="2EFF922A"/>
    <w:rsid w:val="2FB7B999"/>
    <w:rsid w:val="2FD17169"/>
    <w:rsid w:val="2FF15F23"/>
    <w:rsid w:val="2FF9F92C"/>
    <w:rsid w:val="2FFD7100"/>
    <w:rsid w:val="2FFF7DBE"/>
    <w:rsid w:val="30311D4B"/>
    <w:rsid w:val="326B7103"/>
    <w:rsid w:val="335A57E3"/>
    <w:rsid w:val="33B605F1"/>
    <w:rsid w:val="33ECC0C3"/>
    <w:rsid w:val="35A6070B"/>
    <w:rsid w:val="36F0EE60"/>
    <w:rsid w:val="373D4366"/>
    <w:rsid w:val="379B047F"/>
    <w:rsid w:val="37BDF9F2"/>
    <w:rsid w:val="37C204D0"/>
    <w:rsid w:val="37F2F3FB"/>
    <w:rsid w:val="37F74DFB"/>
    <w:rsid w:val="37FEE8E0"/>
    <w:rsid w:val="37FFDC38"/>
    <w:rsid w:val="38F35CFD"/>
    <w:rsid w:val="39C44749"/>
    <w:rsid w:val="39FF7783"/>
    <w:rsid w:val="3A267238"/>
    <w:rsid w:val="3A9BE10E"/>
    <w:rsid w:val="3AEA1AE0"/>
    <w:rsid w:val="3B225C51"/>
    <w:rsid w:val="3B49E71D"/>
    <w:rsid w:val="3B779730"/>
    <w:rsid w:val="3BFEDAC4"/>
    <w:rsid w:val="3C7F6EB1"/>
    <w:rsid w:val="3CDE029E"/>
    <w:rsid w:val="3CFD80D8"/>
    <w:rsid w:val="3D2C2DB7"/>
    <w:rsid w:val="3DE056D2"/>
    <w:rsid w:val="3DF728FA"/>
    <w:rsid w:val="3DFE4246"/>
    <w:rsid w:val="3DFE89D7"/>
    <w:rsid w:val="3DFF211C"/>
    <w:rsid w:val="3E7AE7BE"/>
    <w:rsid w:val="3E7D4D2B"/>
    <w:rsid w:val="3EAB0813"/>
    <w:rsid w:val="3ECE97C1"/>
    <w:rsid w:val="3EF53ED7"/>
    <w:rsid w:val="3EF5A7D4"/>
    <w:rsid w:val="3F0F7020"/>
    <w:rsid w:val="3F4FA881"/>
    <w:rsid w:val="3F72390B"/>
    <w:rsid w:val="3F7941DB"/>
    <w:rsid w:val="3F7FBE43"/>
    <w:rsid w:val="3F947DB5"/>
    <w:rsid w:val="3F9BC554"/>
    <w:rsid w:val="3FB3900B"/>
    <w:rsid w:val="3FBBDF01"/>
    <w:rsid w:val="3FE43DAF"/>
    <w:rsid w:val="3FEFA135"/>
    <w:rsid w:val="3FF14714"/>
    <w:rsid w:val="3FF262B2"/>
    <w:rsid w:val="3FFA86B6"/>
    <w:rsid w:val="3FFB8DE5"/>
    <w:rsid w:val="3FFE13FC"/>
    <w:rsid w:val="3FFF5196"/>
    <w:rsid w:val="3FFFE2C6"/>
    <w:rsid w:val="419F34B2"/>
    <w:rsid w:val="431A7B56"/>
    <w:rsid w:val="45575DF4"/>
    <w:rsid w:val="45673B98"/>
    <w:rsid w:val="45BF4E1F"/>
    <w:rsid w:val="4699E0F3"/>
    <w:rsid w:val="4768CEE4"/>
    <w:rsid w:val="4A0F29A2"/>
    <w:rsid w:val="4B75F112"/>
    <w:rsid w:val="4B7ACDCB"/>
    <w:rsid w:val="4BAF6B23"/>
    <w:rsid w:val="4BF4D7E6"/>
    <w:rsid w:val="4BFF1470"/>
    <w:rsid w:val="4BFFE808"/>
    <w:rsid w:val="4D1C061D"/>
    <w:rsid w:val="4D2B308B"/>
    <w:rsid w:val="4D7C7BC0"/>
    <w:rsid w:val="4DB02826"/>
    <w:rsid w:val="4DF789F4"/>
    <w:rsid w:val="4F2F014E"/>
    <w:rsid w:val="4F425172"/>
    <w:rsid w:val="4F7C6D29"/>
    <w:rsid w:val="4F7EA2F1"/>
    <w:rsid w:val="4F7F014D"/>
    <w:rsid w:val="4FBD4EE4"/>
    <w:rsid w:val="4FBED654"/>
    <w:rsid w:val="4FCF819A"/>
    <w:rsid w:val="5183D13C"/>
    <w:rsid w:val="53BD9367"/>
    <w:rsid w:val="54E54112"/>
    <w:rsid w:val="54E87AB4"/>
    <w:rsid w:val="556C4C39"/>
    <w:rsid w:val="55EABAEC"/>
    <w:rsid w:val="55FFC8B4"/>
    <w:rsid w:val="561B8F43"/>
    <w:rsid w:val="56F7AC52"/>
    <w:rsid w:val="571D253D"/>
    <w:rsid w:val="57473D27"/>
    <w:rsid w:val="57F710AF"/>
    <w:rsid w:val="57FED2E7"/>
    <w:rsid w:val="57FF2DCE"/>
    <w:rsid w:val="57FF6CDF"/>
    <w:rsid w:val="57FFACB9"/>
    <w:rsid w:val="5B7D1742"/>
    <w:rsid w:val="5B7F277C"/>
    <w:rsid w:val="5BB724D5"/>
    <w:rsid w:val="5BBE09A5"/>
    <w:rsid w:val="5BD25407"/>
    <w:rsid w:val="5C496220"/>
    <w:rsid w:val="5C7FA897"/>
    <w:rsid w:val="5D4DB5BD"/>
    <w:rsid w:val="5D778180"/>
    <w:rsid w:val="5D7E6E14"/>
    <w:rsid w:val="5D7F3A33"/>
    <w:rsid w:val="5DAE3198"/>
    <w:rsid w:val="5DB3E7AF"/>
    <w:rsid w:val="5DD33268"/>
    <w:rsid w:val="5DD9D152"/>
    <w:rsid w:val="5DFF3D31"/>
    <w:rsid w:val="5E322316"/>
    <w:rsid w:val="5E7F619A"/>
    <w:rsid w:val="5E8E23EB"/>
    <w:rsid w:val="5EDCE894"/>
    <w:rsid w:val="5EDDC736"/>
    <w:rsid w:val="5EFDAB4D"/>
    <w:rsid w:val="5F63C84E"/>
    <w:rsid w:val="5F6404E4"/>
    <w:rsid w:val="5F67070C"/>
    <w:rsid w:val="5F6F1DE2"/>
    <w:rsid w:val="5F7E82C1"/>
    <w:rsid w:val="5F7F9021"/>
    <w:rsid w:val="5FB6B171"/>
    <w:rsid w:val="5FBB1EB9"/>
    <w:rsid w:val="5FBEE9E2"/>
    <w:rsid w:val="5FD20B5F"/>
    <w:rsid w:val="5FE1D375"/>
    <w:rsid w:val="5FEF7C41"/>
    <w:rsid w:val="5FF0ECED"/>
    <w:rsid w:val="5FF569FA"/>
    <w:rsid w:val="5FFB5C0C"/>
    <w:rsid w:val="5FFBC4AA"/>
    <w:rsid w:val="5FFEF792"/>
    <w:rsid w:val="5FFF5DF4"/>
    <w:rsid w:val="5FFFBEA6"/>
    <w:rsid w:val="60FB1701"/>
    <w:rsid w:val="620D2908"/>
    <w:rsid w:val="624327CD"/>
    <w:rsid w:val="62C36B98"/>
    <w:rsid w:val="62F57D18"/>
    <w:rsid w:val="62FB77F2"/>
    <w:rsid w:val="6373002C"/>
    <w:rsid w:val="637422EC"/>
    <w:rsid w:val="642B52C7"/>
    <w:rsid w:val="645BAD14"/>
    <w:rsid w:val="64F9202F"/>
    <w:rsid w:val="651F1B78"/>
    <w:rsid w:val="654C0645"/>
    <w:rsid w:val="658A426F"/>
    <w:rsid w:val="65FF9E69"/>
    <w:rsid w:val="66CF0D69"/>
    <w:rsid w:val="66E1EDB5"/>
    <w:rsid w:val="671BF32E"/>
    <w:rsid w:val="674D5E7B"/>
    <w:rsid w:val="67760F4F"/>
    <w:rsid w:val="6793565D"/>
    <w:rsid w:val="67EF8EAB"/>
    <w:rsid w:val="67FB0294"/>
    <w:rsid w:val="69BF26F7"/>
    <w:rsid w:val="6BBFDB28"/>
    <w:rsid w:val="6BFBBDD4"/>
    <w:rsid w:val="6BFF7516"/>
    <w:rsid w:val="6C2561C5"/>
    <w:rsid w:val="6C3F08C0"/>
    <w:rsid w:val="6C6F50BE"/>
    <w:rsid w:val="6CFFA276"/>
    <w:rsid w:val="6D1FAD24"/>
    <w:rsid w:val="6D4BE4FD"/>
    <w:rsid w:val="6DDB2741"/>
    <w:rsid w:val="6DFFF413"/>
    <w:rsid w:val="6E7E5C68"/>
    <w:rsid w:val="6E7FDA9E"/>
    <w:rsid w:val="6EF245B3"/>
    <w:rsid w:val="6EFEEC94"/>
    <w:rsid w:val="6F371532"/>
    <w:rsid w:val="6F776E00"/>
    <w:rsid w:val="6F7BF857"/>
    <w:rsid w:val="6F9AD9A2"/>
    <w:rsid w:val="6FA712EA"/>
    <w:rsid w:val="6FB3F7A3"/>
    <w:rsid w:val="6FBB88F2"/>
    <w:rsid w:val="6FBF92E2"/>
    <w:rsid w:val="6FC5E8D3"/>
    <w:rsid w:val="6FD7DBED"/>
    <w:rsid w:val="6FD9B28D"/>
    <w:rsid w:val="6FDF0B9F"/>
    <w:rsid w:val="6FEDDD58"/>
    <w:rsid w:val="6FEE4CCB"/>
    <w:rsid w:val="6FEF4A0E"/>
    <w:rsid w:val="6FEFC2C3"/>
    <w:rsid w:val="6FFB5810"/>
    <w:rsid w:val="6FFB6AEC"/>
    <w:rsid w:val="6FFF0316"/>
    <w:rsid w:val="6FFF9DF6"/>
    <w:rsid w:val="6FFFB34A"/>
    <w:rsid w:val="70333E81"/>
    <w:rsid w:val="712F6C55"/>
    <w:rsid w:val="71C971CF"/>
    <w:rsid w:val="71DC94BF"/>
    <w:rsid w:val="72BFF7E7"/>
    <w:rsid w:val="73AF46E4"/>
    <w:rsid w:val="73ED20DF"/>
    <w:rsid w:val="73F75EB0"/>
    <w:rsid w:val="74424693"/>
    <w:rsid w:val="74B53101"/>
    <w:rsid w:val="757D84F1"/>
    <w:rsid w:val="75AFEADC"/>
    <w:rsid w:val="75BA5A9D"/>
    <w:rsid w:val="75BDFF6A"/>
    <w:rsid w:val="75F37EF6"/>
    <w:rsid w:val="75FF46B8"/>
    <w:rsid w:val="769777E5"/>
    <w:rsid w:val="76BFECF5"/>
    <w:rsid w:val="76EB0B22"/>
    <w:rsid w:val="76EFFA66"/>
    <w:rsid w:val="76FF40EA"/>
    <w:rsid w:val="773EEC51"/>
    <w:rsid w:val="773F25DB"/>
    <w:rsid w:val="773F6AD8"/>
    <w:rsid w:val="775F1949"/>
    <w:rsid w:val="77665C3A"/>
    <w:rsid w:val="7777CE1B"/>
    <w:rsid w:val="777DB067"/>
    <w:rsid w:val="77975D58"/>
    <w:rsid w:val="77B495C4"/>
    <w:rsid w:val="77BF1B08"/>
    <w:rsid w:val="77CF1F50"/>
    <w:rsid w:val="77D6810D"/>
    <w:rsid w:val="77DE721C"/>
    <w:rsid w:val="77DFD9C8"/>
    <w:rsid w:val="77E0401F"/>
    <w:rsid w:val="77E79542"/>
    <w:rsid w:val="77F7ACC5"/>
    <w:rsid w:val="77FBEA38"/>
    <w:rsid w:val="77FEABAE"/>
    <w:rsid w:val="77FF85FA"/>
    <w:rsid w:val="7831514A"/>
    <w:rsid w:val="785F5EDE"/>
    <w:rsid w:val="78FD8768"/>
    <w:rsid w:val="793F8E50"/>
    <w:rsid w:val="795C5042"/>
    <w:rsid w:val="796DADB3"/>
    <w:rsid w:val="79BF76D1"/>
    <w:rsid w:val="79CF1A45"/>
    <w:rsid w:val="79FD03F4"/>
    <w:rsid w:val="79FF8CAF"/>
    <w:rsid w:val="7A3F0DFD"/>
    <w:rsid w:val="7A9CACDF"/>
    <w:rsid w:val="7AD99D08"/>
    <w:rsid w:val="7AF763A1"/>
    <w:rsid w:val="7AFC41F9"/>
    <w:rsid w:val="7B9FCCEC"/>
    <w:rsid w:val="7BC2DA25"/>
    <w:rsid w:val="7BD328A1"/>
    <w:rsid w:val="7BDF0263"/>
    <w:rsid w:val="7BEF32F7"/>
    <w:rsid w:val="7BF6BCE9"/>
    <w:rsid w:val="7BF83F0B"/>
    <w:rsid w:val="7BFB3C9C"/>
    <w:rsid w:val="7BFBBC87"/>
    <w:rsid w:val="7BFF6E12"/>
    <w:rsid w:val="7C39678B"/>
    <w:rsid w:val="7C6F6896"/>
    <w:rsid w:val="7CF78A9B"/>
    <w:rsid w:val="7D359FD4"/>
    <w:rsid w:val="7D5B45AE"/>
    <w:rsid w:val="7D736D10"/>
    <w:rsid w:val="7D772AAE"/>
    <w:rsid w:val="7DBF61F2"/>
    <w:rsid w:val="7DCECB57"/>
    <w:rsid w:val="7DE6B1BF"/>
    <w:rsid w:val="7DE6FC33"/>
    <w:rsid w:val="7DE92DBF"/>
    <w:rsid w:val="7DEF8510"/>
    <w:rsid w:val="7DEFC1ED"/>
    <w:rsid w:val="7E4F72C5"/>
    <w:rsid w:val="7E596D4B"/>
    <w:rsid w:val="7E6F1528"/>
    <w:rsid w:val="7E8B8F41"/>
    <w:rsid w:val="7EB7879A"/>
    <w:rsid w:val="7EB839BC"/>
    <w:rsid w:val="7ECA3C76"/>
    <w:rsid w:val="7EDE368A"/>
    <w:rsid w:val="7EE5AF18"/>
    <w:rsid w:val="7EEDA070"/>
    <w:rsid w:val="7EEFD5FF"/>
    <w:rsid w:val="7EF588D1"/>
    <w:rsid w:val="7EF7D70A"/>
    <w:rsid w:val="7EFC7457"/>
    <w:rsid w:val="7EFD2D27"/>
    <w:rsid w:val="7EFF1F5D"/>
    <w:rsid w:val="7EFFD8EF"/>
    <w:rsid w:val="7EFFF9FD"/>
    <w:rsid w:val="7F21BA6E"/>
    <w:rsid w:val="7F2E4C83"/>
    <w:rsid w:val="7F364FA0"/>
    <w:rsid w:val="7F57CFE5"/>
    <w:rsid w:val="7F6B35B7"/>
    <w:rsid w:val="7F6D6113"/>
    <w:rsid w:val="7F6E56B2"/>
    <w:rsid w:val="7F6E8BFF"/>
    <w:rsid w:val="7F7B958E"/>
    <w:rsid w:val="7F7BC5C5"/>
    <w:rsid w:val="7F7F0A63"/>
    <w:rsid w:val="7F979838"/>
    <w:rsid w:val="7F9BB67C"/>
    <w:rsid w:val="7F9D61C4"/>
    <w:rsid w:val="7FA335EA"/>
    <w:rsid w:val="7FAD3BFB"/>
    <w:rsid w:val="7FB5B325"/>
    <w:rsid w:val="7FB7EC27"/>
    <w:rsid w:val="7FBE1963"/>
    <w:rsid w:val="7FBFB6FB"/>
    <w:rsid w:val="7FCD9E5A"/>
    <w:rsid w:val="7FCFF20F"/>
    <w:rsid w:val="7FDA402A"/>
    <w:rsid w:val="7FDAB008"/>
    <w:rsid w:val="7FDBA570"/>
    <w:rsid w:val="7FDE353B"/>
    <w:rsid w:val="7FDF95C9"/>
    <w:rsid w:val="7FDFAEF6"/>
    <w:rsid w:val="7FED19CC"/>
    <w:rsid w:val="7FED3F2A"/>
    <w:rsid w:val="7FEDA36C"/>
    <w:rsid w:val="7FEE9657"/>
    <w:rsid w:val="7FEF9C8C"/>
    <w:rsid w:val="7FF36FCF"/>
    <w:rsid w:val="7FF7D74F"/>
    <w:rsid w:val="7FF9F54B"/>
    <w:rsid w:val="7FFC536E"/>
    <w:rsid w:val="7FFDB8A1"/>
    <w:rsid w:val="7FFEE245"/>
    <w:rsid w:val="7FFF08CE"/>
    <w:rsid w:val="7FFF1291"/>
    <w:rsid w:val="7FFF5610"/>
    <w:rsid w:val="7FFF6363"/>
    <w:rsid w:val="7FFF7A97"/>
    <w:rsid w:val="7FFFC027"/>
    <w:rsid w:val="7FFFC85D"/>
    <w:rsid w:val="7FFFEFA3"/>
    <w:rsid w:val="83820B7B"/>
    <w:rsid w:val="83B4EF84"/>
    <w:rsid w:val="847EED04"/>
    <w:rsid w:val="854219DD"/>
    <w:rsid w:val="85DB5F69"/>
    <w:rsid w:val="86B31FC1"/>
    <w:rsid w:val="89590D63"/>
    <w:rsid w:val="8AB7912E"/>
    <w:rsid w:val="8B33780E"/>
    <w:rsid w:val="8FAFC19B"/>
    <w:rsid w:val="8FFFC521"/>
    <w:rsid w:val="94FE46CF"/>
    <w:rsid w:val="9A8F9053"/>
    <w:rsid w:val="9AFF88E3"/>
    <w:rsid w:val="9B7F2182"/>
    <w:rsid w:val="9CBE8F7F"/>
    <w:rsid w:val="9E5F3E98"/>
    <w:rsid w:val="9E7F5E46"/>
    <w:rsid w:val="9EEF2FC6"/>
    <w:rsid w:val="9EEF5E09"/>
    <w:rsid w:val="9EFF6C0A"/>
    <w:rsid w:val="9F6D7669"/>
    <w:rsid w:val="9F6DB52C"/>
    <w:rsid w:val="9F773824"/>
    <w:rsid w:val="9F7B79AF"/>
    <w:rsid w:val="9F7EA2E3"/>
    <w:rsid w:val="9FCFFCA3"/>
    <w:rsid w:val="9FEF7251"/>
    <w:rsid w:val="A37B9666"/>
    <w:rsid w:val="A3BB44F6"/>
    <w:rsid w:val="A3DE57E5"/>
    <w:rsid w:val="A3FD0F40"/>
    <w:rsid w:val="A6256376"/>
    <w:rsid w:val="A6F6C198"/>
    <w:rsid w:val="A7E6711C"/>
    <w:rsid w:val="A920E236"/>
    <w:rsid w:val="AB2F716B"/>
    <w:rsid w:val="AB7FBA58"/>
    <w:rsid w:val="AB8F0AA9"/>
    <w:rsid w:val="AB9AF620"/>
    <w:rsid w:val="ABDF2513"/>
    <w:rsid w:val="AD7F060B"/>
    <w:rsid w:val="ADFE5CEE"/>
    <w:rsid w:val="AF7FE612"/>
    <w:rsid w:val="AFF318E8"/>
    <w:rsid w:val="AFFD03AF"/>
    <w:rsid w:val="B1B8C1C2"/>
    <w:rsid w:val="B2BE4D25"/>
    <w:rsid w:val="B35BC152"/>
    <w:rsid w:val="B3FF76B2"/>
    <w:rsid w:val="B53E1E70"/>
    <w:rsid w:val="B5DF10B8"/>
    <w:rsid w:val="B71F5466"/>
    <w:rsid w:val="B73D5F8F"/>
    <w:rsid w:val="B73F3E5E"/>
    <w:rsid w:val="B77F9F52"/>
    <w:rsid w:val="B7E59A8D"/>
    <w:rsid w:val="B7FB8158"/>
    <w:rsid w:val="B7FFCC4A"/>
    <w:rsid w:val="B8E773E0"/>
    <w:rsid w:val="B8FFA5D8"/>
    <w:rsid w:val="B91635FA"/>
    <w:rsid w:val="B9D6AEB7"/>
    <w:rsid w:val="BAFEF925"/>
    <w:rsid w:val="BB93DE4B"/>
    <w:rsid w:val="BBCB5BF1"/>
    <w:rsid w:val="BBFB8EFE"/>
    <w:rsid w:val="BC6F4C1F"/>
    <w:rsid w:val="BCCFAACC"/>
    <w:rsid w:val="BCEDD771"/>
    <w:rsid w:val="BD53B08B"/>
    <w:rsid w:val="BDDBE2ED"/>
    <w:rsid w:val="BDEEA60B"/>
    <w:rsid w:val="BDFB0CF9"/>
    <w:rsid w:val="BDFF3F32"/>
    <w:rsid w:val="BEF65AB4"/>
    <w:rsid w:val="BEF7A45A"/>
    <w:rsid w:val="BF3F9887"/>
    <w:rsid w:val="BF7E84B6"/>
    <w:rsid w:val="BF7F4C4A"/>
    <w:rsid w:val="BF7FD35B"/>
    <w:rsid w:val="BFA70EEF"/>
    <w:rsid w:val="BFAF819A"/>
    <w:rsid w:val="BFB3475C"/>
    <w:rsid w:val="BFC8141A"/>
    <w:rsid w:val="BFE570DA"/>
    <w:rsid w:val="C302442E"/>
    <w:rsid w:val="C7066571"/>
    <w:rsid w:val="C8C26510"/>
    <w:rsid w:val="CAFF7740"/>
    <w:rsid w:val="CC7FE6BB"/>
    <w:rsid w:val="CCBD666D"/>
    <w:rsid w:val="CD7E28DE"/>
    <w:rsid w:val="CDC1A946"/>
    <w:rsid w:val="CE4E3244"/>
    <w:rsid w:val="CFEF7F70"/>
    <w:rsid w:val="CFF795AC"/>
    <w:rsid w:val="CFFCDD3E"/>
    <w:rsid w:val="D1875F7C"/>
    <w:rsid w:val="D3F6C7C6"/>
    <w:rsid w:val="D4412233"/>
    <w:rsid w:val="D507351B"/>
    <w:rsid w:val="D52EF808"/>
    <w:rsid w:val="D5F871B2"/>
    <w:rsid w:val="D65D56A8"/>
    <w:rsid w:val="D6A2F5D6"/>
    <w:rsid w:val="D6FFA2C4"/>
    <w:rsid w:val="D7BFD09B"/>
    <w:rsid w:val="D7FB2761"/>
    <w:rsid w:val="D92FC815"/>
    <w:rsid w:val="D9532FA0"/>
    <w:rsid w:val="D9DF6658"/>
    <w:rsid w:val="DA858499"/>
    <w:rsid w:val="DB2D45F5"/>
    <w:rsid w:val="DB5267E9"/>
    <w:rsid w:val="DB5FCBE7"/>
    <w:rsid w:val="DB9F38FF"/>
    <w:rsid w:val="DB9FD962"/>
    <w:rsid w:val="DBFE9FE3"/>
    <w:rsid w:val="DC779CE3"/>
    <w:rsid w:val="DC7CBD3D"/>
    <w:rsid w:val="DCFB7D7E"/>
    <w:rsid w:val="DD5D2A1C"/>
    <w:rsid w:val="DDDFF3CD"/>
    <w:rsid w:val="DDF73043"/>
    <w:rsid w:val="DE66B26A"/>
    <w:rsid w:val="DEEF9450"/>
    <w:rsid w:val="DEEFBE12"/>
    <w:rsid w:val="DEFF8ADE"/>
    <w:rsid w:val="DF06EF1C"/>
    <w:rsid w:val="DF373DAD"/>
    <w:rsid w:val="DF77C03C"/>
    <w:rsid w:val="DF7B7769"/>
    <w:rsid w:val="DF9FE7BD"/>
    <w:rsid w:val="DFBDCB3F"/>
    <w:rsid w:val="DFDAA443"/>
    <w:rsid w:val="DFEDA238"/>
    <w:rsid w:val="DFEE136C"/>
    <w:rsid w:val="DFEF08D9"/>
    <w:rsid w:val="DFF0FB0D"/>
    <w:rsid w:val="DFF7408B"/>
    <w:rsid w:val="DFF789C1"/>
    <w:rsid w:val="DFF79BB9"/>
    <w:rsid w:val="E10FC6EC"/>
    <w:rsid w:val="E37FBE51"/>
    <w:rsid w:val="E3EE013B"/>
    <w:rsid w:val="E3F74E05"/>
    <w:rsid w:val="E4BEF5F3"/>
    <w:rsid w:val="E5EF87D2"/>
    <w:rsid w:val="E6FF8F52"/>
    <w:rsid w:val="E73CC898"/>
    <w:rsid w:val="E74FDC61"/>
    <w:rsid w:val="E8BBA10A"/>
    <w:rsid w:val="E8F25C67"/>
    <w:rsid w:val="E914F884"/>
    <w:rsid w:val="E9A1AAF9"/>
    <w:rsid w:val="E9D8B2D2"/>
    <w:rsid w:val="EAB4582E"/>
    <w:rsid w:val="EB3E6543"/>
    <w:rsid w:val="EB7B65B4"/>
    <w:rsid w:val="EB7F2FEC"/>
    <w:rsid w:val="EB7F95EB"/>
    <w:rsid w:val="EBBFF766"/>
    <w:rsid w:val="EC9EF47F"/>
    <w:rsid w:val="ECFD55CF"/>
    <w:rsid w:val="EDBCDCBA"/>
    <w:rsid w:val="EDF7A162"/>
    <w:rsid w:val="EDFB138D"/>
    <w:rsid w:val="EDFDC056"/>
    <w:rsid w:val="EDFFFCA6"/>
    <w:rsid w:val="EE5C2FEC"/>
    <w:rsid w:val="EE9F377B"/>
    <w:rsid w:val="EEBA2F1A"/>
    <w:rsid w:val="EEEC6062"/>
    <w:rsid w:val="EEFB52AC"/>
    <w:rsid w:val="EEFE08FD"/>
    <w:rsid w:val="EF390C7A"/>
    <w:rsid w:val="EF773C4E"/>
    <w:rsid w:val="EF77CE4D"/>
    <w:rsid w:val="EFA3DFAF"/>
    <w:rsid w:val="EFA72114"/>
    <w:rsid w:val="EFB9679F"/>
    <w:rsid w:val="EFBB5F7E"/>
    <w:rsid w:val="EFBFFD4C"/>
    <w:rsid w:val="EFC9D850"/>
    <w:rsid w:val="EFD6468D"/>
    <w:rsid w:val="EFF6FE1A"/>
    <w:rsid w:val="EFFDB233"/>
    <w:rsid w:val="EFFE1570"/>
    <w:rsid w:val="EFFE2ED3"/>
    <w:rsid w:val="EFFF0914"/>
    <w:rsid w:val="EFFF709A"/>
    <w:rsid w:val="F0CD8F8E"/>
    <w:rsid w:val="F18FC17A"/>
    <w:rsid w:val="F23A8EBE"/>
    <w:rsid w:val="F2F38210"/>
    <w:rsid w:val="F373B37A"/>
    <w:rsid w:val="F3774DE7"/>
    <w:rsid w:val="F37F407E"/>
    <w:rsid w:val="F3DFB92D"/>
    <w:rsid w:val="F3EB2519"/>
    <w:rsid w:val="F3FA024F"/>
    <w:rsid w:val="F58EFD06"/>
    <w:rsid w:val="F5BB8431"/>
    <w:rsid w:val="F5FD395F"/>
    <w:rsid w:val="F62C9C68"/>
    <w:rsid w:val="F671B56B"/>
    <w:rsid w:val="F6BD0D5F"/>
    <w:rsid w:val="F6D52F8C"/>
    <w:rsid w:val="F6E84757"/>
    <w:rsid w:val="F6F6FE0B"/>
    <w:rsid w:val="F6FCB382"/>
    <w:rsid w:val="F6FFDF18"/>
    <w:rsid w:val="F77F2C4A"/>
    <w:rsid w:val="F77F8E0A"/>
    <w:rsid w:val="F77FC3E2"/>
    <w:rsid w:val="F77FFB7C"/>
    <w:rsid w:val="F7B5A5A2"/>
    <w:rsid w:val="F7C5EB23"/>
    <w:rsid w:val="F7CD45C1"/>
    <w:rsid w:val="F7D5FE85"/>
    <w:rsid w:val="F7D7FEF8"/>
    <w:rsid w:val="F7DF077A"/>
    <w:rsid w:val="F7E2FD0F"/>
    <w:rsid w:val="F7E7C982"/>
    <w:rsid w:val="F7EBE2E5"/>
    <w:rsid w:val="F7EE1E0C"/>
    <w:rsid w:val="F7EE4C88"/>
    <w:rsid w:val="F7EF6F64"/>
    <w:rsid w:val="F7F32233"/>
    <w:rsid w:val="F7F73AB6"/>
    <w:rsid w:val="F7FF56CE"/>
    <w:rsid w:val="F7FFE9D7"/>
    <w:rsid w:val="F82F7535"/>
    <w:rsid w:val="F847145A"/>
    <w:rsid w:val="F866950E"/>
    <w:rsid w:val="F8E3051C"/>
    <w:rsid w:val="F8EE887D"/>
    <w:rsid w:val="F91EDCF3"/>
    <w:rsid w:val="F9BEA403"/>
    <w:rsid w:val="F9FD4E7C"/>
    <w:rsid w:val="FA6F065B"/>
    <w:rsid w:val="FA7DEDCC"/>
    <w:rsid w:val="FADF593F"/>
    <w:rsid w:val="FAFB3FA6"/>
    <w:rsid w:val="FB26F24F"/>
    <w:rsid w:val="FB2BF2D0"/>
    <w:rsid w:val="FB778528"/>
    <w:rsid w:val="FBB3DF96"/>
    <w:rsid w:val="FBCB52C7"/>
    <w:rsid w:val="FBE5E46B"/>
    <w:rsid w:val="FBE5FEA0"/>
    <w:rsid w:val="FBEE7A05"/>
    <w:rsid w:val="FBEF7970"/>
    <w:rsid w:val="FBF7ED99"/>
    <w:rsid w:val="FBFF2824"/>
    <w:rsid w:val="FBFFC735"/>
    <w:rsid w:val="FC2F235B"/>
    <w:rsid w:val="FC3A5020"/>
    <w:rsid w:val="FCBE56D3"/>
    <w:rsid w:val="FCEF5DE6"/>
    <w:rsid w:val="FCFB0145"/>
    <w:rsid w:val="FCFD5D2F"/>
    <w:rsid w:val="FCFDA7A4"/>
    <w:rsid w:val="FD2FCA0A"/>
    <w:rsid w:val="FD319085"/>
    <w:rsid w:val="FD7F36CA"/>
    <w:rsid w:val="FD9E6B0B"/>
    <w:rsid w:val="FD9F5914"/>
    <w:rsid w:val="FDADF03D"/>
    <w:rsid w:val="FDC48B4A"/>
    <w:rsid w:val="FDD040C1"/>
    <w:rsid w:val="FDD7CD50"/>
    <w:rsid w:val="FDDB7BCE"/>
    <w:rsid w:val="FDDF34DC"/>
    <w:rsid w:val="FDEEA3C2"/>
    <w:rsid w:val="FDEF340B"/>
    <w:rsid w:val="FDF633BC"/>
    <w:rsid w:val="FDF7192A"/>
    <w:rsid w:val="FDF99830"/>
    <w:rsid w:val="FDFEBEB6"/>
    <w:rsid w:val="FDFF0906"/>
    <w:rsid w:val="FDFF489C"/>
    <w:rsid w:val="FE0F5EAF"/>
    <w:rsid w:val="FE7E767D"/>
    <w:rsid w:val="FEB7EFF2"/>
    <w:rsid w:val="FEB92488"/>
    <w:rsid w:val="FEBC26F6"/>
    <w:rsid w:val="FEBD4F5D"/>
    <w:rsid w:val="FEBDAFB5"/>
    <w:rsid w:val="FED3C14E"/>
    <w:rsid w:val="FED81FAE"/>
    <w:rsid w:val="FEDD438A"/>
    <w:rsid w:val="FEDF03EF"/>
    <w:rsid w:val="FEE7DBEF"/>
    <w:rsid w:val="FEFBF82F"/>
    <w:rsid w:val="FEFF2BCB"/>
    <w:rsid w:val="FEFFFA1B"/>
    <w:rsid w:val="FF3787B0"/>
    <w:rsid w:val="FF54D299"/>
    <w:rsid w:val="FF6E63D6"/>
    <w:rsid w:val="FF77C19F"/>
    <w:rsid w:val="FF7BFB18"/>
    <w:rsid w:val="FF7FC32C"/>
    <w:rsid w:val="FF9BAD12"/>
    <w:rsid w:val="FF9EA1D4"/>
    <w:rsid w:val="FFAF2B64"/>
    <w:rsid w:val="FFB72696"/>
    <w:rsid w:val="FFB7777D"/>
    <w:rsid w:val="FFB79297"/>
    <w:rsid w:val="FFBB491E"/>
    <w:rsid w:val="FFBF735C"/>
    <w:rsid w:val="FFBFB8D2"/>
    <w:rsid w:val="FFC7E63F"/>
    <w:rsid w:val="FFD6DD14"/>
    <w:rsid w:val="FFDDA7AC"/>
    <w:rsid w:val="FFDF1B34"/>
    <w:rsid w:val="FFDF5AD6"/>
    <w:rsid w:val="FFDFBB41"/>
    <w:rsid w:val="FFDFF6BC"/>
    <w:rsid w:val="FFE5F05D"/>
    <w:rsid w:val="FFEB46D3"/>
    <w:rsid w:val="FFEF6D2A"/>
    <w:rsid w:val="FFF7E3FF"/>
    <w:rsid w:val="FFFAE321"/>
    <w:rsid w:val="FFFBE08D"/>
    <w:rsid w:val="FFFDDFE0"/>
    <w:rsid w:val="FFFDFDD5"/>
    <w:rsid w:val="FFFE0116"/>
    <w:rsid w:val="FFFE4D9C"/>
    <w:rsid w:val="FFFEC1C2"/>
    <w:rsid w:val="FFFF1D34"/>
    <w:rsid w:val="FFFF6291"/>
    <w:rsid w:val="FFFFB18A"/>
    <w:rsid w:val="FFFFB93A"/>
    <w:rsid w:val="FFFFC9DA"/>
    <w:rsid w:val="FFFFE7F1"/>
    <w:rsid w:val="FFFFF287"/>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semiHidden="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character" w:default="1" w:styleId="16">
    <w:name w:val="Default Paragraph Font"/>
    <w:qFormat/>
    <w:uiPriority w:val="0"/>
    <w:rPr>
      <w:rFonts w:ascii="Times New Roman" w:hAnsi="Times New Roman" w:eastAsia="宋体" w:cs="Times New Roman"/>
    </w:rPr>
  </w:style>
  <w:style w:type="table" w:default="1" w:styleId="14">
    <w:name w:val="Normal Table"/>
    <w:qFormat/>
    <w:uiPriority w:val="0"/>
    <w:rPr>
      <w:rFonts w:ascii="Times New Roman" w:hAnsi="Times New Roman" w:eastAsia="宋体" w:cs="Times New Roman"/>
    </w:rPr>
    <w:tblPr>
      <w:tblCellMar>
        <w:top w:w="0" w:type="dxa"/>
        <w:left w:w="108" w:type="dxa"/>
        <w:bottom w:w="0" w:type="dxa"/>
        <w:right w:w="108" w:type="dxa"/>
      </w:tblCellMar>
    </w:tblPr>
  </w:style>
  <w:style w:type="paragraph" w:styleId="2">
    <w:name w:val="Body Text"/>
    <w:basedOn w:val="1"/>
    <w:qFormat/>
    <w:uiPriority w:val="0"/>
    <w:pPr>
      <w:spacing w:after="120"/>
    </w:pPr>
    <w:rPr>
      <w:rFonts w:ascii="Times New Roman" w:hAnsi="Times New Roman" w:eastAsia="宋体" w:cs="Times New Roman"/>
    </w:rPr>
  </w:style>
  <w:style w:type="paragraph" w:styleId="3">
    <w:name w:val="annotation text"/>
    <w:basedOn w:val="1"/>
    <w:qFormat/>
    <w:uiPriority w:val="0"/>
    <w:pPr>
      <w:jc w:val="left"/>
    </w:pPr>
    <w:rPr>
      <w:rFonts w:ascii="Times New Roman" w:hAnsi="Times New Roman" w:eastAsia="宋体" w:cs="Times New Roman"/>
    </w:rPr>
  </w:style>
  <w:style w:type="paragraph" w:styleId="4">
    <w:name w:val="Body Text Indent"/>
    <w:basedOn w:val="1"/>
    <w:qFormat/>
    <w:uiPriority w:val="0"/>
    <w:pPr>
      <w:spacing w:line="594" w:lineRule="exact"/>
      <w:ind w:firstLine="538" w:firstLineChars="174"/>
    </w:pPr>
    <w:rPr>
      <w:rFonts w:ascii="Times New Roman" w:hAnsi="Times New Roman" w:eastAsia="宋体" w:cs="Times New Roman"/>
      <w:sz w:val="32"/>
    </w:rPr>
  </w:style>
  <w:style w:type="paragraph" w:styleId="5">
    <w:name w:val="Plain Text"/>
    <w:basedOn w:val="1"/>
    <w:qFormat/>
    <w:uiPriority w:val="0"/>
    <w:rPr>
      <w:rFonts w:ascii="宋体" w:hAnsi="Courier New" w:eastAsia="宋体" w:cs="Courier New"/>
      <w:sz w:val="21"/>
      <w:szCs w:val="21"/>
    </w:rPr>
  </w:style>
  <w:style w:type="paragraph" w:styleId="6">
    <w:name w:val="Date"/>
    <w:basedOn w:val="1"/>
    <w:next w:val="1"/>
    <w:qFormat/>
    <w:uiPriority w:val="0"/>
  </w:style>
  <w:style w:type="paragraph" w:styleId="7">
    <w:name w:val="Balloon Text"/>
    <w:basedOn w:val="1"/>
    <w:link w:val="18"/>
    <w:qFormat/>
    <w:uiPriority w:val="0"/>
    <w:rPr>
      <w:sz w:val="18"/>
      <w:szCs w:val="18"/>
    </w:rPr>
  </w:style>
  <w:style w:type="paragraph" w:styleId="8">
    <w:name w:val="footer"/>
    <w:basedOn w:val="1"/>
    <w:qFormat/>
    <w:uiPriority w:val="0"/>
    <w:pPr>
      <w:tabs>
        <w:tab w:val="center" w:pos="4153"/>
        <w:tab w:val="right" w:pos="8306"/>
      </w:tabs>
      <w:snapToGrid w:val="0"/>
      <w:jc w:val="left"/>
    </w:pPr>
    <w:rPr>
      <w:rFonts w:ascii="Times New Roman" w:hAnsi="Times New Roman" w:eastAsia="宋体" w:cs="Times New Roman"/>
      <w:sz w:val="18"/>
    </w:rPr>
  </w:style>
  <w:style w:type="paragraph" w:styleId="9">
    <w:name w:val="header"/>
    <w:basedOn w:val="1"/>
    <w:link w:val="19"/>
    <w:qFormat/>
    <w:uiPriority w:val="0"/>
    <w:pPr>
      <w:pBdr>
        <w:bottom w:val="single" w:color="auto" w:sz="6" w:space="1"/>
      </w:pBdr>
      <w:tabs>
        <w:tab w:val="center" w:pos="4153"/>
        <w:tab w:val="right" w:pos="8306"/>
      </w:tabs>
      <w:snapToGrid w:val="0"/>
      <w:jc w:val="center"/>
    </w:pPr>
    <w:rPr>
      <w:sz w:val="18"/>
      <w:szCs w:val="18"/>
    </w:rPr>
  </w:style>
  <w:style w:type="paragraph" w:styleId="10">
    <w:name w:val="Body Text 2"/>
    <w:basedOn w:val="1"/>
    <w:qFormat/>
    <w:uiPriority w:val="0"/>
    <w:pPr>
      <w:autoSpaceDE w:val="0"/>
      <w:autoSpaceDN w:val="0"/>
      <w:adjustRightInd w:val="0"/>
      <w:spacing w:line="520" w:lineRule="exact"/>
      <w:jc w:val="center"/>
    </w:pPr>
    <w:rPr>
      <w:rFonts w:ascii="楷体_GB2312" w:hAnsi="Times New Roman" w:eastAsia="楷体_GB2312" w:cs="Times New Roman"/>
      <w:kern w:val="0"/>
      <w:sz w:val="44"/>
      <w:szCs w:val="32"/>
      <w:lang w:val="zh-CN"/>
    </w:rPr>
  </w:style>
  <w:style w:type="paragraph" w:styleId="11">
    <w:name w:val="HTML Preformatted"/>
    <w:basedOn w:val="1"/>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宋体"/>
      <w:kern w:val="0"/>
      <w:sz w:val="24"/>
      <w:szCs w:val="24"/>
      <w:lang w:val="en-US" w:eastAsia="zh-CN" w:bidi="ar"/>
    </w:rPr>
  </w:style>
  <w:style w:type="paragraph" w:styleId="12">
    <w:name w:val="Normal (Web)"/>
    <w:basedOn w:val="1"/>
    <w:qFormat/>
    <w:uiPriority w:val="0"/>
    <w:pPr>
      <w:widowControl/>
      <w:spacing w:before="75" w:after="75"/>
      <w:jc w:val="left"/>
    </w:pPr>
    <w:rPr>
      <w:rFonts w:ascii="宋体" w:hAnsi="宋体" w:eastAsia="宋体" w:cs="宋体"/>
      <w:kern w:val="0"/>
      <w:sz w:val="24"/>
    </w:rPr>
  </w:style>
  <w:style w:type="paragraph" w:styleId="13">
    <w:name w:val="Body Text First Indent 2"/>
    <w:qFormat/>
    <w:uiPriority w:val="0"/>
    <w:pPr>
      <w:widowControl w:val="0"/>
      <w:ind w:firstLine="880" w:firstLineChars="200"/>
      <w:jc w:val="both"/>
    </w:pPr>
    <w:rPr>
      <w:rFonts w:ascii="Times New Roman" w:hAnsi="Times New Roman" w:eastAsia="宋体" w:cs="Times New Roman"/>
      <w:kern w:val="2"/>
      <w:sz w:val="21"/>
      <w:szCs w:val="24"/>
      <w:lang w:val="en-US" w:eastAsia="zh-CN" w:bidi="ar-SA"/>
    </w:rPr>
  </w:style>
  <w:style w:type="table" w:styleId="15">
    <w:name w:val="Table Grid"/>
    <w:basedOn w:val="1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7">
    <w:name w:val="page number"/>
    <w:qFormat/>
    <w:uiPriority w:val="0"/>
    <w:rPr>
      <w:rFonts w:ascii="Times New Roman" w:hAnsi="Times New Roman" w:eastAsia="宋体" w:cs="Times New Roman"/>
    </w:rPr>
  </w:style>
  <w:style w:type="character" w:customStyle="1" w:styleId="18">
    <w:name w:val="批注框文本 字符"/>
    <w:link w:val="7"/>
    <w:qFormat/>
    <w:uiPriority w:val="0"/>
    <w:rPr>
      <w:rFonts w:ascii="Calibri" w:hAnsi="Calibri" w:eastAsia="宋体" w:cs="Times New Roman"/>
      <w:kern w:val="2"/>
      <w:sz w:val="18"/>
      <w:szCs w:val="18"/>
    </w:rPr>
  </w:style>
  <w:style w:type="character" w:customStyle="1" w:styleId="19">
    <w:name w:val="页眉 字符"/>
    <w:link w:val="9"/>
    <w:qFormat/>
    <w:uiPriority w:val="0"/>
    <w:rPr>
      <w:rFonts w:ascii="Calibri" w:hAnsi="Calibri" w:eastAsia="宋体" w:cs="Times New Roman"/>
      <w:kern w:val="2"/>
      <w:sz w:val="18"/>
      <w:szCs w:val="18"/>
    </w:rPr>
  </w:style>
  <w:style w:type="paragraph" w:customStyle="1" w:styleId="20">
    <w:name w:val="Default"/>
    <w:qFormat/>
    <w:uiPriority w:val="0"/>
    <w:pPr>
      <w:widowControl w:val="0"/>
      <w:autoSpaceDE w:val="0"/>
      <w:autoSpaceDN w:val="0"/>
      <w:adjustRightInd w:val="0"/>
    </w:pPr>
    <w:rPr>
      <w:rFonts w:ascii="宋体" w:hAnsi="宋体" w:eastAsia="宋体" w:cs="宋体"/>
      <w:color w:val="000000"/>
      <w:sz w:val="24"/>
      <w:szCs w:val="24"/>
      <w:lang w:val="en-US" w:eastAsia="zh-CN" w:bidi="ar-SA"/>
    </w:rPr>
  </w:style>
  <w:style w:type="paragraph" w:customStyle="1" w:styleId="21">
    <w:name w:val="_Style 20"/>
    <w:unhideWhenUsed/>
    <w:qFormat/>
    <w:uiPriority w:val="99"/>
    <w:rPr>
      <w:rFonts w:ascii="Calibri" w:hAnsi="Calibri" w:eastAsia="宋体" w:cs="Times New Roman"/>
      <w:kern w:val="2"/>
      <w:sz w:val="21"/>
      <w:szCs w:val="24"/>
      <w:lang w:val="en-US" w:eastAsia="zh-CN" w:bidi="ar-SA"/>
    </w:rPr>
  </w:style>
  <w:style w:type="character" w:customStyle="1" w:styleId="22">
    <w:name w:val="15"/>
    <w:basedOn w:val="16"/>
    <w:uiPriority w:val="0"/>
    <w:rPr>
      <w:rFonts w:hint="default" w:ascii="Times New Roman" w:hAnsi="Times New Roman" w:eastAsia="宋体" w:cs="Times New Roman"/>
    </w:rPr>
  </w:style>
</w:styles>
</file>

<file path=word/_rels/document.xml.rels><?xml version="1.0" encoding="UTF-8" standalone="yes"?>
<Relationships xmlns="http://schemas.openxmlformats.org/package/2006/relationships"><Relationship Id="rId9" Type="http://schemas.openxmlformats.org/officeDocument/2006/relationships/image" Target="media/image4.png"/><Relationship Id="rId8" Type="http://schemas.openxmlformats.org/officeDocument/2006/relationships/image" Target="media/image3.png"/><Relationship Id="rId7" Type="http://schemas.openxmlformats.org/officeDocument/2006/relationships/image" Target="media/image2.png"/><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1.xml"/><Relationship Id="rId11" Type="http://schemas.openxmlformats.org/officeDocument/2006/relationships/image" Target="media/image6.png"/><Relationship Id="rId10" Type="http://schemas.openxmlformats.org/officeDocument/2006/relationships/image" Target="media/image5.png"/><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Pages>
  <Words>9908</Words>
  <Characters>11237</Characters>
  <Lines>1</Lines>
  <Paragraphs>1</Paragraphs>
  <TotalTime>4</TotalTime>
  <ScaleCrop>false</ScaleCrop>
  <LinksUpToDate>false</LinksUpToDate>
  <CharactersWithSpaces>11291</CharactersWithSpaces>
  <Application>WPS Office_11.8.2.10489_F1E327BC-269C-435d-A152-05C5408002CA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2023-09-19T18:47:00Z</dcterms:created>
  <dc:creator>Administrator</dc:creator>
  <cp:lastModifiedBy>民三庭信箱</cp:lastModifiedBy>
  <cp:lastPrinted>2022-09-29T21:01:00Z</cp:lastPrinted>
  <dcterms:modified xsi:type="dcterms:W3CDTF">2026-06-02T11:11:04Z</dcterms:modified>
  <dc:title>浙 江 省 高 级 人 民 法 院</dc:title>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2052-11.8.2.10489</vt:lpwstr>
  </property>
  <property fmtid="{D5CDD505-2E9C-101B-9397-08002B2CF9AE}" pid="3" name="ICV">
    <vt:lpwstr>42B71BCBEA064028BA5460E158B3E2B5_13</vt:lpwstr>
  </property>
  <property fmtid="{D5CDD505-2E9C-101B-9397-08002B2CF9AE}" pid="4" name="KSOTemplateDocerSaveRecord">
    <vt:lpwstr>eyJoZGlkIjoiMmYzNDYyZWQ3MzRlYmNmNTIwZWE0MzhmMGUyMWMyY2EiLCJ1c2VySWQiOiI3NDQ1MzUxNjAifQ==</vt:lpwstr>
  </property>
</Properties>
</file>