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246"/>
          <w:tab w:val="center" w:pos="4508"/>
        </w:tabs>
        <w:kinsoku/>
        <w:wordWrap/>
        <w:overflowPunct/>
        <w:topLinePunct w:val="0"/>
        <w:autoSpaceDE/>
        <w:autoSpaceDN/>
        <w:bidi w:val="0"/>
        <w:adjustRightInd/>
        <w:snapToGrid/>
        <w:spacing w:line="760" w:lineRule="exact"/>
        <w:jc w:val="left"/>
        <w:textAlignment w:val="auto"/>
        <w:rPr>
          <w:rFonts w:hint="default" w:ascii="Times New Roman" w:hAnsi="Times New Roman" w:eastAsia="华文中宋" w:cs="Times New Roman"/>
          <w:spacing w:val="20"/>
          <w:sz w:val="44"/>
          <w:lang w:eastAsia="zh-CN"/>
        </w:rPr>
      </w:pPr>
      <w:r>
        <w:rPr>
          <w:rFonts w:hint="default" w:ascii="Times New Roman" w:hAnsi="Times New Roman" w:eastAsia="华文中宋" w:cs="Times New Roman"/>
          <w:spacing w:val="20"/>
          <w:sz w:val="44"/>
          <w:lang w:eastAsia="zh-CN"/>
        </w:rPr>
        <w:tab/>
      </w:r>
    </w:p>
    <w:p>
      <w:pPr>
        <w:tabs>
          <w:tab w:val="left" w:pos="1246"/>
          <w:tab w:val="center" w:pos="4508"/>
        </w:tabs>
        <w:spacing w:line="840" w:lineRule="exact"/>
        <w:jc w:val="left"/>
        <w:rPr>
          <w:rFonts w:hint="default" w:ascii="Times New Roman" w:hAnsi="Times New Roman" w:eastAsia="华文中宋" w:cs="Times New Roman"/>
          <w:spacing w:val="20"/>
          <w:sz w:val="52"/>
        </w:rPr>
      </w:pPr>
      <w:r>
        <w:rPr>
          <w:rFonts w:hint="default" w:ascii="Times New Roman" w:hAnsi="Times New Roman" w:eastAsia="华文中宋" w:cs="Times New Roman"/>
          <w:spacing w:val="20"/>
          <w:sz w:val="44"/>
          <w:lang w:eastAsia="zh-CN"/>
        </w:rPr>
        <w:tab/>
      </w:r>
      <w:r>
        <w:rPr>
          <w:rFonts w:hint="default" w:ascii="Times New Roman" w:hAnsi="Times New Roman" w:eastAsia="华文中宋" w:cs="Times New Roman"/>
          <w:spacing w:val="20"/>
          <w:sz w:val="44"/>
        </w:rPr>
        <w:t>浙 江 省 高 级 人 民 法 院</w:t>
      </w:r>
    </w:p>
    <w:p>
      <w:pPr>
        <w:spacing w:line="840" w:lineRule="exact"/>
        <w:jc w:val="center"/>
        <w:rPr>
          <w:rFonts w:hint="default" w:ascii="Times New Roman" w:hAnsi="Times New Roman" w:eastAsia="华文中宋" w:cs="Times New Roman"/>
          <w:sz w:val="52"/>
        </w:rPr>
      </w:pPr>
      <w:r>
        <w:rPr>
          <w:rFonts w:hint="default" w:ascii="Times New Roman" w:hAnsi="Times New Roman" w:eastAsia="华文中宋" w:cs="Times New Roman"/>
          <w:spacing w:val="240"/>
          <w:sz w:val="52"/>
        </w:rPr>
        <w:t>民事判决</w:t>
      </w:r>
      <w:r>
        <w:rPr>
          <w:rFonts w:hint="default" w:ascii="Times New Roman" w:hAnsi="Times New Roman" w:eastAsia="华文中宋" w:cs="Times New Roman"/>
          <w:sz w:val="52"/>
        </w:rPr>
        <w:t>书</w:t>
      </w:r>
    </w:p>
    <w:p>
      <w:pPr>
        <w:spacing w:line="780" w:lineRule="exact"/>
        <w:rPr>
          <w:rFonts w:hint="default" w:ascii="Times New Roman" w:hAnsi="Times New Roman" w:cs="Times New Roman"/>
          <w:sz w:val="32"/>
        </w:rPr>
      </w:pPr>
    </w:p>
    <w:p>
      <w:pPr>
        <w:adjustRightInd w:val="0"/>
        <w:spacing w:line="340" w:lineRule="exact"/>
        <w:ind w:right="0" w:rightChars="0" w:firstLine="5580" w:firstLineChars="1800"/>
        <w:rPr>
          <w:rFonts w:hint="default" w:ascii="Times New Roman" w:hAnsi="Times New Roman" w:cs="Times New Roman"/>
          <w:bCs w:val="0"/>
          <w:snapToGrid/>
          <w:kern w:val="2"/>
          <w:sz w:val="32"/>
          <w:szCs w:val="32"/>
          <w:lang w:val="en"/>
        </w:rPr>
      </w:pPr>
      <w:r>
        <w:rPr>
          <w:rFonts w:hint="default" w:ascii="Times New Roman" w:hAnsi="Times New Roman" w:cs="Times New Roman"/>
          <w:bCs w:val="0"/>
          <w:snapToGrid/>
          <w:kern w:val="2"/>
          <w:sz w:val="32"/>
          <w:szCs w:val="32"/>
          <w:lang w:val="en"/>
        </w:rPr>
        <w:t>（202</w:t>
      </w:r>
      <w:r>
        <w:rPr>
          <w:rFonts w:hint="default" w:ascii="Times New Roman" w:hAnsi="Times New Roman" w:cs="Times New Roman"/>
          <w:bCs w:val="0"/>
          <w:snapToGrid/>
          <w:kern w:val="2"/>
          <w:sz w:val="32"/>
          <w:szCs w:val="32"/>
          <w:lang w:val="en-US" w:eastAsia="zh-CN"/>
        </w:rPr>
        <w:t>4</w:t>
      </w:r>
      <w:r>
        <w:rPr>
          <w:rFonts w:hint="default" w:ascii="Times New Roman" w:hAnsi="Times New Roman" w:cs="Times New Roman"/>
          <w:bCs w:val="0"/>
          <w:snapToGrid/>
          <w:kern w:val="2"/>
          <w:sz w:val="32"/>
          <w:szCs w:val="32"/>
          <w:lang w:val="en"/>
        </w:rPr>
        <w:t>）浙民终</w:t>
      </w:r>
      <w:r>
        <w:rPr>
          <w:rFonts w:hint="eastAsia" w:cs="Times New Roman"/>
          <w:bCs w:val="0"/>
          <w:snapToGrid/>
          <w:kern w:val="2"/>
          <w:sz w:val="32"/>
          <w:szCs w:val="32"/>
          <w:lang w:val="en-US" w:eastAsia="zh-CN"/>
        </w:rPr>
        <w:t>784</w:t>
      </w:r>
      <w:r>
        <w:rPr>
          <w:rFonts w:hint="default" w:ascii="Times New Roman" w:hAnsi="Times New Roman" w:cs="Times New Roman"/>
          <w:bCs w:val="0"/>
          <w:snapToGrid/>
          <w:kern w:val="2"/>
          <w:sz w:val="32"/>
          <w:szCs w:val="32"/>
          <w:lang w:val="en"/>
        </w:rPr>
        <w:t>号</w:t>
      </w:r>
    </w:p>
    <w:p>
      <w:pPr>
        <w:keepNext w:val="0"/>
        <w:keepLines w:val="0"/>
        <w:pageBreakBefore w:val="0"/>
        <w:widowControl w:val="0"/>
        <w:kinsoku/>
        <w:wordWrap/>
        <w:overflowPunct/>
        <w:topLinePunct w:val="0"/>
        <w:autoSpaceDE/>
        <w:autoSpaceDN/>
        <w:bidi w:val="0"/>
        <w:adjustRightInd w:val="0"/>
        <w:snapToGrid/>
        <w:spacing w:line="300" w:lineRule="exact"/>
        <w:ind w:firstLine="620" w:firstLineChars="200"/>
        <w:textAlignment w:val="auto"/>
        <w:rPr>
          <w:rFonts w:hint="default" w:ascii="Times New Roman" w:hAnsi="Times New Roman" w:eastAsia="仿宋_GB2312" w:cs="Times New Roman"/>
          <w:kern w:val="2"/>
          <w:sz w:val="32"/>
          <w:szCs w:val="32"/>
          <w:lang w:val="en" w:eastAsia="zh-CN" w:bidi="ar-SA"/>
        </w:rPr>
      </w:pP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bookmarkStart w:id="0" w:name="_Hlk18532472"/>
      <w:r>
        <w:rPr>
          <w:rFonts w:hint="eastAsia" w:ascii="仿宋_GB2312" w:hAnsi="Times New Roman" w:eastAsia="仿宋_GB2312" w:cs="仿宋_GB2312"/>
          <w:kern w:val="2"/>
          <w:sz w:val="32"/>
          <w:szCs w:val="32"/>
          <w:lang w:val="en-US" w:eastAsia="zh-CN" w:bidi="ar"/>
        </w:rPr>
        <w:t>上诉人（原审原告）：</w:t>
      </w:r>
      <w:bookmarkEnd w:id="0"/>
      <w:r>
        <w:rPr>
          <w:rFonts w:hint="eastAsia" w:ascii="仿宋_GB2312" w:hAnsi="Times New Roman" w:eastAsia="仿宋_GB2312" w:cs="仿宋_GB2312"/>
          <w:kern w:val="2"/>
          <w:sz w:val="32"/>
          <w:szCs w:val="32"/>
          <w:lang w:val="en-US" w:eastAsia="zh-CN" w:bidi="ar"/>
        </w:rPr>
        <w:t>重庆虬某科技有限公司，住所地重庆市。</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被上诉人（原审被告）：探某科技（重庆）有限公司，住所地重庆市。</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被上诉人（原审被告）：重庆东某摩托车制造有限公司，住所地重庆市。</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被上诉人（原审被告）：重庆港某机械制造有限公司，住所地重庆市。</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被上诉人（原审被告）：安徽九某智能科技有限公司，住所地安徽省合肥市。</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重庆虬某科技有限公司（以下简称虬某公司）因与被上诉人探某科技（重庆）有限公司（以下简称探某公司）、重庆东某摩托车制造有限公司（以下简称东某公司）、重庆港某机械制造有限公司（以下简称港某公司）、安徽九某智能科技有限公司（以下简称九某公司）侵害外观设计专利权纠纷一案，不服浙江省杭州市中级人民法院（</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01</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2235</w:t>
      </w:r>
      <w:r>
        <w:rPr>
          <w:rFonts w:hint="eastAsia" w:ascii="仿宋_GB2312" w:hAnsi="Times New Roman" w:eastAsia="仿宋_GB2312" w:cs="仿宋_GB2312"/>
          <w:kern w:val="2"/>
          <w:sz w:val="32"/>
          <w:szCs w:val="32"/>
          <w:lang w:val="en-US" w:eastAsia="zh-CN" w:bidi="ar"/>
        </w:rPr>
        <w:t>号民事判决，向本院提起上诉。本院于</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日立案受理后，依法组成合议庭，并于</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公开开庭进行了审理。上诉人虬某公司的委托诉讼代理人何某、张某，被上诉人探某公司、东某公司、港某公司共同的委托诉讼代理人尹某、方某，被上诉人九某公司的委托诉讼代理人叶某甲到庭参加诉讼。本案现已审理终结。</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虬某公司上诉请求：撤销一审判决，改判支持虬某公司的全部诉讼请求。事实与理由：（一）一审判决认定事实错误。</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探某公司股东兼员工王某和叶某乙在</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月之前均为虬某公司市场部门的员工，二人知悉虬某公司的“轻蜂”车型以及涉案专利于</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年荣获第</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届中国专利奖等事实。</w:t>
      </w:r>
      <w:r>
        <w:rPr>
          <w:rFonts w:hint="default" w:ascii="Times New Roman" w:hAnsi="Times New Roman" w:eastAsia="仿宋_GB2312" w:cs="Times New Roman"/>
          <w:kern w:val="2"/>
          <w:sz w:val="32"/>
          <w:szCs w:val="32"/>
          <w:lang w:val="en-US" w:eastAsia="zh-CN" w:bidi="ar"/>
        </w:rPr>
        <w:t>2019</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月至</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月期间，东某公司为虬某公司生产的电动摩托车提供产品合格证和</w:t>
      </w:r>
      <w:r>
        <w:rPr>
          <w:rFonts w:hint="default" w:ascii="Times New Roman" w:hAnsi="Times New Roman" w:eastAsia="仿宋_GB2312" w:cs="Times New Roman"/>
          <w:kern w:val="2"/>
          <w:sz w:val="32"/>
          <w:szCs w:val="32"/>
          <w:lang w:val="en-US" w:eastAsia="zh-CN" w:bidi="ar"/>
        </w:rPr>
        <w:t>3C</w:t>
      </w:r>
      <w:r>
        <w:rPr>
          <w:rFonts w:hint="eastAsia" w:ascii="仿宋_GB2312" w:hAnsi="Times New Roman" w:eastAsia="仿宋_GB2312" w:cs="仿宋_GB2312"/>
          <w:kern w:val="2"/>
          <w:sz w:val="32"/>
          <w:szCs w:val="32"/>
          <w:lang w:val="en-US" w:eastAsia="zh-CN" w:bidi="ar"/>
        </w:rPr>
        <w:t>一致性认证证书，以便在国内进行销售。本案系合作商和前员工共同实施的知识产权侵权案件。</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一审认定的侵权行为开始时间错误。依据九某公司官方网站的宣传，探某公司于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日发布的官方微信公众号文章等，可知探某公司和东某公司于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月起开始侵权，</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月完成侵权“毒刺”车型的小批量试装到量产，并首先在国外市场进行销售，</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年被诉侵权产品销量为</w:t>
      </w:r>
      <w:r>
        <w:rPr>
          <w:rFonts w:hint="default" w:ascii="Times New Roman" w:hAnsi="Times New Roman" w:eastAsia="仿宋_GB2312" w:cs="Times New Roman"/>
          <w:kern w:val="2"/>
          <w:sz w:val="32"/>
          <w:szCs w:val="32"/>
          <w:lang w:val="en-US" w:eastAsia="zh-CN" w:bidi="ar"/>
        </w:rPr>
        <w:t>12739</w:t>
      </w:r>
      <w:r>
        <w:rPr>
          <w:rFonts w:hint="eastAsia" w:ascii="仿宋_GB2312" w:hAnsi="Times New Roman" w:eastAsia="仿宋_GB2312" w:cs="仿宋_GB2312"/>
          <w:kern w:val="2"/>
          <w:sz w:val="32"/>
          <w:szCs w:val="32"/>
          <w:lang w:val="en-US" w:eastAsia="zh-CN" w:bidi="ar"/>
        </w:rPr>
        <w:t>台。（二）一审判决适用法律错误。</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关于“一般消费者”范围认定错误。在算法推荐机制下，抖音、</w:t>
      </w:r>
      <w:r>
        <w:rPr>
          <w:rFonts w:hint="default" w:ascii="Times New Roman" w:hAnsi="Times New Roman" w:eastAsia="仿宋_GB2312" w:cs="Times New Roman"/>
          <w:kern w:val="2"/>
          <w:sz w:val="32"/>
          <w:szCs w:val="32"/>
          <w:lang w:val="en-US" w:eastAsia="zh-CN" w:bidi="ar"/>
        </w:rPr>
        <w:t>B</w:t>
      </w:r>
      <w:r>
        <w:rPr>
          <w:rFonts w:hint="eastAsia" w:ascii="仿宋_GB2312" w:hAnsi="Times New Roman" w:eastAsia="仿宋_GB2312" w:cs="仿宋_GB2312"/>
          <w:kern w:val="2"/>
          <w:sz w:val="32"/>
          <w:szCs w:val="32"/>
          <w:lang w:val="en-US" w:eastAsia="zh-CN" w:bidi="ar"/>
        </w:rPr>
        <w:t>站视频、小红书的评论者均属于对电动摩托车具有常识性了解和分辨力的人，其意见应当作为“一般消费者”的认知判断。</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关于“附加设计要素”对整体视觉效果是否产生显著影响认定错误。涉案专利的设计要点在于车架等区别设计特征以及由此组合形成的车身整体形态，挡泥板和后视镜等系本领域的常规配件，属于功能性设计，对整体视觉效果不会产生显著影响。</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一审判决以商标侵权的混淆标准认定被诉侵权设计与涉案专利不构成近似错误。外观设计专利侵权判断采用的是“整体观察、综合判断”原则，商标及文字内容并非涉案专利的设计要素，不应纳入侵权比对范围。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被诉侵权设计与涉案专利构成近似。一审判决对于涉案专利与现有设计的区别设计特征认定错误，进而错误认定该些区别设计特征对整体视觉效果的影响。（</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虬某公司明确主张涉案专利区别于现有设计的设计特征主要体现为：电池、电机和电机控制器形成的三电布局及其在整车当中的位置；双翼梁、钻石型车架结构及其在整车当中的位置布局；平叉构件的形状及其在整车当中的位置布局；座垫形状、长度及其安装角度；电池仓盖的设置，以及由此组成的整车形态。这些区别设计特征并无对应的相同或近似的在先设计，尤以双翼梁、钻石型的车架结构和三电布局之创新性设计特征最为明显。一审判决却错误将</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前后轮的挡泥板设计</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前叉下段</w:t>
      </w:r>
      <w:r>
        <w:rPr>
          <w:rFonts w:hint="default" w:ascii="Times New Roman" w:hAnsi="Times New Roman" w:eastAsia="仿宋_GB2312" w:cs="Times New Roman"/>
          <w:kern w:val="2"/>
          <w:sz w:val="32"/>
          <w:szCs w:val="32"/>
          <w:lang w:val="en-US" w:eastAsia="zh-CN" w:bidi="ar"/>
        </w:rPr>
        <w:t>‘n’</w:t>
      </w:r>
      <w:r>
        <w:rPr>
          <w:rFonts w:hint="eastAsia" w:ascii="仿宋_GB2312" w:hAnsi="Times New Roman" w:eastAsia="仿宋_GB2312" w:cs="仿宋_GB2312"/>
          <w:kern w:val="2"/>
          <w:sz w:val="32"/>
          <w:szCs w:val="32"/>
          <w:lang w:val="en-US" w:eastAsia="zh-CN" w:bidi="ar"/>
        </w:rPr>
        <w:t>形保护套设计</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形坐垫支架</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平叉长臂、减震器、车架上梁三者近乎一直线，减震器近乎全长可见，</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形坐垫支架构件、减震器、车架上斜边三者呈现个形设计</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等认定为涉案专利的区别设计特征。另一方面，一审判决在认定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平叉长臂、减震器、车架上梁三者近乎一直线</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设计特征在涉案专利申请日前已公开的情况下，仍将其认定为区别设计特征，前后矛盾。（</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）一审判决关于涉案外观设计在侵权行为发生时设计空间较小的认定错误。被诉侵权行为开始时间为</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月，彼时涉案外观设计所属的产品领域具有极大的设计空间。（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）被诉侵权设计采用了涉案专利区别于现有设计的设计特征，整体视觉效果无实质性差异，依据“整体观察、综合判断”原则，两者构成近似。</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探某公司、东某公司、港某公司辩称：（一）被诉侵权设计不落入涉案专利权的保护范围。被诉侵权设计与涉案专利的主要区别在于：</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涉案专利无尾架、后视镜、挡泥板，车头为圆形小灯；被诉侵权设计有尾架、方形大灯、牛角形后视镜、弧形挡泥板。</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涉案专利的车架部分为简洁的四边形；被诉侵权设计的车架部分为多个不规则多边形。</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涉案专利的车架上梁、减震弹簧和下平叉呈一直线排布；被诉侵权设计的上斜横杆、下平叉平行设置，与减震弹簧呈锐角。</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涉案专利前叉有</w:t>
      </w:r>
      <w:r>
        <w:rPr>
          <w:rFonts w:hint="default" w:ascii="Times New Roman" w:hAnsi="Times New Roman" w:eastAsia="仿宋_GB2312" w:cs="Times New Roman"/>
          <w:kern w:val="2"/>
          <w:sz w:val="32"/>
          <w:szCs w:val="32"/>
          <w:lang w:val="en-US" w:eastAsia="zh-CN" w:bidi="ar"/>
        </w:rPr>
        <w:t>“n”</w:t>
      </w:r>
      <w:r>
        <w:rPr>
          <w:rFonts w:hint="eastAsia" w:ascii="仿宋_GB2312" w:hAnsi="Times New Roman" w:eastAsia="仿宋_GB2312" w:cs="仿宋_GB2312"/>
          <w:kern w:val="2"/>
          <w:sz w:val="32"/>
          <w:szCs w:val="32"/>
          <w:lang w:val="en-US" w:eastAsia="zh-CN" w:bidi="ar"/>
        </w:rPr>
        <w:t>形保护套；被诉侵权设计无此特征。</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涉案专利的座垫显著独立于机仓；被诉侵权设计电池仓盖后部与座垫前部下方紧密结合，座垫与机仓浑然一体。此外，涉案专利和被诉侵权设计还存在</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余个区别点。双方提交的现有设计表明摩托车类产品的整体布局已被在先设计公开，设计空间较小，上述区别点使得两者整体视觉效果存在显著区别。（二）虬某公司的上诉理由不能成立。</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探某公司、东某公司、港某公司不具有抄袭恶意，主观故意亦不影响外观设计侵权判断。探某公司员工、东某公司与虬某公司之间的关系不属于本案相关的基本事实。王某、叶某乙在虬某公司任职期间不了解涉案专利，其离职属于劳动者自由择业，离职后也没有获得竞业限制补偿金。</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一审法院对于被诉侵权行为开始时间的认定正确。被诉侵权产品于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月获得工信部第</w:t>
      </w:r>
      <w:r>
        <w:rPr>
          <w:rFonts w:hint="default" w:ascii="Times New Roman" w:hAnsi="Times New Roman" w:eastAsia="仿宋_GB2312" w:cs="Times New Roman"/>
          <w:kern w:val="2"/>
          <w:sz w:val="32"/>
          <w:szCs w:val="32"/>
          <w:lang w:val="en-US" w:eastAsia="zh-CN" w:bidi="ar"/>
        </w:rPr>
        <w:t>367</w:t>
      </w:r>
      <w:r>
        <w:rPr>
          <w:rFonts w:hint="eastAsia" w:ascii="仿宋_GB2312" w:hAnsi="Times New Roman" w:eastAsia="仿宋_GB2312" w:cs="仿宋_GB2312"/>
          <w:kern w:val="2"/>
          <w:sz w:val="32"/>
          <w:szCs w:val="32"/>
          <w:lang w:val="en-US" w:eastAsia="zh-CN" w:bidi="ar"/>
        </w:rPr>
        <w:t>批《道路机动车辆生产企业及产品公告》新产品公示，同年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月获得产品认证证书，在获得准入资质后方开始生产。工信部机动车合格证管理系统显示</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月至一审开庭时涉案车型合格证数量仅为</w:t>
      </w:r>
      <w:r>
        <w:rPr>
          <w:rFonts w:hint="default" w:ascii="Times New Roman" w:hAnsi="Times New Roman" w:eastAsia="仿宋_GB2312" w:cs="Times New Roman"/>
          <w:kern w:val="2"/>
          <w:sz w:val="32"/>
          <w:szCs w:val="32"/>
          <w:lang w:val="en-US" w:eastAsia="zh-CN" w:bidi="ar"/>
        </w:rPr>
        <w:t>915</w:t>
      </w:r>
      <w:r>
        <w:rPr>
          <w:rFonts w:hint="eastAsia" w:ascii="仿宋_GB2312" w:hAnsi="Times New Roman" w:eastAsia="仿宋_GB2312" w:cs="仿宋_GB2312"/>
          <w:kern w:val="2"/>
          <w:sz w:val="32"/>
          <w:szCs w:val="32"/>
          <w:lang w:val="en-US" w:eastAsia="zh-CN" w:bidi="ar"/>
        </w:rPr>
        <w:t>台。虬某公司举证的网页内容系九某公司单方运营、宣传，未经探某公司审核或确认，其代理人亦在一审中陈述该内容系员工为销售业绩杜撰。</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虬某公司提供的</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张网页图片部分发布者身份不明，无被诉侵权产品型号或商标标识且不能完整体现车辆外观，本案在已保全到被诉侵权产品实物的情况下，不宜使用上述图片进行侵权比对。</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一审法院对一般消费者的认定无误。部分网站中网民基于宣传图片做出的判断，不能作为侵权认定的直接依据，且在案证据显示部分评论网民可能与虬某公司存在利益关联。</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后视镜、挡泥板、尾架、车头大灯等部件的外观设计特征不属于附加设计要素，该些部件系我国强制性国家标准规定必须安装的部件，应当被纳入比对范围。综上，请求驳回虬某公司的上诉请求，维持原判。</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九某公司辩称：（一）九某公司网站上宣传的销售数据系现已离职的员工为推广产品而虚构的，相关信息并非从探某公司、东某公司处获得。（二）依据我国法律规定，机动车生产、上路均需要获得工业和信息化部许可，被诉侵权产品不可能在</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月获得许可前生产销售。（三）九某公司许诺销售的产品具有合法来源，不应当承担赔偿责任。</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虬某公司向一审法院提起诉讼，请求判令：</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探某公司、东某公司、港某公司、九某公司立即停止侵害涉案外观设计专利权，包括探某公司、东某公司立即停止制造、销售与涉案专利外观近似的电动摩托车；探某公司、九某公司立即停止许诺销售与涉案专利外观近似的电动摩托车；</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探某公司、东某公司共同赔偿虬某公司经济损失</w:t>
      </w:r>
      <w:r>
        <w:rPr>
          <w:rFonts w:hint="default" w:ascii="Times New Roman" w:hAnsi="Times New Roman" w:eastAsia="仿宋_GB2312" w:cs="Times New Roman"/>
          <w:kern w:val="2"/>
          <w:sz w:val="32"/>
          <w:szCs w:val="32"/>
          <w:lang w:val="en-US" w:eastAsia="zh-CN" w:bidi="ar"/>
        </w:rPr>
        <w:t>5000</w:t>
      </w:r>
      <w:r>
        <w:rPr>
          <w:rFonts w:hint="eastAsia" w:ascii="仿宋_GB2312" w:hAnsi="Times New Roman" w:eastAsia="仿宋_GB2312" w:cs="仿宋_GB2312"/>
          <w:kern w:val="2"/>
          <w:sz w:val="32"/>
          <w:szCs w:val="32"/>
          <w:lang w:val="en-US" w:eastAsia="zh-CN" w:bidi="ar"/>
        </w:rPr>
        <w:t>万元及为本案支出的合理费用</w:t>
      </w:r>
      <w:r>
        <w:rPr>
          <w:rFonts w:hint="default" w:ascii="Times New Roman" w:hAnsi="Times New Roman" w:eastAsia="仿宋_GB2312" w:cs="Times New Roman"/>
          <w:kern w:val="2"/>
          <w:sz w:val="32"/>
          <w:szCs w:val="32"/>
          <w:lang w:val="en-US" w:eastAsia="zh-CN" w:bidi="ar"/>
        </w:rPr>
        <w:t>160200</w:t>
      </w:r>
      <w:r>
        <w:rPr>
          <w:rFonts w:hint="eastAsia" w:ascii="仿宋_GB2312" w:hAnsi="Times New Roman" w:eastAsia="仿宋_GB2312" w:cs="仿宋_GB2312"/>
          <w:kern w:val="2"/>
          <w:sz w:val="32"/>
          <w:szCs w:val="32"/>
          <w:lang w:val="en-US" w:eastAsia="zh-CN" w:bidi="ar"/>
        </w:rPr>
        <w:t>元；港某公司对东某公司的赔偿金额承担全部的连带清偿责任；九某公司对探某公司、东某公司赔偿金额中的</w:t>
      </w:r>
      <w:r>
        <w:rPr>
          <w:rFonts w:hint="default" w:ascii="Times New Roman" w:hAnsi="Times New Roman" w:eastAsia="仿宋_GB2312" w:cs="Times New Roman"/>
          <w:kern w:val="2"/>
          <w:sz w:val="32"/>
          <w:szCs w:val="32"/>
          <w:lang w:val="en-US" w:eastAsia="zh-CN" w:bidi="ar"/>
        </w:rPr>
        <w:t>50</w:t>
      </w:r>
      <w:r>
        <w:rPr>
          <w:rFonts w:hint="eastAsia" w:ascii="仿宋_GB2312" w:hAnsi="Times New Roman" w:eastAsia="仿宋_GB2312" w:cs="仿宋_GB2312"/>
          <w:kern w:val="2"/>
          <w:sz w:val="32"/>
          <w:szCs w:val="32"/>
          <w:lang w:val="en-US" w:eastAsia="zh-CN" w:bidi="ar"/>
        </w:rPr>
        <w:t>万元承担连带责任；</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本案诉讼费由探某公司、东某公司、港某公司、九某公司承担。</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一审法院认定以下事实：虬某公司系</w:t>
      </w:r>
      <w:r>
        <w:rPr>
          <w:rFonts w:hint="default" w:ascii="Times New Roman" w:hAnsi="Times New Roman" w:eastAsia="仿宋_GB2312" w:cs="Times New Roman"/>
          <w:kern w:val="2"/>
          <w:sz w:val="32"/>
          <w:szCs w:val="32"/>
          <w:lang w:val="en-US" w:eastAsia="zh-CN" w:bidi="ar"/>
        </w:rPr>
        <w:t>ZL2017xxxx7820.5</w:t>
      </w:r>
      <w:r>
        <w:rPr>
          <w:rFonts w:hint="eastAsia" w:ascii="仿宋_GB2312" w:hAnsi="Times New Roman" w:eastAsia="仿宋_GB2312" w:cs="仿宋_GB2312"/>
          <w:kern w:val="2"/>
          <w:sz w:val="32"/>
          <w:szCs w:val="32"/>
          <w:lang w:val="en-US" w:eastAsia="zh-CN" w:bidi="ar"/>
        </w:rPr>
        <w:t>“轻型电动越野摩托车”外观设计专利权人，专利申请日为</w:t>
      </w:r>
      <w:r>
        <w:rPr>
          <w:rFonts w:hint="default" w:ascii="Times New Roman" w:hAnsi="Times New Roman" w:eastAsia="仿宋_GB2312" w:cs="Times New Roman"/>
          <w:kern w:val="2"/>
          <w:sz w:val="32"/>
          <w:szCs w:val="32"/>
          <w:lang w:val="en-US" w:eastAsia="zh-CN" w:bidi="ar"/>
        </w:rPr>
        <w:t>2017</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日，授权公告日为</w:t>
      </w:r>
      <w:r>
        <w:rPr>
          <w:rFonts w:hint="default" w:ascii="Times New Roman" w:hAnsi="Times New Roman" w:eastAsia="仿宋_GB2312" w:cs="Times New Roman"/>
          <w:kern w:val="2"/>
          <w:sz w:val="32"/>
          <w:szCs w:val="32"/>
          <w:lang w:val="en-US" w:eastAsia="zh-CN" w:bidi="ar"/>
        </w:rPr>
        <w:t>2017</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日。该专利年费已按期缴纳，目前处于有效期内。专利简要说明中记载，该外观专利设计产品的用途为一种交通工具，设计要点在于整体形状。</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日，国家知识产权局就授权设计出具《外观设计专利权评价报告》，初步结论为全部外观设计未发现存在不符合授予专利权条件的缺陷。</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日，虬某公司的委托代理人在</w:t>
      </w:r>
      <w:r>
        <w:rPr>
          <w:rFonts w:hint="default" w:ascii="Times New Roman" w:hAnsi="Times New Roman" w:eastAsia="仿宋_GB2312" w:cs="Times New Roman"/>
          <w:kern w:val="2"/>
          <w:sz w:val="32"/>
          <w:szCs w:val="32"/>
          <w:lang w:val="en-US" w:eastAsia="zh-CN" w:bidi="ar"/>
        </w:rPr>
        <w:t>1688</w:t>
      </w:r>
      <w:r>
        <w:rPr>
          <w:rFonts w:hint="eastAsia" w:ascii="仿宋_GB2312" w:hAnsi="Times New Roman" w:eastAsia="仿宋_GB2312" w:cs="仿宋_GB2312"/>
          <w:kern w:val="2"/>
          <w:sz w:val="32"/>
          <w:szCs w:val="32"/>
          <w:lang w:val="en-US" w:eastAsia="zh-CN" w:bidi="ar"/>
        </w:rPr>
        <w:t>平台店铺“巨飞电动科技实力供应商”以</w:t>
      </w:r>
      <w:r>
        <w:rPr>
          <w:rFonts w:hint="default" w:ascii="Times New Roman" w:hAnsi="Times New Roman" w:eastAsia="仿宋_GB2312" w:cs="Times New Roman"/>
          <w:kern w:val="2"/>
          <w:sz w:val="32"/>
          <w:szCs w:val="32"/>
          <w:lang w:val="en-US" w:eastAsia="zh-CN" w:bidi="ar"/>
        </w:rPr>
        <w:t>23800</w:t>
      </w:r>
      <w:r>
        <w:rPr>
          <w:rFonts w:hint="eastAsia" w:ascii="仿宋_GB2312" w:hAnsi="Times New Roman" w:eastAsia="仿宋_GB2312" w:cs="仿宋_GB2312"/>
          <w:kern w:val="2"/>
          <w:sz w:val="32"/>
          <w:szCs w:val="32"/>
          <w:lang w:val="en-US" w:eastAsia="zh-CN" w:bidi="ar"/>
        </w:rPr>
        <w:t>元的价格购得被诉侵权产品“毒刺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辆。上述过程，杭州市互联网公证处出具了（</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）浙杭网证内字第</w:t>
      </w:r>
      <w:r>
        <w:rPr>
          <w:rFonts w:hint="default" w:ascii="Times New Roman" w:hAnsi="Times New Roman" w:eastAsia="仿宋_GB2312" w:cs="Times New Roman"/>
          <w:kern w:val="2"/>
          <w:sz w:val="32"/>
          <w:szCs w:val="32"/>
          <w:lang w:val="en-US" w:eastAsia="zh-CN" w:bidi="ar"/>
        </w:rPr>
        <w:t>100876</w:t>
      </w:r>
      <w:r>
        <w:rPr>
          <w:rFonts w:hint="eastAsia" w:ascii="仿宋_GB2312" w:hAnsi="Times New Roman" w:eastAsia="仿宋_GB2312" w:cs="仿宋_GB2312"/>
          <w:kern w:val="2"/>
          <w:sz w:val="32"/>
          <w:szCs w:val="32"/>
          <w:lang w:val="en-US" w:eastAsia="zh-CN" w:bidi="ar"/>
        </w:rPr>
        <w:t>号公证书。</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一审当庭查验公证实物，外包装上的封条无拆封痕迹，与公证书记载一致。打开外包装，内有越野电动车</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8.0”1</w:t>
      </w:r>
      <w:r>
        <w:rPr>
          <w:rFonts w:hint="eastAsia" w:ascii="仿宋_GB2312" w:hAnsi="Times New Roman" w:eastAsia="仿宋_GB2312" w:cs="仿宋_GB2312"/>
          <w:kern w:val="2"/>
          <w:sz w:val="32"/>
          <w:szCs w:val="32"/>
          <w:lang w:val="en-US" w:eastAsia="zh-CN" w:bidi="ar"/>
        </w:rPr>
        <w:t>辆，附有机动车整车出厂合格证、车辆一致性证书，车身标有</w:t>
      </w:r>
      <w:r>
        <w:rPr>
          <w:rFonts w:hint="default" w:ascii="Times New Roman" w:hAnsi="Times New Roman" w:eastAsia="仿宋_GB2312" w:cs="Times New Roman"/>
          <w:kern w:val="2"/>
          <w:sz w:val="32"/>
          <w:szCs w:val="32"/>
          <w:lang w:val="en-US" w:eastAsia="zh-CN" w:bidi="ar"/>
        </w:rPr>
        <w:t>“TALARIA”“</w:t>
      </w:r>
      <w:r>
        <w:rPr>
          <w:rFonts w:hint="eastAsia" w:ascii="仿宋_GB2312" w:hAnsi="Times New Roman" w:eastAsia="仿宋_GB2312" w:cs="仿宋_GB2312"/>
          <w:kern w:val="2"/>
          <w:sz w:val="32"/>
          <w:szCs w:val="32"/>
          <w:lang w:val="en-US" w:eastAsia="zh-CN" w:bidi="ar"/>
        </w:rPr>
        <w:t>东本</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标识，铭牌载有</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重庆东某摩托车制造有限公司、品牌：东本、整车型号：</w:t>
      </w:r>
      <w:r>
        <w:rPr>
          <w:rFonts w:hint="default" w:ascii="Times New Roman" w:hAnsi="Times New Roman" w:eastAsia="仿宋_GB2312" w:cs="Times New Roman"/>
          <w:kern w:val="2"/>
          <w:sz w:val="32"/>
          <w:szCs w:val="32"/>
          <w:lang w:val="en-US" w:eastAsia="zh-CN" w:bidi="ar"/>
        </w:rPr>
        <w:t>DB4000DY</w:t>
      </w:r>
      <w:r>
        <w:rPr>
          <w:rFonts w:hint="eastAsia" w:ascii="仿宋_GB2312" w:hAnsi="Times New Roman" w:eastAsia="仿宋_GB2312" w:cs="仿宋_GB2312"/>
          <w:kern w:val="2"/>
          <w:sz w:val="32"/>
          <w:szCs w:val="32"/>
          <w:lang w:val="en-US" w:eastAsia="zh-CN" w:bidi="ar"/>
        </w:rPr>
        <w:t>、制造日期</w:t>
      </w:r>
      <w:r>
        <w:rPr>
          <w:rFonts w:hint="default" w:ascii="Times New Roman" w:hAnsi="Times New Roman" w:eastAsia="仿宋_GB2312" w:cs="Times New Roman"/>
          <w:kern w:val="2"/>
          <w:sz w:val="32"/>
          <w:szCs w:val="32"/>
          <w:lang w:val="en-US" w:eastAsia="zh-CN" w:bidi="ar"/>
        </w:rPr>
        <w:t>2024/01</w:t>
      </w:r>
      <w:r>
        <w:rPr>
          <w:rFonts w:hint="eastAsia" w:ascii="仿宋_GB2312" w:hAnsi="Times New Roman" w:eastAsia="仿宋_GB2312" w:cs="仿宋_GB2312"/>
          <w:kern w:val="2"/>
          <w:sz w:val="32"/>
          <w:szCs w:val="32"/>
          <w:lang w:val="en-US" w:eastAsia="zh-CN" w:bidi="ar"/>
        </w:rPr>
        <w:t>、车架号</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等信息。虬某公司在一审庭审中主张该车辆即为本案被诉侵权产品。探某公司、东某公司确认该被诉侵权车辆系其共同制造、销售，且</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两款车外观一致，仅仅是输出功率有区别，其网站的宣传、广告及店铺中销售展示的毒刺车型外观均与该产品一致。</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探某公司、东某公司确认</w:t>
      </w:r>
      <w:r>
        <w:rPr>
          <w:rFonts w:hint="default" w:ascii="Times New Roman" w:hAnsi="Times New Roman" w:eastAsia="仿宋_GB2312" w:cs="Times New Roman"/>
          <w:kern w:val="2"/>
          <w:sz w:val="32"/>
          <w:szCs w:val="32"/>
          <w:lang w:val="en-US" w:eastAsia="zh-CN" w:bidi="ar"/>
        </w:rPr>
        <w:t>DB4000DY</w:t>
      </w:r>
      <w:r>
        <w:rPr>
          <w:rFonts w:hint="eastAsia" w:ascii="仿宋_GB2312" w:hAnsi="Times New Roman" w:eastAsia="仿宋_GB2312" w:cs="仿宋_GB2312"/>
          <w:kern w:val="2"/>
          <w:sz w:val="32"/>
          <w:szCs w:val="32"/>
          <w:lang w:val="en-US" w:eastAsia="zh-CN" w:bidi="ar"/>
        </w:rPr>
        <w:t>车型于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月获得工信部第</w:t>
      </w:r>
      <w:r>
        <w:rPr>
          <w:rFonts w:hint="default" w:ascii="Times New Roman" w:hAnsi="Times New Roman" w:eastAsia="仿宋_GB2312" w:cs="Times New Roman"/>
          <w:kern w:val="2"/>
          <w:sz w:val="32"/>
          <w:szCs w:val="32"/>
          <w:lang w:val="en-US" w:eastAsia="zh-CN" w:bidi="ar"/>
        </w:rPr>
        <w:t>367</w:t>
      </w:r>
      <w:r>
        <w:rPr>
          <w:rFonts w:hint="eastAsia" w:ascii="仿宋_GB2312" w:hAnsi="Times New Roman" w:eastAsia="仿宋_GB2312" w:cs="仿宋_GB2312"/>
          <w:kern w:val="2"/>
          <w:sz w:val="32"/>
          <w:szCs w:val="32"/>
          <w:lang w:val="en-US" w:eastAsia="zh-CN" w:bidi="ar"/>
        </w:rPr>
        <w:t>批《道路机动车辆生产企业及产品公告》新产品公示，同年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月获得产品认证证书，至一审开庭止，工信部机动车合格证管理系统显示该车型合格证数量为</w:t>
      </w:r>
      <w:r>
        <w:rPr>
          <w:rFonts w:hint="default" w:ascii="Times New Roman" w:hAnsi="Times New Roman" w:eastAsia="仿宋_GB2312" w:cs="Times New Roman"/>
          <w:kern w:val="2"/>
          <w:sz w:val="32"/>
          <w:szCs w:val="32"/>
          <w:lang w:val="en-US" w:eastAsia="zh-CN" w:bidi="ar"/>
        </w:rPr>
        <w:t>915</w:t>
      </w:r>
      <w:r>
        <w:rPr>
          <w:rFonts w:hint="eastAsia" w:ascii="仿宋_GB2312" w:hAnsi="Times New Roman" w:eastAsia="仿宋_GB2312" w:cs="仿宋_GB2312"/>
          <w:kern w:val="2"/>
          <w:sz w:val="32"/>
          <w:szCs w:val="32"/>
          <w:lang w:val="en-US" w:eastAsia="zh-CN" w:bidi="ar"/>
        </w:rPr>
        <w:t>台。</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九某公司在其</w:t>
      </w:r>
      <w:r>
        <w:rPr>
          <w:rFonts w:hint="default" w:ascii="Times New Roman" w:hAnsi="Times New Roman" w:eastAsia="仿宋_GB2312" w:cs="Times New Roman"/>
          <w:kern w:val="2"/>
          <w:sz w:val="32"/>
          <w:szCs w:val="32"/>
          <w:lang w:val="en-US" w:eastAsia="zh-CN" w:bidi="ar"/>
        </w:rPr>
        <w:t>“www.TALARIA-sting.com”</w:t>
      </w:r>
      <w:r>
        <w:rPr>
          <w:rFonts w:hint="eastAsia" w:ascii="仿宋_GB2312" w:hAnsi="Times New Roman" w:eastAsia="仿宋_GB2312" w:cs="仿宋_GB2312"/>
          <w:kern w:val="2"/>
          <w:sz w:val="32"/>
          <w:szCs w:val="32"/>
          <w:lang w:val="en-US" w:eastAsia="zh-CN" w:bidi="ar"/>
        </w:rPr>
        <w:t>网站中展示有毒刺</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车辆图片，售价分别为</w:t>
      </w:r>
      <w:r>
        <w:rPr>
          <w:rFonts w:hint="default" w:ascii="Times New Roman" w:hAnsi="Times New Roman" w:eastAsia="仿宋_GB2312" w:cs="Times New Roman"/>
          <w:kern w:val="2"/>
          <w:sz w:val="32"/>
          <w:szCs w:val="32"/>
          <w:lang w:val="en-US" w:eastAsia="zh-CN" w:bidi="ar"/>
        </w:rPr>
        <w:t>20520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24980</w:t>
      </w:r>
      <w:r>
        <w:rPr>
          <w:rFonts w:hint="eastAsia" w:ascii="仿宋_GB2312" w:hAnsi="Times New Roman" w:eastAsia="仿宋_GB2312" w:cs="仿宋_GB2312"/>
          <w:kern w:val="2"/>
          <w:sz w:val="32"/>
          <w:szCs w:val="32"/>
          <w:lang w:val="en-US" w:eastAsia="zh-CN" w:bidi="ar"/>
        </w:rPr>
        <w:t>元，其在</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探某简介</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中描述：</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年公司团队扩充，继续顺利进行</w:t>
      </w:r>
      <w:r>
        <w:rPr>
          <w:rFonts w:hint="default" w:ascii="Times New Roman" w:hAnsi="Times New Roman" w:eastAsia="仿宋_GB2312" w:cs="Times New Roman"/>
          <w:kern w:val="2"/>
          <w:sz w:val="32"/>
          <w:szCs w:val="32"/>
          <w:lang w:val="en-US" w:eastAsia="zh-CN" w:bidi="ar"/>
        </w:rPr>
        <w:t>STING</w:t>
      </w:r>
      <w:r>
        <w:rPr>
          <w:rFonts w:hint="eastAsia" w:ascii="仿宋_GB2312" w:hAnsi="Times New Roman" w:eastAsia="仿宋_GB2312" w:cs="仿宋_GB2312"/>
          <w:kern w:val="2"/>
          <w:sz w:val="32"/>
          <w:szCs w:val="32"/>
          <w:lang w:val="en-US" w:eastAsia="zh-CN" w:bidi="ar"/>
        </w:rPr>
        <w:t>毒刺车型的批量生产。完成海外主要市场销售和服务网络的搭建，完成</w:t>
      </w:r>
      <w:r>
        <w:rPr>
          <w:rFonts w:hint="default" w:ascii="Times New Roman" w:hAnsi="Times New Roman" w:eastAsia="仿宋_GB2312" w:cs="Times New Roman"/>
          <w:kern w:val="2"/>
          <w:sz w:val="32"/>
          <w:szCs w:val="32"/>
          <w:lang w:val="en-US" w:eastAsia="zh-CN" w:bidi="ar"/>
        </w:rPr>
        <w:t>STING</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车型年销量</w:t>
      </w:r>
      <w:r>
        <w:rPr>
          <w:rFonts w:hint="default" w:ascii="Times New Roman" w:hAnsi="Times New Roman" w:eastAsia="仿宋_GB2312" w:cs="Times New Roman"/>
          <w:kern w:val="2"/>
          <w:sz w:val="32"/>
          <w:szCs w:val="32"/>
          <w:lang w:val="en-US" w:eastAsia="zh-CN" w:bidi="ar"/>
        </w:rPr>
        <w:t>12739</w:t>
      </w:r>
      <w:r>
        <w:rPr>
          <w:rFonts w:hint="eastAsia" w:ascii="仿宋_GB2312" w:hAnsi="Times New Roman" w:eastAsia="仿宋_GB2312" w:cs="仿宋_GB2312"/>
          <w:kern w:val="2"/>
          <w:sz w:val="32"/>
          <w:szCs w:val="32"/>
          <w:lang w:val="en-US" w:eastAsia="zh-CN" w:bidi="ar"/>
        </w:rPr>
        <w:t>台，同时完成</w:t>
      </w:r>
      <w:r>
        <w:rPr>
          <w:rFonts w:hint="default" w:ascii="Times New Roman" w:hAnsi="Times New Roman" w:eastAsia="仿宋_GB2312" w:cs="Times New Roman"/>
          <w:kern w:val="2"/>
          <w:sz w:val="32"/>
          <w:szCs w:val="32"/>
          <w:lang w:val="en-US" w:eastAsia="zh-CN" w:bidi="ar"/>
        </w:rPr>
        <w:t>STINGR</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，以及玩家</w:t>
      </w:r>
      <w:r>
        <w:rPr>
          <w:rFonts w:hint="default" w:ascii="Times New Roman" w:hAnsi="Times New Roman" w:eastAsia="仿宋_GB2312" w:cs="Times New Roman"/>
          <w:kern w:val="2"/>
          <w:sz w:val="32"/>
          <w:szCs w:val="32"/>
          <w:lang w:val="en-US" w:eastAsia="zh-CN" w:bidi="ar"/>
        </w:rPr>
        <w:t>5.0</w:t>
      </w:r>
      <w:r>
        <w:rPr>
          <w:rFonts w:hint="eastAsia" w:ascii="仿宋_GB2312" w:hAnsi="Times New Roman" w:eastAsia="仿宋_GB2312" w:cs="仿宋_GB2312"/>
          <w:kern w:val="2"/>
          <w:sz w:val="32"/>
          <w:szCs w:val="32"/>
          <w:lang w:val="en-US" w:eastAsia="zh-CN" w:bidi="ar"/>
        </w:rPr>
        <w:t>的开发。</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STINGR</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，玩家</w:t>
      </w:r>
      <w:r>
        <w:rPr>
          <w:rFonts w:hint="default" w:ascii="Times New Roman" w:hAnsi="Times New Roman" w:eastAsia="仿宋_GB2312" w:cs="Times New Roman"/>
          <w:kern w:val="2"/>
          <w:sz w:val="32"/>
          <w:szCs w:val="32"/>
          <w:lang w:val="en-US" w:eastAsia="zh-CN" w:bidi="ar"/>
        </w:rPr>
        <w:t>5.0</w:t>
      </w:r>
      <w:r>
        <w:rPr>
          <w:rFonts w:hint="eastAsia" w:ascii="仿宋_GB2312" w:hAnsi="Times New Roman" w:eastAsia="仿宋_GB2312" w:cs="仿宋_GB2312"/>
          <w:kern w:val="2"/>
          <w:sz w:val="32"/>
          <w:szCs w:val="32"/>
          <w:lang w:val="en-US" w:eastAsia="zh-CN" w:bidi="ar"/>
        </w:rPr>
        <w:t>推向市场，两款车型力争完成</w:t>
      </w:r>
      <w:r>
        <w:rPr>
          <w:rFonts w:hint="default" w:ascii="Times New Roman" w:hAnsi="Times New Roman" w:eastAsia="仿宋_GB2312" w:cs="Times New Roman"/>
          <w:kern w:val="2"/>
          <w:sz w:val="32"/>
          <w:szCs w:val="32"/>
          <w:lang w:val="en-US" w:eastAsia="zh-CN" w:bidi="ar"/>
        </w:rPr>
        <w:t>40000</w:t>
      </w:r>
      <w:r>
        <w:rPr>
          <w:rFonts w:hint="eastAsia" w:ascii="仿宋_GB2312" w:hAnsi="Times New Roman" w:eastAsia="仿宋_GB2312" w:cs="仿宋_GB2312"/>
          <w:kern w:val="2"/>
          <w:sz w:val="32"/>
          <w:szCs w:val="32"/>
          <w:lang w:val="en-US" w:eastAsia="zh-CN" w:bidi="ar"/>
        </w:rPr>
        <w:t>辆的年销量</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。虬某公司据此主张被诉侵权产品销量为</w:t>
      </w:r>
      <w:r>
        <w:rPr>
          <w:rFonts w:hint="default" w:ascii="Times New Roman" w:hAnsi="Times New Roman" w:eastAsia="仿宋_GB2312" w:cs="Times New Roman"/>
          <w:kern w:val="2"/>
          <w:sz w:val="32"/>
          <w:szCs w:val="32"/>
          <w:lang w:val="en-US" w:eastAsia="zh-CN" w:bidi="ar"/>
        </w:rPr>
        <w:t>45478</w:t>
      </w:r>
      <w:r>
        <w:rPr>
          <w:rFonts w:hint="eastAsia" w:ascii="仿宋_GB2312" w:hAnsi="Times New Roman" w:eastAsia="仿宋_GB2312" w:cs="仿宋_GB2312"/>
          <w:kern w:val="2"/>
          <w:sz w:val="32"/>
          <w:szCs w:val="32"/>
          <w:lang w:val="en-US" w:eastAsia="zh-CN" w:bidi="ar"/>
        </w:rPr>
        <w:t>台（</w:t>
      </w:r>
      <w:r>
        <w:rPr>
          <w:rFonts w:hint="default" w:ascii="Times New Roman" w:hAnsi="Times New Roman" w:eastAsia="仿宋_GB2312" w:cs="Times New Roman"/>
          <w:kern w:val="2"/>
          <w:sz w:val="32"/>
          <w:szCs w:val="32"/>
          <w:lang w:val="en-US" w:eastAsia="zh-CN" w:bidi="ar"/>
        </w:rPr>
        <w:t>12739×2+40000÷2=45478</w:t>
      </w:r>
      <w:r>
        <w:rPr>
          <w:rFonts w:hint="eastAsia" w:ascii="仿宋_GB2312" w:hAnsi="Times New Roman" w:eastAsia="仿宋_GB2312" w:cs="仿宋_GB2312"/>
          <w:kern w:val="2"/>
          <w:sz w:val="32"/>
          <w:szCs w:val="32"/>
          <w:lang w:val="en-US" w:eastAsia="zh-CN" w:bidi="ar"/>
        </w:rPr>
        <w:t>），并提交其向案外人某公司查询的海关出口数据的录屏取证的截图，证明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两年单独以探某公司名义报关出口的电动摩托车合计为</w:t>
      </w:r>
      <w:r>
        <w:rPr>
          <w:rFonts w:hint="default" w:ascii="Times New Roman" w:hAnsi="Times New Roman" w:eastAsia="仿宋_GB2312" w:cs="Times New Roman"/>
          <w:kern w:val="2"/>
          <w:sz w:val="32"/>
          <w:szCs w:val="32"/>
          <w:lang w:val="en-US" w:eastAsia="zh-CN" w:bidi="ar"/>
        </w:rPr>
        <w:t>10261</w:t>
      </w:r>
      <w:r>
        <w:rPr>
          <w:rFonts w:hint="eastAsia" w:ascii="仿宋_GB2312" w:hAnsi="Times New Roman" w:eastAsia="仿宋_GB2312" w:cs="仿宋_GB2312"/>
          <w:kern w:val="2"/>
          <w:sz w:val="32"/>
          <w:szCs w:val="32"/>
          <w:lang w:val="en-US" w:eastAsia="zh-CN" w:bidi="ar"/>
        </w:rPr>
        <w:t>辆，用以支持其计算方式的合理性。</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探某公司系有限责任公司，注册资本</w:t>
      </w:r>
      <w:r>
        <w:rPr>
          <w:rFonts w:hint="default" w:ascii="Times New Roman" w:hAnsi="Times New Roman" w:eastAsia="仿宋_GB2312" w:cs="Times New Roman"/>
          <w:kern w:val="2"/>
          <w:sz w:val="32"/>
          <w:szCs w:val="32"/>
          <w:lang w:val="en-US" w:eastAsia="zh-CN" w:bidi="ar"/>
        </w:rPr>
        <w:t>588.24</w:t>
      </w:r>
      <w:r>
        <w:rPr>
          <w:rFonts w:hint="eastAsia" w:ascii="仿宋_GB2312" w:hAnsi="Times New Roman" w:eastAsia="仿宋_GB2312" w:cs="仿宋_GB2312"/>
          <w:kern w:val="2"/>
          <w:sz w:val="32"/>
          <w:szCs w:val="32"/>
          <w:lang w:val="en-US" w:eastAsia="zh-CN" w:bidi="ar"/>
        </w:rPr>
        <w:t>万元，该公司成立于</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29</w:t>
      </w:r>
      <w:r>
        <w:rPr>
          <w:rFonts w:hint="eastAsia" w:ascii="仿宋_GB2312" w:hAnsi="Times New Roman" w:eastAsia="仿宋_GB2312" w:cs="仿宋_GB2312"/>
          <w:kern w:val="2"/>
          <w:sz w:val="32"/>
          <w:szCs w:val="32"/>
          <w:lang w:val="en-US" w:eastAsia="zh-CN" w:bidi="ar"/>
        </w:rPr>
        <w:t>日，经营范围包括：摩托车零配件制造，摩托车及零配件批发、零售，摩托车零部件研发，汽车零部件及配件制造，助动自行车、代步车及零配件销售，非公路休闲车及零配件制造、销售，电动自行车销售，助动车制造，自行车制造，模具销售，模具制造。</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探某公司持有</w:t>
      </w:r>
      <w:r>
        <w:rPr>
          <w:rFonts w:hint="default" w:ascii="Times New Roman" w:hAnsi="Times New Roman" w:eastAsia="仿宋_GB2312" w:cs="Times New Roman"/>
          <w:kern w:val="2"/>
          <w:sz w:val="32"/>
          <w:szCs w:val="32"/>
          <w:lang w:val="en-US" w:eastAsia="zh-CN" w:bidi="ar"/>
        </w:rPr>
        <w:t>5196xxxx</w:t>
      </w:r>
      <w:r>
        <w:rPr>
          <w:rFonts w:hint="eastAsia" w:ascii="仿宋_GB2312" w:hAnsi="Times New Roman" w:eastAsia="仿宋_GB2312" w:cs="仿宋_GB2312"/>
          <w:kern w:val="2"/>
          <w:sz w:val="32"/>
          <w:szCs w:val="32"/>
          <w:lang w:val="en-US" w:eastAsia="zh-CN" w:bidi="ar"/>
        </w:rPr>
        <w:t>号注册商标“</w:t>
      </w:r>
      <w:r>
        <w:rPr>
          <w:rFonts w:hint="default" w:ascii="Times New Roman" w:hAnsi="Times New Roman" w:eastAsia="仿宋_GB2312" w:cs="Times New Roman"/>
          <w:kern w:val="2"/>
          <w:sz w:val="32"/>
          <w:szCs w:val="32"/>
          <w:lang w:val="en-US" w:eastAsia="zh-CN" w:bidi="ar"/>
        </w:rPr>
        <w:t>TALARIA</w:t>
      </w:r>
      <w:r>
        <w:rPr>
          <w:rFonts w:hint="eastAsia" w:ascii="仿宋_GB2312" w:hAnsi="Times New Roman" w:eastAsia="仿宋_GB2312" w:cs="仿宋_GB2312"/>
          <w:kern w:val="2"/>
          <w:sz w:val="32"/>
          <w:szCs w:val="32"/>
          <w:lang w:val="en-US" w:eastAsia="zh-CN" w:bidi="ar"/>
        </w:rPr>
        <w:t>”，专用权期限</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日至</w:t>
      </w:r>
      <w:r>
        <w:rPr>
          <w:rFonts w:hint="default" w:ascii="Times New Roman" w:hAnsi="Times New Roman" w:eastAsia="仿宋_GB2312" w:cs="Times New Roman"/>
          <w:kern w:val="2"/>
          <w:sz w:val="32"/>
          <w:szCs w:val="32"/>
          <w:lang w:val="en-US" w:eastAsia="zh-CN" w:bidi="ar"/>
        </w:rPr>
        <w:t>2032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日，核定使用的商品</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服务范围：电动运载工具；陆、空、水或铁路用机动运载工具；摩托车车轮；摩托车；助力车；自行车；运行李推车；空中运载工具；船；运载工具用悬置减震器等。</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东某公司系法人独资有限责任公司，唯一股东为港某公司，东某公司注册资本</w:t>
      </w:r>
      <w:r>
        <w:rPr>
          <w:rFonts w:hint="default" w:ascii="Times New Roman" w:hAnsi="Times New Roman" w:eastAsia="仿宋_GB2312" w:cs="Times New Roman"/>
          <w:kern w:val="2"/>
          <w:sz w:val="32"/>
          <w:szCs w:val="32"/>
          <w:lang w:val="en-US" w:eastAsia="zh-CN" w:bidi="ar"/>
        </w:rPr>
        <w:t>8000</w:t>
      </w:r>
      <w:r>
        <w:rPr>
          <w:rFonts w:hint="eastAsia" w:ascii="仿宋_GB2312" w:hAnsi="Times New Roman" w:eastAsia="仿宋_GB2312" w:cs="仿宋_GB2312"/>
          <w:kern w:val="2"/>
          <w:sz w:val="32"/>
          <w:szCs w:val="32"/>
          <w:lang w:val="en-US" w:eastAsia="zh-CN" w:bidi="ar"/>
        </w:rPr>
        <w:t>万元，成立于</w:t>
      </w:r>
      <w:r>
        <w:rPr>
          <w:rFonts w:hint="default" w:ascii="Times New Roman" w:hAnsi="Times New Roman" w:eastAsia="仿宋_GB2312" w:cs="Times New Roman"/>
          <w:kern w:val="2"/>
          <w:sz w:val="32"/>
          <w:szCs w:val="32"/>
          <w:lang w:val="en-US" w:eastAsia="zh-CN" w:bidi="ar"/>
        </w:rPr>
        <w:t>2011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日，经营范围包括制造摩托车及发动机；制造、销售汽车零部件（不含发动机）、摩托车零部件（不含发动机）、工模、夹具通用机器零部件；销售摩托车及发动机。</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港某公司系有限责任公司，注册资本</w:t>
      </w:r>
      <w:r>
        <w:rPr>
          <w:rFonts w:hint="default" w:ascii="Times New Roman" w:hAnsi="Times New Roman" w:eastAsia="仿宋_GB2312" w:cs="Times New Roman"/>
          <w:kern w:val="2"/>
          <w:sz w:val="32"/>
          <w:szCs w:val="32"/>
          <w:lang w:val="en-US" w:eastAsia="zh-CN" w:bidi="ar"/>
        </w:rPr>
        <w:t>2000</w:t>
      </w:r>
      <w:r>
        <w:rPr>
          <w:rFonts w:hint="eastAsia" w:ascii="仿宋_GB2312" w:hAnsi="Times New Roman" w:eastAsia="仿宋_GB2312" w:cs="仿宋_GB2312"/>
          <w:kern w:val="2"/>
          <w:sz w:val="32"/>
          <w:szCs w:val="32"/>
          <w:lang w:val="en-US" w:eastAsia="zh-CN" w:bidi="ar"/>
        </w:rPr>
        <w:t>万元，成立于</w:t>
      </w:r>
      <w:r>
        <w:rPr>
          <w:rFonts w:hint="default" w:ascii="Times New Roman" w:hAnsi="Times New Roman" w:eastAsia="仿宋_GB2312" w:cs="Times New Roman"/>
          <w:kern w:val="2"/>
          <w:sz w:val="32"/>
          <w:szCs w:val="32"/>
          <w:lang w:val="en-US" w:eastAsia="zh-CN" w:bidi="ar"/>
        </w:rPr>
        <w:t>2004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日，经营范围包括范围：制造、销售助力车；制造、加工、销售摩托车零部件、汽车零部件、普通机械及配件、液压气动元件、发电机、农用机械；销售摩托车、汽车。</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九某公司系自然人独资有限责任公司，注册资本</w:t>
      </w:r>
      <w:r>
        <w:rPr>
          <w:rFonts w:hint="default" w:ascii="Times New Roman" w:hAnsi="Times New Roman" w:eastAsia="仿宋_GB2312" w:cs="Times New Roman"/>
          <w:kern w:val="2"/>
          <w:sz w:val="32"/>
          <w:szCs w:val="32"/>
          <w:lang w:val="en-US" w:eastAsia="zh-CN" w:bidi="ar"/>
        </w:rPr>
        <w:t>500</w:t>
      </w:r>
      <w:r>
        <w:rPr>
          <w:rFonts w:hint="eastAsia" w:ascii="仿宋_GB2312" w:hAnsi="Times New Roman" w:eastAsia="仿宋_GB2312" w:cs="仿宋_GB2312"/>
          <w:kern w:val="2"/>
          <w:sz w:val="32"/>
          <w:szCs w:val="32"/>
          <w:lang w:val="en-US" w:eastAsia="zh-CN" w:bidi="ar"/>
        </w:rPr>
        <w:t>万元，成立于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日，经营范围包括电动自行车销售、摩托车及零配件批发、非公路休闲车及零配件销售、电池销售。</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该院另查明，虬某公司为本案维权进行公证保全、购买被诉侵权产品、委托律师出庭，并支付了相应费用。</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为，根据查明的事实以及诉辩各方的意见，本案争议焦点为：一、被诉侵权设计是否落入涉案专利权的保护范围；二、虬某公司所主张的侵权行为是否存在；三、如果虬某公司的侵权主张成立，探某公司、东某公司、港某公司、九某公司应承担何等民事责任。</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本案系侵害外观设计专利权纠纷，</w:t>
      </w:r>
      <w:r>
        <w:rPr>
          <w:rFonts w:hint="default" w:ascii="Times New Roman" w:hAnsi="Times New Roman" w:eastAsia="仿宋_GB2312" w:cs="Times New Roman"/>
          <w:kern w:val="2"/>
          <w:sz w:val="32"/>
          <w:szCs w:val="32"/>
          <w:lang w:val="en-US" w:eastAsia="zh-CN" w:bidi="ar"/>
        </w:rPr>
        <w:t>ZL2017xxxx7820.5</w:t>
      </w:r>
      <w:r>
        <w:rPr>
          <w:rFonts w:hint="eastAsia" w:ascii="仿宋_GB2312" w:hAnsi="Times New Roman" w:eastAsia="仿宋_GB2312" w:cs="仿宋_GB2312"/>
          <w:kern w:val="2"/>
          <w:sz w:val="32"/>
          <w:szCs w:val="32"/>
          <w:lang w:val="en-US" w:eastAsia="zh-CN" w:bidi="ar"/>
        </w:rPr>
        <w:t>“轻型电动越野摩托车”外观设计专利在有效期内，专利年费已按期缴纳，法律状态稳定。虬某公司作为专利权人，依法享有本案诉权。</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专利法中的外观设计，是指对产品的整体或者局部的形状、图案或者其结合以及色彩与形状、图案的结合所作出的富有美感并适于工业应用的新设计。外观设计专利权的保护范围以表示在图片或者照片中的该产品的外观设计为准。外观设计专利权侵权判断的标准是整体观察，综合判断。本案被诉侵权产品与专利产品均为摩托车，二者属于相同种类的产品，可以进行侵权比对。外观设计专利权侵权的比对方法，应当以授权公告中表示外观设计的图片与被诉侵权的实物进行对比，判断两者是否相同或者近似。当实物的照片真实反映了物体的客观情况，也可以将照片或者图片中反映的外观设计与授权专利的图片中的外观设计进行比对。外观设计专利权侵权比对的对象是被诉侵权设计，即能够真实表现物体客观情况的照片或者图片中反映的被诉外观设计，或者以被诉侵权产品为载体，在产品正常使用状态下，被一般消费者可见的整体外观设计。</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本案中，虬某公司主张</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个比对客体，除了公证实物</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车辆，还有</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张图片。虬某公司依据</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张图片提出如下主张：</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以</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希希</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日上传在抖音的视频截图为证据，主张探某公司、东某公司制造、销售侵权车型的时间不晚于上传时间。经查，该图片无法识别车辆商标等标识，图中被诉车辆外观与公证实物不一致。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以</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峯魔</w:t>
      </w:r>
      <w:r>
        <w:rPr>
          <w:rFonts w:hint="default" w:ascii="Times New Roman" w:hAnsi="Times New Roman" w:eastAsia="仿宋_GB2312" w:cs="Times New Roman"/>
          <w:kern w:val="2"/>
          <w:sz w:val="32"/>
          <w:szCs w:val="32"/>
          <w:lang w:val="en-US" w:eastAsia="zh-CN" w:bidi="ar"/>
        </w:rPr>
        <w:t>PeakMonster”</w:t>
      </w:r>
      <w:r>
        <w:rPr>
          <w:rFonts w:hint="eastAsia" w:ascii="仿宋_GB2312" w:hAnsi="Times New Roman" w:eastAsia="仿宋_GB2312" w:cs="仿宋_GB2312"/>
          <w:kern w:val="2"/>
          <w:sz w:val="32"/>
          <w:szCs w:val="32"/>
          <w:lang w:val="en-US" w:eastAsia="zh-CN" w:bidi="ar"/>
        </w:rPr>
        <w:t>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日上传在</w:t>
      </w:r>
      <w:r>
        <w:rPr>
          <w:rFonts w:hint="default" w:ascii="Times New Roman" w:hAnsi="Times New Roman" w:eastAsia="仿宋_GB2312" w:cs="Times New Roman"/>
          <w:kern w:val="2"/>
          <w:sz w:val="32"/>
          <w:szCs w:val="32"/>
          <w:lang w:val="en-US" w:eastAsia="zh-CN" w:bidi="ar"/>
        </w:rPr>
        <w:t>B</w:t>
      </w:r>
      <w:r>
        <w:rPr>
          <w:rFonts w:hint="eastAsia" w:ascii="仿宋_GB2312" w:hAnsi="Times New Roman" w:eastAsia="仿宋_GB2312" w:cs="仿宋_GB2312"/>
          <w:kern w:val="2"/>
          <w:sz w:val="32"/>
          <w:szCs w:val="32"/>
          <w:lang w:val="en-US" w:eastAsia="zh-CN" w:bidi="ar"/>
        </w:rPr>
        <w:t>站的视频截图为证据，主张探某公司、东某公司制造、销售侵权车型的时间不晚于上传时间。</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峯魔</w:t>
      </w:r>
      <w:r>
        <w:rPr>
          <w:rFonts w:hint="default" w:ascii="Times New Roman" w:hAnsi="Times New Roman" w:eastAsia="仿宋_GB2312" w:cs="Times New Roman"/>
          <w:kern w:val="2"/>
          <w:sz w:val="32"/>
          <w:szCs w:val="32"/>
          <w:lang w:val="en-US" w:eastAsia="zh-CN" w:bidi="ar"/>
        </w:rPr>
        <w:t>PeakMonster”</w:t>
      </w:r>
      <w:r>
        <w:rPr>
          <w:rFonts w:hint="eastAsia" w:ascii="仿宋_GB2312" w:hAnsi="Times New Roman" w:eastAsia="仿宋_GB2312" w:cs="仿宋_GB2312"/>
          <w:kern w:val="2"/>
          <w:sz w:val="32"/>
          <w:szCs w:val="32"/>
          <w:lang w:val="en-US" w:eastAsia="zh-CN" w:bidi="ar"/>
        </w:rPr>
        <w:t>发贴主题为：</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轻蜂和</w:t>
      </w:r>
      <w:r>
        <w:rPr>
          <w:rFonts w:hint="default" w:ascii="Times New Roman" w:hAnsi="Times New Roman" w:eastAsia="仿宋_GB2312" w:cs="Times New Roman"/>
          <w:kern w:val="2"/>
          <w:sz w:val="32"/>
          <w:szCs w:val="32"/>
          <w:lang w:val="en-US" w:eastAsia="zh-CN" w:bidi="ar"/>
        </w:rPr>
        <w:t>2022TALARIASTING</w:t>
      </w:r>
      <w:r>
        <w:rPr>
          <w:rFonts w:hint="eastAsia" w:ascii="仿宋_GB2312" w:hAnsi="Times New Roman" w:eastAsia="仿宋_GB2312" w:cs="仿宋_GB2312"/>
          <w:kern w:val="2"/>
          <w:sz w:val="32"/>
          <w:szCs w:val="32"/>
          <w:lang w:val="en-US" w:eastAsia="zh-CN" w:bidi="ar"/>
        </w:rPr>
        <w:t>同场对比。经查，该图片未见车辆商标等标识，图中被诉车辆外观与公证实物不一致。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以</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苏州达伟精密工业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日上传在抖音的视频截图为证据，主张探某公司、东某公司制造、销售侵权车型的时间不晚于上传时间。经查，该图片车辆车身可见</w:t>
      </w:r>
      <w:r>
        <w:rPr>
          <w:rFonts w:hint="default" w:ascii="Times New Roman" w:hAnsi="Times New Roman" w:eastAsia="仿宋_GB2312" w:cs="Times New Roman"/>
          <w:kern w:val="2"/>
          <w:sz w:val="32"/>
          <w:szCs w:val="32"/>
          <w:lang w:val="en-US" w:eastAsia="zh-CN" w:bidi="ar"/>
        </w:rPr>
        <w:t>STING</w:t>
      </w:r>
      <w:r>
        <w:rPr>
          <w:rFonts w:hint="eastAsia" w:ascii="仿宋_GB2312" w:hAnsi="Times New Roman" w:eastAsia="仿宋_GB2312" w:cs="仿宋_GB2312"/>
          <w:kern w:val="2"/>
          <w:sz w:val="32"/>
          <w:szCs w:val="32"/>
          <w:lang w:val="en-US" w:eastAsia="zh-CN" w:bidi="ar"/>
        </w:rPr>
        <w:t>标识，图中被诉车辆外观与公证实物不一致。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以探某动力网站</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日发文中的图片为证据，主张探某公司、东某公司制造、销售侵权车型的时间不晚于发文时间。经查，该图中被诉车辆外观与公证实物不一致。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以</w:t>
      </w:r>
      <w:r>
        <w:rPr>
          <w:rFonts w:hint="default" w:ascii="Times New Roman" w:hAnsi="Times New Roman" w:eastAsia="仿宋_GB2312" w:cs="Times New Roman"/>
          <w:kern w:val="2"/>
          <w:sz w:val="32"/>
          <w:szCs w:val="32"/>
          <w:lang w:val="en-US" w:eastAsia="zh-CN" w:bidi="ar"/>
        </w:rPr>
        <w:t>“@yang</w:t>
      </w:r>
      <w:r>
        <w:rPr>
          <w:rFonts w:hint="eastAsia" w:ascii="仿宋_GB2312" w:hAnsi="Times New Roman" w:eastAsia="仿宋_GB2312" w:cs="仿宋_GB2312"/>
          <w:kern w:val="2"/>
          <w:sz w:val="32"/>
          <w:szCs w:val="32"/>
          <w:lang w:val="en-US" w:eastAsia="zh-CN" w:bidi="ar"/>
        </w:rPr>
        <w:t>小杰</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抖音主页</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日图片为证据，主张探某公司、东某公司制造、销售侵权车型的时间不晚于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日。经查，该图片未见车辆商标等标识，图中被诉车辆外观与公证实物不一致。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以</w:t>
      </w:r>
      <w:r>
        <w:rPr>
          <w:rFonts w:hint="default" w:ascii="Times New Roman" w:hAnsi="Times New Roman" w:eastAsia="仿宋_GB2312" w:cs="Times New Roman"/>
          <w:kern w:val="2"/>
          <w:sz w:val="32"/>
          <w:szCs w:val="32"/>
          <w:lang w:val="en-US" w:eastAsia="zh-CN" w:bidi="ar"/>
        </w:rPr>
        <w:t>www.talaria.cn</w:t>
      </w:r>
      <w:r>
        <w:rPr>
          <w:rFonts w:hint="eastAsia" w:ascii="仿宋_GB2312" w:hAnsi="Times New Roman" w:eastAsia="仿宋_GB2312" w:cs="仿宋_GB2312"/>
          <w:kern w:val="2"/>
          <w:sz w:val="32"/>
          <w:szCs w:val="32"/>
          <w:lang w:val="en-US" w:eastAsia="zh-CN" w:bidi="ar"/>
        </w:rPr>
        <w:t>网站截图为证据，主张探某公司、东某公司制造、销售侵权车型及探某公司许诺销售侵权车型的时间不晚于取证时间</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日。经查，该图片中车辆车身可见</w:t>
      </w:r>
      <w:r>
        <w:rPr>
          <w:rFonts w:hint="default" w:ascii="Times New Roman" w:hAnsi="Times New Roman" w:eastAsia="仿宋_GB2312" w:cs="Times New Roman"/>
          <w:kern w:val="2"/>
          <w:sz w:val="32"/>
          <w:szCs w:val="32"/>
          <w:lang w:val="en-US" w:eastAsia="zh-CN" w:bidi="ar"/>
        </w:rPr>
        <w:t>STING</w:t>
      </w:r>
      <w:r>
        <w:rPr>
          <w:rFonts w:hint="eastAsia" w:ascii="仿宋_GB2312" w:hAnsi="Times New Roman" w:eastAsia="仿宋_GB2312" w:cs="仿宋_GB2312"/>
          <w:kern w:val="2"/>
          <w:sz w:val="32"/>
          <w:szCs w:val="32"/>
          <w:lang w:val="en-US" w:eastAsia="zh-CN" w:bidi="ar"/>
        </w:rPr>
        <w:t>标识，页面有显著</w:t>
      </w:r>
      <w:r>
        <w:rPr>
          <w:rFonts w:hint="default" w:ascii="Times New Roman" w:hAnsi="Times New Roman" w:eastAsia="仿宋_GB2312" w:cs="Times New Roman"/>
          <w:kern w:val="2"/>
          <w:sz w:val="32"/>
          <w:szCs w:val="32"/>
          <w:lang w:val="en-US" w:eastAsia="zh-CN" w:bidi="ar"/>
        </w:rPr>
        <w:t>TALARIASTINGMX</w:t>
      </w:r>
      <w:r>
        <w:rPr>
          <w:rFonts w:hint="eastAsia" w:ascii="仿宋_GB2312" w:hAnsi="Times New Roman" w:eastAsia="仿宋_GB2312" w:cs="仿宋_GB2312"/>
          <w:kern w:val="2"/>
          <w:sz w:val="32"/>
          <w:szCs w:val="32"/>
          <w:lang w:val="en-US" w:eastAsia="zh-CN" w:bidi="ar"/>
        </w:rPr>
        <w:t>字样，图中车辆外观与公证实物不一致。</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一审法院认为，虬某公司用以主张侵权的</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张图片为不同摩托车的单一视角，各图中均未展示车辆的整体情况，是不同主体在不同平台上传的不同车辆图片，在案证据亦不足以证明该</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图是针对同一特定车辆，该</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图均未完整反映图中车辆的外观设计，不存在完整的比对对象，不具备外观设计专利侵权判断所需的整体观察条件。故对虬某公司据</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图所提主张，均不予支持。虬某公司主张其一审当庭组装的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车辆是被诉侵权产品，探某公司、东某公司确认该车辆外观与其销售展示的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车外观一致，亦与虬某公司用于主张被诉侵权行为所提交的图片中的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车外观一致，该院认为该车辆所承载的整体外观设计即是侵权比对对象，故对虬某公司认为专利权保护范围以表示在授权公告图片或者照片中的该产品的外观设计为准，应该排除授权设计中没有的部件后进行侵权比对的主张不予支持。</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人民法院应当以外观设计专利产品的一般消费者的知识水平和认知能力，判断外观设计是否相同或者近似。专利法意义上的一般消费者是指对相关设计状况具有常识性了解，且对不同外观设计之间在形状、图案、色彩上的差别具有分辨力的人，但是通常不会注意到形状、图案、色彩的微小变化。一般消费者是法律虚拟的一个概念，其所具有的常识性了解与日常生活中的某个具体消费者并不一致，也与虬某公司主张的涉案网页、视频评论者不一致。从虬某公司主张的涉案网页、视频及评论内容看，评论者是将虬某公司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轻蜂</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车与</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车进行比较，而非将涉案专利与被诉的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车外观设计进行比较，此中并不具备外观设计专利侵权纠纷中的比对基础，与本案不存在关联性，故虬某公司将涉案网页、视频及评论内容中的近似性判断作为一般消费者的认知判断结论之主张，该院不予支持。</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人民法院判断外观设计是否相同或者近似时，应当根据授权设计、被诉设计的设计特征，以外观设计的整体视觉效果进行综合判断。授权设计的设计特征是体现其不同于现有设计的创新内容，对设计特征的认定，应当由专利权人对其所主张的设计特征进行举证。人民法院在听取各方当事人质证意见基础上，对证据进行充分审查，依法确定授权外观设计的设计特征。本案中，涉案专利的设计要点在于整体形状，据其专利权评价报告及被诉方提交的在先设计文件，涉案专利的整体车身布局属于惯常设计，但是在整车及零部件（车架、覆盖件、机仓、车座、轮毂、仪表、车灯、车把、挡泥板、减震器等）的形状、图案或者其结合以及色彩与形状、图案的结合，以及零部件取舍、相互位置关系的设计上，存在较大的设计空间。其中，</w:t>
      </w:r>
      <w:r>
        <w:rPr>
          <w:rFonts w:hint="default" w:ascii="Times New Roman" w:hAnsi="Times New Roman" w:eastAsia="仿宋_GB2312" w:cs="Times New Roman"/>
          <w:kern w:val="2"/>
          <w:sz w:val="32"/>
          <w:szCs w:val="32"/>
          <w:lang w:val="en-US" w:eastAsia="zh-CN" w:bidi="ar"/>
        </w:rPr>
        <w:t>⑴</w:t>
      </w:r>
      <w:r>
        <w:rPr>
          <w:rFonts w:hint="eastAsia" w:ascii="仿宋_GB2312" w:hAnsi="Times New Roman" w:eastAsia="仿宋_GB2312" w:cs="仿宋_GB2312"/>
          <w:kern w:val="2"/>
          <w:sz w:val="32"/>
          <w:szCs w:val="32"/>
          <w:lang w:val="en-US" w:eastAsia="zh-CN" w:bidi="ar"/>
        </w:rPr>
        <w:t>从左、右、仰、俯视图看，车身扁平、车身两侧平直；</w:t>
      </w:r>
      <w:r>
        <w:rPr>
          <w:rFonts w:hint="default" w:ascii="Times New Roman" w:hAnsi="Times New Roman" w:eastAsia="仿宋_GB2312" w:cs="Times New Roman"/>
          <w:kern w:val="2"/>
          <w:sz w:val="32"/>
          <w:szCs w:val="32"/>
          <w:lang w:val="en-US" w:eastAsia="zh-CN" w:bidi="ar"/>
        </w:rPr>
        <w:t>⑵</w:t>
      </w:r>
      <w:r>
        <w:rPr>
          <w:rFonts w:hint="eastAsia" w:ascii="仿宋_GB2312" w:hAnsi="Times New Roman" w:eastAsia="仿宋_GB2312" w:cs="仿宋_GB2312"/>
          <w:kern w:val="2"/>
          <w:sz w:val="32"/>
          <w:szCs w:val="32"/>
          <w:lang w:val="en-US" w:eastAsia="zh-CN" w:bidi="ar"/>
        </w:rPr>
        <w:t>外露的车架构件采用旋转切削；</w:t>
      </w:r>
      <w:r>
        <w:rPr>
          <w:rFonts w:hint="default" w:ascii="Times New Roman" w:hAnsi="Times New Roman" w:eastAsia="仿宋_GB2312" w:cs="Times New Roman"/>
          <w:kern w:val="2"/>
          <w:sz w:val="32"/>
          <w:szCs w:val="32"/>
          <w:lang w:val="en-US" w:eastAsia="zh-CN" w:bidi="ar"/>
        </w:rPr>
        <w:t>⑶</w:t>
      </w:r>
      <w:r>
        <w:rPr>
          <w:rFonts w:hint="eastAsia" w:ascii="仿宋_GB2312" w:hAnsi="Times New Roman" w:eastAsia="仿宋_GB2312" w:cs="仿宋_GB2312"/>
          <w:kern w:val="2"/>
          <w:sz w:val="32"/>
          <w:szCs w:val="32"/>
          <w:lang w:val="en-US" w:eastAsia="zh-CN" w:bidi="ar"/>
        </w:rPr>
        <w:t>从授权专利主视图角度看，平叉长臂、减震器、车架上梁三者近乎一直线，减震器近乎全长可见；</w:t>
      </w:r>
      <w:r>
        <w:rPr>
          <w:rFonts w:hint="default" w:ascii="Times New Roman" w:hAnsi="Times New Roman" w:eastAsia="仿宋_GB2312" w:cs="Times New Roman"/>
          <w:kern w:val="2"/>
          <w:sz w:val="32"/>
          <w:szCs w:val="32"/>
          <w:lang w:val="en-US" w:eastAsia="zh-CN" w:bidi="ar"/>
        </w:rPr>
        <w:t>⑷</w:t>
      </w:r>
      <w:r>
        <w:rPr>
          <w:rFonts w:hint="eastAsia" w:ascii="仿宋_GB2312" w:hAnsi="Times New Roman" w:eastAsia="仿宋_GB2312" w:cs="仿宋_GB2312"/>
          <w:kern w:val="2"/>
          <w:sz w:val="32"/>
          <w:szCs w:val="32"/>
          <w:lang w:val="en-US" w:eastAsia="zh-CN" w:bidi="ar"/>
        </w:rPr>
        <w:t>完全外露的</w:t>
      </w:r>
      <w:r>
        <w:rPr>
          <w:rFonts w:hint="default" w:ascii="Times New Roman" w:hAnsi="Times New Roman" w:eastAsia="仿宋_GB2312" w:cs="Times New Roman"/>
          <w:kern w:val="2"/>
          <w:sz w:val="32"/>
          <w:szCs w:val="32"/>
          <w:lang w:val="en-US" w:eastAsia="zh-CN" w:bidi="ar"/>
        </w:rPr>
        <w:t>“H”</w:t>
      </w:r>
      <w:r>
        <w:rPr>
          <w:rFonts w:hint="eastAsia" w:ascii="仿宋_GB2312" w:hAnsi="Times New Roman" w:eastAsia="仿宋_GB2312" w:cs="仿宋_GB2312"/>
          <w:kern w:val="2"/>
          <w:sz w:val="32"/>
          <w:szCs w:val="32"/>
          <w:lang w:val="en-US" w:eastAsia="zh-CN" w:bidi="ar"/>
        </w:rPr>
        <w:t>形转向轴连杆和前叉上部结构等设计特点均已经在授权设计申请日之前公开。授权设计采用四色图强化表达其与诸多在先设计的区别设计特征，主要有：</w:t>
      </w:r>
      <w:r>
        <w:rPr>
          <w:rFonts w:hint="default" w:ascii="Times New Roman" w:hAnsi="Times New Roman" w:eastAsia="仿宋_GB2312" w:cs="Times New Roman"/>
          <w:kern w:val="2"/>
          <w:sz w:val="32"/>
          <w:szCs w:val="32"/>
          <w:lang w:val="en-US" w:eastAsia="zh-CN" w:bidi="ar"/>
        </w:rPr>
        <w:t>①</w:t>
      </w:r>
      <w:r>
        <w:rPr>
          <w:rFonts w:hint="eastAsia" w:ascii="仿宋_GB2312" w:hAnsi="Times New Roman" w:eastAsia="仿宋_GB2312" w:cs="仿宋_GB2312"/>
          <w:kern w:val="2"/>
          <w:sz w:val="32"/>
          <w:szCs w:val="32"/>
          <w:lang w:val="en-US" w:eastAsia="zh-CN" w:bidi="ar"/>
        </w:rPr>
        <w:t>前后轮没有挡泥板设计；</w:t>
      </w:r>
      <w:r>
        <w:rPr>
          <w:rFonts w:hint="default" w:ascii="Times New Roman" w:hAnsi="Times New Roman" w:eastAsia="仿宋_GB2312" w:cs="Times New Roman"/>
          <w:kern w:val="2"/>
          <w:sz w:val="32"/>
          <w:szCs w:val="32"/>
          <w:lang w:val="en-US" w:eastAsia="zh-CN" w:bidi="ar"/>
        </w:rPr>
        <w:t>②</w:t>
      </w:r>
      <w:r>
        <w:rPr>
          <w:rFonts w:hint="eastAsia" w:ascii="仿宋_GB2312" w:hAnsi="Times New Roman" w:eastAsia="仿宋_GB2312" w:cs="仿宋_GB2312"/>
          <w:kern w:val="2"/>
          <w:sz w:val="32"/>
          <w:szCs w:val="32"/>
          <w:lang w:val="en-US" w:eastAsia="zh-CN" w:bidi="ar"/>
        </w:rPr>
        <w:t>前叉下段有</w:t>
      </w:r>
      <w:r>
        <w:rPr>
          <w:rFonts w:hint="default" w:ascii="Times New Roman" w:hAnsi="Times New Roman" w:eastAsia="仿宋_GB2312" w:cs="Times New Roman"/>
          <w:kern w:val="2"/>
          <w:sz w:val="32"/>
          <w:szCs w:val="32"/>
          <w:lang w:val="en-US" w:eastAsia="zh-CN" w:bidi="ar"/>
        </w:rPr>
        <w:t>“n”</w:t>
      </w:r>
      <w:r>
        <w:rPr>
          <w:rFonts w:hint="eastAsia" w:ascii="仿宋_GB2312" w:hAnsi="Times New Roman" w:eastAsia="仿宋_GB2312" w:cs="仿宋_GB2312"/>
          <w:kern w:val="2"/>
          <w:sz w:val="32"/>
          <w:szCs w:val="32"/>
          <w:lang w:val="en-US" w:eastAsia="zh-CN" w:bidi="ar"/>
        </w:rPr>
        <w:t>形保护套设计；</w:t>
      </w:r>
      <w:r>
        <w:rPr>
          <w:rFonts w:hint="default" w:ascii="Times New Roman" w:hAnsi="Times New Roman" w:eastAsia="仿宋_GB2312" w:cs="Times New Roman"/>
          <w:kern w:val="2"/>
          <w:sz w:val="32"/>
          <w:szCs w:val="32"/>
          <w:lang w:val="en-US" w:eastAsia="zh-CN" w:bidi="ar"/>
        </w:rPr>
        <w:t>③</w:t>
      </w:r>
      <w:r>
        <w:rPr>
          <w:rFonts w:hint="eastAsia" w:ascii="仿宋_GB2312" w:hAnsi="Times New Roman" w:eastAsia="仿宋_GB2312" w:cs="仿宋_GB2312"/>
          <w:kern w:val="2"/>
          <w:sz w:val="32"/>
          <w:szCs w:val="32"/>
          <w:lang w:val="en-US" w:eastAsia="zh-CN" w:bidi="ar"/>
        </w:rPr>
        <w:t>近似斜四棱柱体的机仓设计（电池仓及仓盖、电机及防护板、电控，及上述部分车架所形成的紧凑结构）；</w:t>
      </w:r>
      <w:r>
        <w:rPr>
          <w:rFonts w:hint="default" w:ascii="Times New Roman" w:hAnsi="Times New Roman" w:eastAsia="仿宋_GB2312" w:cs="Times New Roman"/>
          <w:kern w:val="2"/>
          <w:sz w:val="32"/>
          <w:szCs w:val="32"/>
          <w:lang w:val="en-US" w:eastAsia="zh-CN" w:bidi="ar"/>
        </w:rPr>
        <w:t>④</w:t>
      </w:r>
      <w:r>
        <w:rPr>
          <w:rFonts w:hint="eastAsia" w:ascii="仿宋_GB2312" w:hAnsi="Times New Roman" w:eastAsia="仿宋_GB2312" w:cs="仿宋_GB2312"/>
          <w:kern w:val="2"/>
          <w:sz w:val="32"/>
          <w:szCs w:val="32"/>
          <w:lang w:val="en-US" w:eastAsia="zh-CN" w:bidi="ar"/>
        </w:rPr>
        <w:t>车身两侧的近似菱形车架，车架上梁止于电机之前，车架构件和平叉构件均采用旋转切削设计；</w:t>
      </w:r>
      <w:r>
        <w:rPr>
          <w:rFonts w:hint="default" w:ascii="Times New Roman" w:hAnsi="Times New Roman" w:eastAsia="仿宋_GB2312" w:cs="Times New Roman"/>
          <w:kern w:val="2"/>
          <w:sz w:val="32"/>
          <w:szCs w:val="32"/>
          <w:lang w:val="en-US" w:eastAsia="zh-CN" w:bidi="ar"/>
        </w:rPr>
        <w:t>⑤</w:t>
      </w:r>
      <w:r>
        <w:rPr>
          <w:rFonts w:hint="eastAsia" w:ascii="仿宋_GB2312" w:hAnsi="Times New Roman" w:eastAsia="仿宋_GB2312" w:cs="仿宋_GB2312"/>
          <w:kern w:val="2"/>
          <w:sz w:val="32"/>
          <w:szCs w:val="32"/>
          <w:lang w:val="en-US" w:eastAsia="zh-CN" w:bidi="ar"/>
        </w:rPr>
        <w:t>长舌状座垫通过</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形座垫支架固定于车架上斜梁上半部，</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形支架视觉效果显著且明显独立于机仓，座垫游离于机仓设计；</w:t>
      </w:r>
      <w:r>
        <w:rPr>
          <w:rFonts w:hint="default" w:ascii="Times New Roman" w:hAnsi="Times New Roman" w:eastAsia="仿宋_GB2312" w:cs="Times New Roman"/>
          <w:kern w:val="2"/>
          <w:sz w:val="32"/>
          <w:szCs w:val="32"/>
          <w:lang w:val="en-US" w:eastAsia="zh-CN" w:bidi="ar"/>
        </w:rPr>
        <w:t>⑥</w:t>
      </w:r>
      <w:r>
        <w:rPr>
          <w:rFonts w:hint="eastAsia" w:ascii="仿宋_GB2312" w:hAnsi="Times New Roman" w:eastAsia="仿宋_GB2312" w:cs="仿宋_GB2312"/>
          <w:kern w:val="2"/>
          <w:sz w:val="32"/>
          <w:szCs w:val="32"/>
          <w:lang w:val="en-US" w:eastAsia="zh-CN" w:bidi="ar"/>
        </w:rPr>
        <w:t>从主视图看，平叉长臂、减震器、车架上梁三者近乎一直线，减震器近乎全长可见，</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座垫支架构件、减震器、车架上斜边三者呈现</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个</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形设计。</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将虬某公司一审当庭组装的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车辆的外观设计与涉案专利进行比对，从一般消费者的角度看，两者在车身布置上均采用两轮摩托车的惯常设计，车辆的两侧、前后部及上部是在正常使用中容易直接观察到的部位。两者存在以下主要区别，</w:t>
      </w:r>
      <w:r>
        <w:rPr>
          <w:rFonts w:hint="default" w:ascii="Times New Roman" w:hAnsi="Times New Roman" w:eastAsia="仿宋_GB2312" w:cs="Times New Roman"/>
          <w:kern w:val="2"/>
          <w:sz w:val="32"/>
          <w:szCs w:val="32"/>
          <w:lang w:val="en-US" w:eastAsia="zh-CN" w:bidi="ar"/>
        </w:rPr>
        <w:t>A.</w:t>
      </w:r>
      <w:r>
        <w:rPr>
          <w:rFonts w:hint="eastAsia" w:ascii="仿宋_GB2312" w:hAnsi="Times New Roman" w:eastAsia="仿宋_GB2312" w:cs="仿宋_GB2312"/>
          <w:kern w:val="2"/>
          <w:sz w:val="32"/>
          <w:szCs w:val="32"/>
          <w:lang w:val="en-US" w:eastAsia="zh-CN" w:bidi="ar"/>
        </w:rPr>
        <w:t>机仓及座垫，被诉侵权设计的两侧车架均采用双上梁，上梁止于电机之后，仅在车架下斜梁采用旋转切削设计，电池仓盖后部延伸至座垫前部下方且与座垫前部紧密结合，电池仓及仓盖、电机及防护板、电控，及上述部分车架所形成的紧凑结构，构成近似直角梯形棱柱体的机仓，座垫紧密结合于机仓后上部的设计，没有视觉效果显著且明显独立于机仓的</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形座垫支架，与涉案专利的该区域设计完全不同，被诉侵权设计不具有涉案专利的区别设计特征</w:t>
      </w:r>
      <w:r>
        <w:rPr>
          <w:rFonts w:hint="default" w:ascii="Times New Roman" w:hAnsi="Times New Roman" w:eastAsia="仿宋_GB2312" w:cs="Times New Roman"/>
          <w:kern w:val="2"/>
          <w:sz w:val="32"/>
          <w:szCs w:val="32"/>
          <w:lang w:val="en-US" w:eastAsia="zh-CN" w:bidi="ar"/>
        </w:rPr>
        <w:t>③</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④</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⑤</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B.</w:t>
      </w:r>
      <w:r>
        <w:rPr>
          <w:rFonts w:hint="eastAsia" w:ascii="仿宋_GB2312" w:hAnsi="Times New Roman" w:eastAsia="仿宋_GB2312" w:cs="仿宋_GB2312"/>
          <w:kern w:val="2"/>
          <w:sz w:val="32"/>
          <w:szCs w:val="32"/>
          <w:lang w:val="en-US" w:eastAsia="zh-CN" w:bidi="ar"/>
        </w:rPr>
        <w:t>被诉侵权设计前叉未设</w:t>
      </w:r>
      <w:r>
        <w:rPr>
          <w:rFonts w:hint="default" w:ascii="Times New Roman" w:hAnsi="Times New Roman" w:eastAsia="仿宋_GB2312" w:cs="Times New Roman"/>
          <w:kern w:val="2"/>
          <w:sz w:val="32"/>
          <w:szCs w:val="32"/>
          <w:lang w:val="en-US" w:eastAsia="zh-CN" w:bidi="ar"/>
        </w:rPr>
        <w:t>“n”</w:t>
      </w:r>
      <w:r>
        <w:rPr>
          <w:rFonts w:hint="eastAsia" w:ascii="仿宋_GB2312" w:hAnsi="Times New Roman" w:eastAsia="仿宋_GB2312" w:cs="仿宋_GB2312"/>
          <w:kern w:val="2"/>
          <w:sz w:val="32"/>
          <w:szCs w:val="32"/>
          <w:lang w:val="en-US" w:eastAsia="zh-CN" w:bidi="ar"/>
        </w:rPr>
        <w:t>形保护套，不具有涉案专利的区别设计特征</w:t>
      </w:r>
      <w:r>
        <w:rPr>
          <w:rFonts w:hint="default" w:ascii="Times New Roman" w:hAnsi="Times New Roman" w:eastAsia="仿宋_GB2312" w:cs="Times New Roman"/>
          <w:kern w:val="2"/>
          <w:sz w:val="32"/>
          <w:szCs w:val="32"/>
          <w:lang w:val="en-US" w:eastAsia="zh-CN" w:bidi="ar"/>
        </w:rPr>
        <w:t>②</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C.</w:t>
      </w:r>
      <w:r>
        <w:rPr>
          <w:rFonts w:hint="eastAsia" w:ascii="仿宋_GB2312" w:hAnsi="Times New Roman" w:eastAsia="仿宋_GB2312" w:cs="仿宋_GB2312"/>
          <w:kern w:val="2"/>
          <w:sz w:val="32"/>
          <w:szCs w:val="32"/>
          <w:lang w:val="en-US" w:eastAsia="zh-CN" w:bidi="ar"/>
        </w:rPr>
        <w:t>被诉侵权设计具有涉案专利中没有却显而易见的前轮挡泥板，照明大灯及前转向灯总成，车把两侧的后视镜及车把中间的显示屏，链条护罩，自座垫尾部延伸的饰件及固定在饰件尾部的后转向灯、后警示灯、刹车灯、牌照框等设计。</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人民法院在认定一般消费者对于外观设计所具有的知识水平和认知能力时，一般应当考虑被诉侵权行为发生时授权外观设计所属相同或者相近种类产品的设计空间。据在案证据，被诉侵权行为发生时间不早于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月。探某公司、东某公司提交了申请日在涉案专利申请日之后至被诉侵权行为发生之前的</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份两轮摩托车外观设计专利文件，其中不乏在授权外观设计基础上直接添加了前后轮挡泥板和后警示灯、后视镜、大的前照明灯、显示屏、座垫尾部饰件、支脚架并剔除</w:t>
      </w:r>
      <w:r>
        <w:rPr>
          <w:rFonts w:hint="default" w:ascii="Times New Roman" w:hAnsi="Times New Roman" w:eastAsia="仿宋_GB2312" w:cs="Times New Roman"/>
          <w:kern w:val="2"/>
          <w:sz w:val="32"/>
          <w:szCs w:val="32"/>
          <w:lang w:val="en-US" w:eastAsia="zh-CN" w:bidi="ar"/>
        </w:rPr>
        <w:t>“n”</w:t>
      </w:r>
      <w:r>
        <w:rPr>
          <w:rFonts w:hint="eastAsia" w:ascii="仿宋_GB2312" w:hAnsi="Times New Roman" w:eastAsia="仿宋_GB2312" w:cs="仿宋_GB2312"/>
          <w:kern w:val="2"/>
          <w:sz w:val="32"/>
          <w:szCs w:val="32"/>
          <w:lang w:val="en-US" w:eastAsia="zh-CN" w:bidi="ar"/>
        </w:rPr>
        <w:t>形保护套的整车外观设计专利。由此可见，两轮摩托车产品在被诉侵权行为发生时整车外观设计的空间已经较涉案专利申请日拥挤，设计空间并不大，一般消费者通常容易注意到不同设计之间的较小区别。另外，一般消费者在购买高价值商品时，通常会对商品的商标、外观等施以较低价值商品更多的注意力。以摩托车产品一般消费者对于外观设计所具有的知识水平和认知能力，对被诉侵权设计与涉案专利进行整体观察，两者的外观设计之间存在主要区别</w:t>
      </w:r>
      <w:r>
        <w:rPr>
          <w:rFonts w:hint="default" w:ascii="Times New Roman" w:hAnsi="Times New Roman" w:eastAsia="仿宋_GB2312" w:cs="Times New Roman"/>
          <w:kern w:val="2"/>
          <w:sz w:val="32"/>
          <w:szCs w:val="32"/>
          <w:lang w:val="en-US" w:eastAsia="zh-CN" w:bidi="ar"/>
        </w:rPr>
        <w:t>A</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B</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C</w:t>
      </w:r>
      <w:r>
        <w:rPr>
          <w:rFonts w:hint="eastAsia" w:ascii="仿宋_GB2312" w:hAnsi="Times New Roman" w:eastAsia="仿宋_GB2312" w:cs="仿宋_GB2312"/>
          <w:kern w:val="2"/>
          <w:sz w:val="32"/>
          <w:szCs w:val="32"/>
          <w:lang w:val="en-US" w:eastAsia="zh-CN" w:bidi="ar"/>
        </w:rPr>
        <w:t>，均容易被直接观察到，整体视觉效果差异显著，故该院认为被诉侵权设计与涉案专利不相同也不近似，未落入涉案专利权的保护范围。</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鉴于被诉侵权设计未落入涉案专利权的保护范围，虬某公司主张的要求停止侵害、赔偿损失等诉讼请求无事实和法律依据，该院不予支持。一审法院依照《中华人民共和国专利法》第十一条第二款、第六十四条第二款、第七十一条，《最高人民法院关于审理侵犯专利权纠纷案件应用法律若干问题的解释》第八条、第十条、第十一条，《最高人民法院关于审理侵犯专利权纠纷案件应用法律若干问题的解释（二）》第十四条，《中华人民共和国民事诉讼法》第六十七条规定，于</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日判决：驳回虬某公司的全部诉讼请求。一审案件受理费</w:t>
      </w:r>
      <w:r>
        <w:rPr>
          <w:rFonts w:hint="default" w:ascii="Times New Roman" w:hAnsi="Times New Roman" w:eastAsia="仿宋_GB2312" w:cs="Times New Roman"/>
          <w:kern w:val="2"/>
          <w:sz w:val="32"/>
          <w:szCs w:val="32"/>
          <w:lang w:val="en-US" w:eastAsia="zh-CN" w:bidi="ar"/>
        </w:rPr>
        <w:t>292601</w:t>
      </w:r>
      <w:r>
        <w:rPr>
          <w:rFonts w:hint="eastAsia" w:ascii="仿宋_GB2312" w:hAnsi="Times New Roman" w:eastAsia="仿宋_GB2312" w:cs="仿宋_GB2312"/>
          <w:kern w:val="2"/>
          <w:sz w:val="32"/>
          <w:szCs w:val="32"/>
          <w:lang w:val="en-US" w:eastAsia="zh-CN" w:bidi="ar"/>
        </w:rPr>
        <w:t>元，财产保全费</w:t>
      </w:r>
      <w:r>
        <w:rPr>
          <w:rFonts w:hint="default" w:ascii="Times New Roman" w:hAnsi="Times New Roman" w:eastAsia="仿宋_GB2312" w:cs="Times New Roman"/>
          <w:kern w:val="2"/>
          <w:sz w:val="32"/>
          <w:szCs w:val="32"/>
          <w:lang w:val="en-US" w:eastAsia="zh-CN" w:bidi="ar"/>
        </w:rPr>
        <w:t>5000</w:t>
      </w:r>
      <w:r>
        <w:rPr>
          <w:rFonts w:hint="eastAsia" w:ascii="仿宋_GB2312" w:hAnsi="Times New Roman" w:eastAsia="仿宋_GB2312" w:cs="仿宋_GB2312"/>
          <w:kern w:val="2"/>
          <w:sz w:val="32"/>
          <w:szCs w:val="32"/>
          <w:lang w:val="en-US" w:eastAsia="zh-CN" w:bidi="ar"/>
        </w:rPr>
        <w:t>元，由虬某公司负担。</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二审中，虬某公司向本院提交了以下证据：证据</w:t>
      </w:r>
      <w:r>
        <w:rPr>
          <w:rFonts w:hint="default" w:ascii="Times New Roman" w:hAnsi="Times New Roman" w:eastAsia="仿宋_GB2312" w:cs="Times New Roman"/>
          <w:kern w:val="2"/>
          <w:sz w:val="32"/>
          <w:szCs w:val="32"/>
          <w:lang w:val="en-US" w:eastAsia="zh-CN" w:bidi="ar"/>
        </w:rPr>
        <w:t>1-23.</w:t>
      </w:r>
      <w:r>
        <w:rPr>
          <w:rFonts w:hint="eastAsia" w:ascii="仿宋_GB2312" w:hAnsi="Times New Roman" w:eastAsia="仿宋_GB2312" w:cs="仿宋_GB2312"/>
          <w:kern w:val="2"/>
          <w:sz w:val="32"/>
          <w:szCs w:val="32"/>
          <w:lang w:val="en-US" w:eastAsia="zh-CN" w:bidi="ar"/>
        </w:rPr>
        <w:t>外观设计专利文本共</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份，拟证明被诉侵权行为发生时，电动摩托车类产品设计空间大，设计特征上的细微差异对整体视觉效果影响小；一审判决对涉案专利设计要点认定错误；被诉侵权产品增加的车头大灯、挡泥板等属于该类产品的常规部件，对整体视觉效果影响小。证据</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涉案专利与被诉侵权设计重叠动画，拟证明两者外观近似。</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经质证，探某公司、东某公司、港某公司认为，证据</w:t>
      </w:r>
      <w:r>
        <w:rPr>
          <w:rFonts w:hint="default" w:ascii="Times New Roman" w:hAnsi="Times New Roman" w:eastAsia="仿宋_GB2312" w:cs="Times New Roman"/>
          <w:kern w:val="2"/>
          <w:sz w:val="32"/>
          <w:szCs w:val="32"/>
          <w:lang w:val="en-US" w:eastAsia="zh-CN" w:bidi="ar"/>
        </w:rPr>
        <w:t>1-23</w:t>
      </w:r>
      <w:r>
        <w:rPr>
          <w:rFonts w:hint="eastAsia" w:ascii="仿宋_GB2312" w:hAnsi="Times New Roman" w:eastAsia="仿宋_GB2312" w:cs="仿宋_GB2312"/>
          <w:kern w:val="2"/>
          <w:sz w:val="32"/>
          <w:szCs w:val="32"/>
          <w:lang w:val="en-US" w:eastAsia="zh-CN" w:bidi="ar"/>
        </w:rPr>
        <w:t>均不属于新证据，真实性无法核实。该些专利不能用于评价涉案专利的设计空间及设计要点，摩托车配件都是显性外观，对整体视觉效果具有显著影响。证据</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真实性有待核实，关联性和证明目的不认可，视频里的图片无法看出被诉侵权车辆各角度视图，应以实物作为比对对象。九某公司同意探某公司、东某公司、港某公司的质证意见，并认为证据</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视频中主要展示产品后视图，而涉案专利最能表明设计要点的图片或照片为立体图，不宜用视频中的产品进行侵权比对。</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探某公司、东某公司向本院提交了以下证据：证据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现有设计专利文本</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份；证据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国内外网站摩托车现有设计网页截图</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份；证据</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国内外网站摩托车现有设计录屏取证光盘及电子数据保管单；证据</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电子数据保管单打印件。证据</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拟共同证明涉案专利的设计要点在于腹部车架的具体形状、车座支撑件的具体形状外观、车头部分等车辆部件的局部设计；电动摩托车类产品的外观设计空间较小。</w:t>
      </w:r>
    </w:p>
    <w:p>
      <w:pPr>
        <w:keepNext w:val="0"/>
        <w:keepLines w:val="0"/>
        <w:widowControl w:val="0"/>
        <w:suppressLineNumbers w:val="0"/>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经质证，虬某公司对证据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真实性认可，关联性和证明目的不认可；其中关于自行车的专利不能证明电动摩托车的设计空间，两者消费渠道和群体均不同；涉案专利的创新程度高，说明涉案产品的设计空间大。证据</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都是外文文件，没有翻译件，真实性不予认可。港某公司、九某公司对探某公司、东某公司提交的证据三性均无异议。</w:t>
      </w:r>
    </w:p>
    <w:p>
      <w:pPr>
        <w:keepNext w:val="0"/>
        <w:keepLines w:val="0"/>
        <w:widowControl/>
        <w:suppressLineNumbers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28"/>
          <w:szCs w:val="28"/>
        </w:rPr>
      </w:pPr>
      <w:r>
        <w:rPr>
          <w:rFonts w:hint="eastAsia" w:ascii="仿宋_GB2312" w:hAnsi="Times New Roman" w:eastAsia="仿宋_GB2312" w:cs="仿宋_GB2312"/>
          <w:kern w:val="2"/>
          <w:sz w:val="32"/>
          <w:szCs w:val="32"/>
          <w:lang w:val="en-US" w:eastAsia="zh-CN" w:bidi="ar"/>
        </w:rPr>
        <w:t>港某公司、九某公司未向本院提交新证据。</w:t>
      </w:r>
    </w:p>
    <w:p>
      <w:pPr>
        <w:keepNext w:val="0"/>
        <w:keepLines w:val="0"/>
        <w:widowControl/>
        <w:suppressLineNumbers w:val="0"/>
        <w:autoSpaceDE w:val="0"/>
        <w:autoSpaceDN/>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本院经审查认为，虬某公司提交的证据</w:t>
      </w:r>
      <w:r>
        <w:rPr>
          <w:rFonts w:hint="default" w:ascii="Times New Roman" w:hAnsi="Times New Roman" w:eastAsia="仿宋_GB2312" w:cs="Times New Roman"/>
          <w:kern w:val="2"/>
          <w:sz w:val="32"/>
          <w:szCs w:val="32"/>
          <w:lang w:val="en-US" w:eastAsia="zh-CN" w:bidi="ar"/>
        </w:rPr>
        <w:t>1-23</w:t>
      </w:r>
      <w:r>
        <w:rPr>
          <w:rFonts w:hint="eastAsia" w:ascii="仿宋_GB2312" w:hAnsi="Times New Roman" w:eastAsia="仿宋_GB2312" w:cs="仿宋_GB2312"/>
          <w:kern w:val="2"/>
          <w:sz w:val="32"/>
          <w:szCs w:val="32"/>
          <w:lang w:val="en-US" w:eastAsia="zh-CN" w:bidi="ar"/>
        </w:rPr>
        <w:t>系公开渠道可以查询的专利文本，真实性可以确定，对于判断电动摩托车产品的设计空间及涉案专利的设计要点具有参考作用，本院予以认定；证据</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为虬某公司的单方比对意见，属于证据类型中的当事人陈述，本院予以认定，但侵权比对仍应当以公证保全的被诉侵权产品实物为准。关于探某公司、东某公司提交的证据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，各方对于真实性无异议，对于确定电动摩托车产品的设计空间及涉案专利的设计要点具有参考作用，本院予以认定。证据</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虽然没有翻译件，但形式上经过时间戳取证，图片也可以辨识，在无相反证据的情况下，本院予以认定，至于能否实现证明目的将结合争议焦点进行阐述。</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据此，本院二审另查明，在涉案专利申请日之前，公有领域已存在多项关于</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摩托车</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电动摩托车</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的外观设计专利及产品外观。</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虬某公司的涉案专利于</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月被国家知识产权局授予“中国外观设计优秀奖”。</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探某公司系专利号为</w:t>
      </w:r>
      <w:r>
        <w:rPr>
          <w:rFonts w:hint="default" w:ascii="Times New Roman" w:hAnsi="Times New Roman" w:eastAsia="仿宋_GB2312" w:cs="Times New Roman"/>
          <w:kern w:val="2"/>
          <w:sz w:val="32"/>
          <w:szCs w:val="32"/>
          <w:lang w:val="en-US" w:eastAsia="zh-CN" w:bidi="ar"/>
        </w:rPr>
        <w:t>ZL2021xxxx7125.3</w:t>
      </w:r>
      <w:r>
        <w:rPr>
          <w:rFonts w:hint="eastAsia" w:ascii="仿宋_GB2312" w:hAnsi="Times New Roman" w:eastAsia="仿宋_GB2312" w:cs="仿宋_GB2312"/>
          <w:kern w:val="2"/>
          <w:sz w:val="32"/>
          <w:szCs w:val="32"/>
          <w:lang w:val="en-US" w:eastAsia="zh-CN" w:bidi="ar"/>
        </w:rPr>
        <w:t>、名称为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电动摩托车（</w:t>
      </w:r>
      <w:r>
        <w:rPr>
          <w:rFonts w:hint="default" w:ascii="Times New Roman" w:hAnsi="Times New Roman" w:eastAsia="仿宋_GB2312" w:cs="Times New Roman"/>
          <w:kern w:val="2"/>
          <w:sz w:val="32"/>
          <w:szCs w:val="32"/>
          <w:lang w:val="en-US" w:eastAsia="zh-CN" w:bidi="ar"/>
        </w:rPr>
        <w:t>STING</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外观设计专利权人，专利申请日为</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日，授权公告日为</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日。该专利目前处于有效期内。</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日，国家知识产权局就授权设计出具《外观设计专利权评价报告》，初步结论为全部外观设计未发现存在不符合授予专利权条件的缺陷。该专利除缺少车把两侧的后视镜外，与被诉侵权设计基本相同。</w:t>
      </w:r>
    </w:p>
    <w:p>
      <w:pPr>
        <w:pStyle w:val="11"/>
        <w:keepNext w:val="0"/>
        <w:keepLines w:val="0"/>
        <w:widowControl w:val="0"/>
        <w:suppressLineNumbers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探某公司官方微信公众号于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日发布了题为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当全球品质一回归中国制造</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的文章，于同年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日发布了题为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广受海外认可的探某带来三款越野电摩，泰！裤！辣</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的文章，内容包括</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小编今天给大家介绍一下在海外已收获得不少认可还能在国内买到的中国品牌</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探某</w:t>
      </w:r>
      <w:r>
        <w:rPr>
          <w:rFonts w:hint="default" w:ascii="Times New Roman" w:hAnsi="Times New Roman" w:eastAsia="仿宋_GB2312" w:cs="Times New Roman"/>
          <w:kern w:val="2"/>
          <w:sz w:val="32"/>
          <w:szCs w:val="32"/>
          <w:lang w:val="en-US" w:eastAsia="zh-CN" w:bidi="ar"/>
        </w:rPr>
        <w:t xml:space="preserve"> Talaria”“</w:t>
      </w:r>
      <w:r>
        <w:rPr>
          <w:rFonts w:hint="eastAsia" w:ascii="仿宋_GB2312" w:hAnsi="Times New Roman" w:eastAsia="仿宋_GB2312" w:cs="仿宋_GB2312"/>
          <w:kern w:val="2"/>
          <w:sz w:val="32"/>
          <w:szCs w:val="32"/>
          <w:lang w:val="en-US" w:eastAsia="zh-CN" w:bidi="ar"/>
        </w:rPr>
        <w:t>目前国内销售版本和出口版本已改进为符合</w:t>
      </w:r>
      <w:r>
        <w:rPr>
          <w:rFonts w:hint="default" w:ascii="Times New Roman" w:hAnsi="Times New Roman" w:eastAsia="仿宋_GB2312" w:cs="Times New Roman"/>
          <w:kern w:val="2"/>
          <w:sz w:val="32"/>
          <w:szCs w:val="32"/>
          <w:lang w:val="en-US" w:eastAsia="zh-CN" w:bidi="ar"/>
        </w:rPr>
        <w:t>3C</w:t>
      </w:r>
      <w:r>
        <w:rPr>
          <w:rFonts w:hint="eastAsia" w:ascii="仿宋_GB2312" w:hAnsi="Times New Roman" w:eastAsia="仿宋_GB2312" w:cs="仿宋_GB2312"/>
          <w:kern w:val="2"/>
          <w:sz w:val="32"/>
          <w:szCs w:val="32"/>
          <w:lang w:val="en-US" w:eastAsia="zh-CN" w:bidi="ar"/>
        </w:rPr>
        <w:t>要求的灯具质感和精致感得到明显提升的同时还增强了外形的辨识度</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等。微信公众号还展示了毒刺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图片和参数信息，通过提供预约试驾、经销商信息和链接等方式做出销售的意思表示。</w:t>
      </w:r>
    </w:p>
    <w:p>
      <w:pPr>
        <w:pStyle w:val="11"/>
        <w:keepNext w:val="0"/>
        <w:keepLines w:val="0"/>
        <w:widowControl w:val="0"/>
        <w:suppressLineNumbers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探某公司淘宝店铺</w:t>
      </w:r>
      <w:r>
        <w:rPr>
          <w:rFonts w:hint="default" w:ascii="Times New Roman" w:hAnsi="Times New Roman" w:eastAsia="仿宋_GB2312" w:cs="Times New Roman"/>
          <w:kern w:val="2"/>
          <w:sz w:val="32"/>
          <w:szCs w:val="32"/>
          <w:lang w:val="en-US" w:eastAsia="zh-CN" w:bidi="ar"/>
        </w:rPr>
        <w:t>“TALARIA</w:t>
      </w:r>
      <w:r>
        <w:rPr>
          <w:rFonts w:hint="eastAsia" w:ascii="仿宋_GB2312" w:hAnsi="Times New Roman" w:eastAsia="仿宋_GB2312" w:cs="仿宋_GB2312"/>
          <w:kern w:val="2"/>
          <w:sz w:val="32"/>
          <w:szCs w:val="32"/>
          <w:lang w:val="en-US" w:eastAsia="zh-CN" w:bidi="ar"/>
        </w:rPr>
        <w:t>探某动力</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有毒刺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产品销售链接，售价分别为</w:t>
      </w:r>
      <w:r>
        <w:rPr>
          <w:rFonts w:hint="default" w:ascii="Times New Roman" w:hAnsi="Times New Roman" w:eastAsia="仿宋_GB2312" w:cs="Times New Roman"/>
          <w:kern w:val="2"/>
          <w:sz w:val="32"/>
          <w:szCs w:val="32"/>
          <w:lang w:val="en-US" w:eastAsia="zh-CN" w:bidi="ar"/>
        </w:rPr>
        <w:t>24980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20520</w:t>
      </w:r>
      <w:r>
        <w:rPr>
          <w:rFonts w:hint="eastAsia" w:ascii="仿宋_GB2312" w:hAnsi="Times New Roman" w:eastAsia="仿宋_GB2312" w:cs="仿宋_GB2312"/>
          <w:kern w:val="2"/>
          <w:sz w:val="32"/>
          <w:szCs w:val="32"/>
          <w:lang w:val="en-US" w:eastAsia="zh-CN" w:bidi="ar"/>
        </w:rPr>
        <w:t>元，显示销量均为</w:t>
      </w:r>
      <w:r>
        <w:rPr>
          <w:rFonts w:hint="default" w:ascii="Times New Roman" w:hAnsi="Times New Roman" w:eastAsia="仿宋_GB2312" w:cs="Times New Roman"/>
          <w:kern w:val="2"/>
          <w:sz w:val="32"/>
          <w:szCs w:val="32"/>
          <w:lang w:val="en-US" w:eastAsia="zh-CN" w:bidi="ar"/>
        </w:rPr>
        <w:t>0</w:t>
      </w:r>
      <w:r>
        <w:rPr>
          <w:rFonts w:hint="eastAsia" w:ascii="仿宋_GB2312" w:hAnsi="Times New Roman" w:eastAsia="仿宋_GB2312" w:cs="仿宋_GB2312"/>
          <w:kern w:val="2"/>
          <w:sz w:val="32"/>
          <w:szCs w:val="32"/>
          <w:lang w:val="en-US" w:eastAsia="zh-CN" w:bidi="ar"/>
        </w:rPr>
        <w:t>。京东店铺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探某电动摩托车旗舰店</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，有毒刺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产品销售链接，售价分别为</w:t>
      </w:r>
      <w:r>
        <w:rPr>
          <w:rFonts w:hint="default" w:ascii="Times New Roman" w:hAnsi="Times New Roman" w:eastAsia="仿宋_GB2312" w:cs="Times New Roman"/>
          <w:kern w:val="2"/>
          <w:sz w:val="32"/>
          <w:szCs w:val="32"/>
          <w:lang w:val="en-US" w:eastAsia="zh-CN" w:bidi="ar"/>
        </w:rPr>
        <w:t>24980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20520</w:t>
      </w:r>
      <w:r>
        <w:rPr>
          <w:rFonts w:hint="eastAsia" w:ascii="仿宋_GB2312" w:hAnsi="Times New Roman" w:eastAsia="仿宋_GB2312" w:cs="仿宋_GB2312"/>
          <w:kern w:val="2"/>
          <w:sz w:val="32"/>
          <w:szCs w:val="32"/>
          <w:lang w:val="en-US" w:eastAsia="zh-CN" w:bidi="ar"/>
        </w:rPr>
        <w:t>元，显示</w:t>
      </w:r>
      <w:r>
        <w:rPr>
          <w:rFonts w:hint="default" w:ascii="Times New Roman" w:hAnsi="Times New Roman" w:eastAsia="仿宋_GB2312" w:cs="Times New Roman"/>
          <w:kern w:val="2"/>
          <w:sz w:val="32"/>
          <w:szCs w:val="32"/>
          <w:lang w:val="en-US" w:eastAsia="zh-CN" w:bidi="ar"/>
        </w:rPr>
        <w:t>0</w:t>
      </w:r>
      <w:r>
        <w:rPr>
          <w:rFonts w:hint="eastAsia" w:ascii="仿宋_GB2312" w:hAnsi="Times New Roman" w:eastAsia="仿宋_GB2312" w:cs="仿宋_GB2312"/>
          <w:kern w:val="2"/>
          <w:sz w:val="32"/>
          <w:szCs w:val="32"/>
          <w:lang w:val="en-US" w:eastAsia="zh-CN" w:bidi="ar"/>
        </w:rPr>
        <w:t>人评价，未显示销量。探某公司官方网站、微博、抖音、小红书账号内均有毒刺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产品图片和宣传信息。</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日，虬某公司的员工与北京市正阳公证处公证员和工作人员来到位于北京市顺义区裕翔路</w:t>
      </w:r>
      <w:r>
        <w:rPr>
          <w:rFonts w:hint="default" w:ascii="Times New Roman" w:hAnsi="Times New Roman" w:eastAsia="仿宋_GB2312" w:cs="Times New Roman"/>
          <w:kern w:val="2"/>
          <w:sz w:val="32"/>
          <w:szCs w:val="32"/>
          <w:lang w:val="en-US" w:eastAsia="zh-CN" w:bidi="ar"/>
        </w:rPr>
        <w:t>88</w:t>
      </w:r>
      <w:r>
        <w:rPr>
          <w:rFonts w:hint="eastAsia" w:ascii="仿宋_GB2312" w:hAnsi="Times New Roman" w:eastAsia="仿宋_GB2312" w:cs="仿宋_GB2312"/>
          <w:kern w:val="2"/>
          <w:sz w:val="32"/>
          <w:szCs w:val="32"/>
          <w:lang w:val="en-US" w:eastAsia="zh-CN" w:bidi="ar"/>
        </w:rPr>
        <w:t>号北京国际展览中心（顺义馆）的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北京国际摩托车展览会</w:t>
      </w:r>
      <w:r>
        <w:rPr>
          <w:rFonts w:hint="default" w:ascii="Times New Roman" w:hAnsi="Times New Roman" w:eastAsia="仿宋_GB2312" w:cs="Times New Roman"/>
          <w:kern w:val="2"/>
          <w:sz w:val="32"/>
          <w:szCs w:val="32"/>
          <w:lang w:val="en-US" w:eastAsia="zh-CN" w:bidi="ar"/>
        </w:rPr>
        <w:t>”“W4”</w:t>
      </w:r>
      <w:r>
        <w:rPr>
          <w:rFonts w:hint="eastAsia" w:ascii="仿宋_GB2312" w:hAnsi="Times New Roman" w:eastAsia="仿宋_GB2312" w:cs="仿宋_GB2312"/>
          <w:kern w:val="2"/>
          <w:sz w:val="32"/>
          <w:szCs w:val="32"/>
          <w:lang w:val="en-US" w:eastAsia="zh-CN" w:bidi="ar"/>
        </w:rPr>
        <w:t>展区的探某展台，查看了型号</w:t>
      </w:r>
      <w:r>
        <w:rPr>
          <w:rFonts w:hint="default" w:ascii="Times New Roman" w:hAnsi="Times New Roman" w:eastAsia="仿宋_GB2312" w:cs="Times New Roman"/>
          <w:kern w:val="2"/>
          <w:sz w:val="32"/>
          <w:szCs w:val="32"/>
          <w:lang w:val="en-US" w:eastAsia="zh-CN" w:bidi="ar"/>
        </w:rPr>
        <w:t>DB4000DY</w:t>
      </w:r>
      <w:r>
        <w:rPr>
          <w:rFonts w:hint="eastAsia" w:ascii="仿宋_GB2312" w:hAnsi="Times New Roman" w:eastAsia="仿宋_GB2312" w:cs="仿宋_GB2312"/>
          <w:kern w:val="2"/>
          <w:sz w:val="32"/>
          <w:szCs w:val="32"/>
          <w:lang w:val="en-US" w:eastAsia="zh-CN" w:bidi="ar"/>
        </w:rPr>
        <w:t>的电动摩托车。上述过程，北京市正阳公证处出具了（</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）京正阳内民证字第</w:t>
      </w:r>
      <w:r>
        <w:rPr>
          <w:rFonts w:hint="default" w:ascii="Times New Roman" w:hAnsi="Times New Roman" w:eastAsia="仿宋_GB2312" w:cs="Times New Roman"/>
          <w:kern w:val="2"/>
          <w:sz w:val="32"/>
          <w:szCs w:val="32"/>
          <w:lang w:val="en-US" w:eastAsia="zh-CN" w:bidi="ar"/>
        </w:rPr>
        <w:t>3341</w:t>
      </w:r>
      <w:r>
        <w:rPr>
          <w:rFonts w:hint="eastAsia" w:ascii="仿宋_GB2312" w:hAnsi="Times New Roman" w:eastAsia="仿宋_GB2312" w:cs="仿宋_GB2312"/>
          <w:kern w:val="2"/>
          <w:sz w:val="32"/>
          <w:szCs w:val="32"/>
          <w:lang w:val="en-US" w:eastAsia="zh-CN" w:bidi="ar"/>
        </w:rPr>
        <w:t>号公证书。</w:t>
      </w:r>
    </w:p>
    <w:p>
      <w:pPr>
        <w:pStyle w:val="11"/>
        <w:keepNext w:val="0"/>
        <w:keepLines w:val="0"/>
        <w:widowControl w:val="0"/>
        <w:suppressLineNumbers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28"/>
          <w:szCs w:val="28"/>
        </w:rPr>
      </w:pPr>
      <w:r>
        <w:rPr>
          <w:rFonts w:hint="eastAsia" w:ascii="仿宋_GB2312" w:hAnsi="Times New Roman" w:eastAsia="仿宋_GB2312" w:cs="仿宋_GB2312"/>
          <w:kern w:val="2"/>
          <w:sz w:val="32"/>
          <w:szCs w:val="32"/>
          <w:lang w:val="en-US" w:eastAsia="zh-CN" w:bidi="ar"/>
        </w:rPr>
        <w:t>虬某公司针对探某公司在美国境内销售</w:t>
      </w:r>
      <w:r>
        <w:rPr>
          <w:rFonts w:hint="default" w:ascii="Times New Roman" w:hAnsi="Times New Roman" w:eastAsia="仿宋_GB2312" w:cs="Times New Roman"/>
          <w:kern w:val="2"/>
          <w:sz w:val="32"/>
          <w:szCs w:val="32"/>
          <w:lang w:val="en-US" w:eastAsia="zh-CN" w:bidi="ar"/>
        </w:rPr>
        <w:t>talaria-sting</w:t>
      </w:r>
      <w:r>
        <w:rPr>
          <w:rFonts w:hint="eastAsia" w:ascii="仿宋_GB2312" w:hAnsi="Times New Roman" w:eastAsia="仿宋_GB2312" w:cs="仿宋_GB2312"/>
          <w:kern w:val="2"/>
          <w:sz w:val="32"/>
          <w:szCs w:val="32"/>
          <w:lang w:val="en-US" w:eastAsia="zh-CN" w:bidi="ar"/>
        </w:rPr>
        <w:t>电动自行车的行为在美国法院提起侵害外观设计专利权诉讼，尚在审理中。</w:t>
      </w:r>
    </w:p>
    <w:p>
      <w:pPr>
        <w:keepNext w:val="0"/>
        <w:keepLines w:val="0"/>
        <w:widowControl w:val="0"/>
        <w:suppressLineNumbers w:val="0"/>
        <w:autoSpaceDE w:val="0"/>
        <w:autoSpaceDN/>
        <w:adjustRightInd w:val="0"/>
        <w:spacing w:before="0" w:beforeAutospacing="0" w:after="0" w:afterAutospacing="0" w:line="574" w:lineRule="exact"/>
        <w:ind w:left="0" w:right="0" w:firstLine="5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28"/>
          <w:szCs w:val="28"/>
          <w:lang w:val="en-US" w:eastAsia="zh-CN" w:bidi="ar"/>
        </w:rPr>
        <w:t xml:space="preserve"> </w:t>
      </w:r>
      <w:r>
        <w:rPr>
          <w:rFonts w:hint="eastAsia" w:ascii="仿宋_GB2312" w:hAnsi="Times New Roman" w:eastAsia="仿宋_GB2312" w:cs="仿宋_GB2312"/>
          <w:kern w:val="2"/>
          <w:sz w:val="32"/>
          <w:szCs w:val="32"/>
          <w:lang w:val="en-US" w:eastAsia="zh-CN" w:bidi="ar"/>
        </w:rPr>
        <w:t>本院二审查明的其他事实与一审认定的一致。</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合虬某公司的上诉请求和理由以及探某公司、东某公司、港某公司、九某公司的答辩意见，本案二审的争议焦点在于：一、被诉侵权设计是否落入涉案专利权的保护范围；二、如果侵权成立，探某公司、东某公司、港某公司、九某公司的法律责任如何确定。</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关于争议焦点一</w:t>
      </w:r>
      <w:r>
        <w:rPr>
          <w:rFonts w:hint="default" w:ascii="Times New Roman" w:hAnsi="Times New Roman" w:eastAsia="仿宋_GB2312" w:cs="Times New Roman"/>
          <w:kern w:val="2"/>
          <w:sz w:val="32"/>
          <w:szCs w:val="32"/>
          <w:lang w:val="en-US" w:eastAsia="zh-CN" w:bidi="ar"/>
        </w:rPr>
        <w:tab/>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color w:val="000000"/>
          <w:kern w:val="2"/>
          <w:sz w:val="32"/>
          <w:szCs w:val="32"/>
          <w:lang w:val="en-US" w:eastAsia="zh-CN" w:bidi="ar"/>
        </w:rPr>
        <w:t>《最高人民法院关于审理侵犯专利权纠纷案件应用法律若干问题的解释》第八条规定，在与外观设计专利产品相同或者相近种类产品上，采用与授权外观设计相同或者近似的外观设计的，人民法院应当认定被诉侵权设计落入专利法第五十九条第二款规定的外观设计专利权的保护范围。</w:t>
      </w:r>
    </w:p>
    <w:p>
      <w:pPr>
        <w:keepNext w:val="0"/>
        <w:keepLines w:val="0"/>
        <w:widowControl/>
        <w:suppressLineNumbers w:val="0"/>
        <w:spacing w:before="0" w:beforeAutospacing="0" w:after="0" w:afterAutospacing="0" w:line="574" w:lineRule="exact"/>
        <w:ind w:left="0" w:right="0" w:firstLine="620" w:firstLineChars="20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首先，关于电动摩托车类产品的设计空间。《最高人民法院关于审理侵犯专利权纠纷案件应用法律若干问题的解释（二）》第十四条规定，人民法院在认定一般消费者对于外观设计所具有的知识水平和认知能力时，一般应当考虑被诉侵权行为发生时授权外观设计所属相同或者相近种类产品的设计空间。设计空间较大的，人民法院可以认定一般消费者通常不容易注意到不同设计之间的较小区别；设计空间较小的，人民法院可以认定一般消费者通常更容易注意到不同设计之间的较小区别。本案中，虬某公司主张被诉侵权行为开始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月，各被上诉人则认为应当从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月探某公司获得工业和信息化部产品认证证书起算。对此，本院认为，虬某公司明确本案的被诉侵权产品是一审当庭组装的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车辆，九某公司官方网站、探某公司微信公众号宣传文章及其一审提交的</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张网页图片涉及的产品均不能确定与本案被诉侵权产品一致，虬某公司主张的侵权行为开始时间证据不足。本院注意到，探某公司于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日申请了</w:t>
      </w:r>
      <w:r>
        <w:rPr>
          <w:rFonts w:hint="default" w:ascii="Times New Roman" w:hAnsi="Times New Roman" w:eastAsia="仿宋_GB2312" w:cs="Times New Roman"/>
          <w:kern w:val="2"/>
          <w:sz w:val="32"/>
          <w:szCs w:val="32"/>
          <w:lang w:val="en-US" w:eastAsia="zh-CN" w:bidi="ar"/>
        </w:rPr>
        <w:t>ZL2021xxxx7125.3“</w:t>
      </w:r>
      <w:r>
        <w:rPr>
          <w:rFonts w:hint="eastAsia" w:ascii="仿宋_GB2312" w:hAnsi="Times New Roman" w:eastAsia="仿宋_GB2312" w:cs="仿宋_GB2312"/>
          <w:kern w:val="2"/>
          <w:sz w:val="32"/>
          <w:szCs w:val="32"/>
          <w:lang w:val="en-US" w:eastAsia="zh-CN" w:bidi="ar"/>
        </w:rPr>
        <w:t>电动摩托车（</w:t>
      </w:r>
      <w:r>
        <w:rPr>
          <w:rFonts w:hint="default" w:ascii="Times New Roman" w:hAnsi="Times New Roman" w:eastAsia="仿宋_GB2312" w:cs="Times New Roman"/>
          <w:kern w:val="2"/>
          <w:sz w:val="32"/>
          <w:szCs w:val="32"/>
          <w:lang w:val="en-US" w:eastAsia="zh-CN" w:bidi="ar"/>
        </w:rPr>
        <w:t>STING</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该专利除缺少车把两侧的后视镜外，与被诉侵权产品外观基本一致，已经具备了实施被诉侵权行为的基础，故以上述专利的申请时间为节点判断电动摩托车产品的设计空间更为公平合理。根据双方当事人提交的摩托车外观专利文献及产品图片，电动摩托车存在多种类型，按用途分有代步型、竞技性、探险型；按车辆结构分有跨骑车、踏板车、弯梁车等；即便在同类车型中，车架的形状、动力驱动部件的安装方式和位置、车身各部分的具体形状等均存在诸多变化。涉案专利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轻型电动摩托车</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对于该类摩托车而言，通常包含车把、腹部车架、电力驱动部件、车座、车轮、后连接架等常规结构，但车架形状、电力驱动部件的布局方式、车座、后连接架的形状及连接方式仍存在多种变化，故由其共同构成的产品整体造型具有一定的设计空间，一般消费者不容易注意到不同设计之间的较小区别。</w:t>
      </w:r>
    </w:p>
    <w:p>
      <w:pPr>
        <w:keepNext w:val="0"/>
        <w:keepLines w:val="0"/>
        <w:widowControl w:val="0"/>
        <w:suppressLineNumbers w:val="0"/>
        <w:adjustRightInd w:val="0"/>
        <w:spacing w:before="0" w:beforeAutospacing="0" w:after="0" w:afterAutospacing="0" w:line="574" w:lineRule="exact"/>
        <w:ind w:left="0" w:right="0" w:firstLine="620" w:firstLineChars="20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其次，关于涉案专利的设计特征。《最高人民法院关于审理侵犯专利权纠纷案件应用法律若干问题的解释》第十一条规定，人民法院认定外观设计是否相同或者近似时，应当根据授权外观设计、被诉侵权设计的设计特征，以外观设计的整体视觉效果进行综合判断；对于主要由技术功能决定的设计特征以及对整体视觉效果不产生影响的产品的材料、内部结构等特征，应当不予考虑。下列情形，通常对外观设计的整体视觉效果更具有影响：（一）产品正常使用时容易被直接观察到的部位相对于其他部位；（二）授权外观设计区别于现有设计的设计特征相对于授权外观设计的其他设计特征。因此，设计特征体现了涉案专利不同于现有设计的创新内容，也体现了专利的创造性贡献，对外观设计产品的整体视觉效果具有显著影响。二审中，虬某公司主张涉案专利的设计特征为：</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电池、电机和电机控制器形成的三电布局；</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双翼梁、近似菱形车架结构及其在整车当中的位置布局；</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平叉构件形状；</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座垫形状；</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前轴、后轴、车头和前叉的结合点构成的三角形角度，骑行时人的尾椎骨与坐垫的结合点、脚底与脚踏的结合点以及手与车把结合点所构成的三角形角度。各被上诉人则认为涉案专利的设计要点在于腹部车架的具体形状、车座支撑件的具体形状、车头等部件的局部设计。本院认为，专利权人对其主张的设计特征应当进行举证，由人民法院在听取各方意见的基础上审查认定，对于最终认定的设计特征无需另行释明。根据涉案专利授权文本和评价报告以及双方提交的现有设计，本院认为，涉案专利的设计特征在于：</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车身两侧由采用旋转切削设计的双翼梁和支撑杆组成近似菱形镂空车架；</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两侧车架之间形成斜四棱柱体机仓，内置电池，机仓前下部有扁平长方形电控，机仓下部横置近圆柱形电机，三电系统与镂空车架组成类似眼型的腹部结构；</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尾部上扬、两侧翻折的长舌状车座，通过两个“</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”形支架分别固定于双翼梁侧上部；</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采用切削设计的三角形平叉构件，顶角与菱形车架底角衔接；</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虬某公司主张的关于三角形的设计特征具体角度无法确定，但车把、前轴、后轴、车座、脚踏的上下前后左右特定位置关系对产品整体的设计风格具有明显影响，亦属于涉案专利的设计特征。上述设计特征使得涉案专利整体呈现出较为轻盈、运动型的设计风格。除此之外，</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前叉下段</w:t>
      </w:r>
      <w:r>
        <w:rPr>
          <w:rFonts w:hint="default" w:ascii="Times New Roman" w:hAnsi="Times New Roman" w:eastAsia="仿宋_GB2312" w:cs="Times New Roman"/>
          <w:kern w:val="2"/>
          <w:sz w:val="32"/>
          <w:szCs w:val="32"/>
          <w:lang w:val="en-US" w:eastAsia="zh-CN" w:bidi="ar"/>
        </w:rPr>
        <w:t>‘n’</w:t>
      </w:r>
      <w:r>
        <w:rPr>
          <w:rFonts w:hint="eastAsia" w:ascii="仿宋_GB2312" w:hAnsi="Times New Roman" w:eastAsia="仿宋_GB2312" w:cs="仿宋_GB2312"/>
          <w:kern w:val="2"/>
          <w:sz w:val="32"/>
          <w:szCs w:val="32"/>
          <w:lang w:val="en-US" w:eastAsia="zh-CN" w:bidi="ar"/>
        </w:rPr>
        <w:t>形保护套</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在虬某公司二审提交的</w:t>
      </w:r>
      <w:r>
        <w:rPr>
          <w:rFonts w:hint="default" w:ascii="Times New Roman" w:hAnsi="Times New Roman" w:eastAsia="仿宋_GB2312" w:cs="Times New Roman"/>
          <w:kern w:val="2"/>
          <w:sz w:val="32"/>
          <w:szCs w:val="32"/>
          <w:lang w:val="en-US" w:eastAsia="zh-CN" w:bidi="ar"/>
        </w:rPr>
        <w:t>003165067-0001</w:t>
      </w:r>
      <w:r>
        <w:rPr>
          <w:rFonts w:hint="eastAsia" w:ascii="仿宋_GB2312" w:hAnsi="Times New Roman" w:eastAsia="仿宋_GB2312" w:cs="仿宋_GB2312"/>
          <w:kern w:val="2"/>
          <w:sz w:val="32"/>
          <w:szCs w:val="32"/>
          <w:lang w:val="en-US" w:eastAsia="zh-CN" w:bidi="ar"/>
        </w:rPr>
        <w:t>号专利中已有披露；</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平叉长臂、减震器、车架上梁三者近乎一直线，减震器近乎全长可见</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，在探某公司一、二审作为证据提交的</w:t>
      </w:r>
      <w:r>
        <w:rPr>
          <w:rFonts w:hint="default" w:ascii="Times New Roman" w:hAnsi="Times New Roman" w:eastAsia="仿宋_GB2312" w:cs="Times New Roman"/>
          <w:kern w:val="2"/>
          <w:sz w:val="32"/>
          <w:szCs w:val="32"/>
          <w:lang w:val="en-US" w:eastAsia="zh-CN" w:bidi="ar"/>
        </w:rPr>
        <w:t>CN3360113D</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CN3285878D</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CN303654579S</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EM0025658040001S</w:t>
      </w:r>
      <w:r>
        <w:rPr>
          <w:rFonts w:hint="eastAsia" w:ascii="仿宋_GB2312" w:hAnsi="Times New Roman" w:eastAsia="仿宋_GB2312" w:cs="仿宋_GB2312"/>
          <w:kern w:val="2"/>
          <w:sz w:val="32"/>
          <w:szCs w:val="32"/>
          <w:lang w:val="en-US" w:eastAsia="zh-CN" w:bidi="ar"/>
        </w:rPr>
        <w:t>号在先专利中均有所披露，不属于涉案专利的设计特征。前后轮有无挡泥板系惯常设计，亦非涉案专利的设计特征。</w:t>
      </w:r>
    </w:p>
    <w:p>
      <w:pPr>
        <w:keepNext w:val="0"/>
        <w:keepLines w:val="0"/>
        <w:widowControl/>
        <w:suppressLineNumbers w:val="0"/>
        <w:spacing w:before="0" w:beforeAutospacing="0" w:after="0" w:afterAutospacing="0" w:line="574" w:lineRule="exact"/>
        <w:ind w:left="0" w:right="0" w:firstLine="620" w:firstLineChars="20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再次，关于侵权比对和近似性判断。被诉侵权产品和涉案专利产品均为电动摩托车，属于相同种类产品，可以进行比对。将被诉侵权设计与涉案专利进行比对，二者的区别点主要在于：</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被诉侵权设计有后视镜、显示屏、转向灯、尾架及尾灯、挡泥板、车架底部护板、链条护板；涉案专利没有上述部件。</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车头灯形状、机仓盖形状、刹车盘花纹不同。</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涉案专利前叉有“</w:t>
      </w:r>
      <w:r>
        <w:rPr>
          <w:rFonts w:hint="default" w:ascii="Times New Roman" w:hAnsi="Times New Roman" w:eastAsia="仿宋_GB2312" w:cs="Times New Roman"/>
          <w:kern w:val="2"/>
          <w:sz w:val="32"/>
          <w:szCs w:val="32"/>
          <w:lang w:val="en-US" w:eastAsia="zh-CN" w:bidi="ar"/>
        </w:rPr>
        <w:t>n</w:t>
      </w:r>
      <w:r>
        <w:rPr>
          <w:rFonts w:hint="eastAsia" w:ascii="仿宋_GB2312" w:hAnsi="Times New Roman" w:eastAsia="仿宋_GB2312" w:cs="仿宋_GB2312"/>
          <w:kern w:val="2"/>
          <w:sz w:val="32"/>
          <w:szCs w:val="32"/>
          <w:lang w:val="en-US" w:eastAsia="zh-CN" w:bidi="ar"/>
        </w:rPr>
        <w:t>”形保护套；被诉侵权设计无此特征。</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涉案专利的车架由车梁和支撑杆组成一个类菱形；被诉侵权设计的车架由车梁和多根支撑杆组成，呈现多个不规则镂空。</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涉案专利的车架上梁、减震弹簧、平叉长臂呈一直线排布；被诉侵权设计的三者不在一条直线上，存在一定角度。</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涉案专利的座垫独立于机仓；被诉侵权设计座垫与机仓紧密连接。本院认为，关于区别点</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外观设计专利权的保护范围以表示在图片或者照片中的该产品的外观设计为准，涉案专利图片中没有包含的配件不属于其限定的保护范围，被诉侵权设计增加的在视觉上、物理上均可以分割的配件不应纳入侵权比对；退一步讲，该些配件形状较为常见，即便纳入比对，对整体视觉效果亦不具有显著影响。区别点</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均属于细微差异，对整体外观影响较小。关于区别点</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，车架虽然增加了支撑杆形成多个镂空，但其中仍包含了车架与三电系统组成的类似眼型腹部结构的专利设计特征；车座与车架连接的</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形支架角度虽然不同，但仍具有长舌状车座且后端凌空上扬的专利设计特征，故上述区别点仍属于局部设计特征差异，其能否对产品整体视觉产生实质性影响需要以一般消费者的知识水平和认知能力进行判断。</w:t>
      </w:r>
    </w:p>
    <w:p>
      <w:pPr>
        <w:keepNext w:val="0"/>
        <w:keepLines w:val="0"/>
        <w:widowControl/>
        <w:suppressLineNumbers w:val="0"/>
        <w:spacing w:before="0" w:beforeAutospacing="0" w:after="0" w:afterAutospacing="0" w:line="574" w:lineRule="exact"/>
        <w:ind w:left="0" w:right="0" w:firstLine="620" w:firstLineChars="20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如前所述，电动摩托车产品具有一定的设计空间，一般消费者应当理解为对该产品的外观设计状况具有常识性的了解，对产品在形状、图案以及色彩上的差别具有一定的分辨力，但不容易注意到比较细小的设计差别。一般消费者在购买和使用过程中，更容易对车辆整体的设计风格、轮廓形状等因素施以更多注意，故侵权比对也应当采用整体观察的方式，考虑产品可视部分的全部设计特征，而非其中某特定部分。经比对，被诉侵权设计与涉案专利在整车结构、各组成部件的布局、比例和相对位置关系较为相近，尤其是均由旋转切削设计的双翼梁和支撑杆组成镂空车架及斜四棱柱体机仓，车架和三电系统组成类似眼型或包含眼型的腹部结构，采用旋转切削设计的车架和三角形平叉相互衔接，长舌状车座与车架上梁连接且后端凌空上扬。以上这些包含涉案专利设计要点在内的相同设计特征已经使得两者形成了较为一致的整体风格和视觉印象。至于两者的区别点在整体视觉效果中所占的权重明显低于两者之间相同点所产生的趋同性视觉效果的权重，不足以使一般消费者对两者整体外观设计产生明显的视觉差异。综上，根据“整体观察、综合判断”原则，被诉侵权设计与涉案专利整体视觉效果无实质性差异，两者构成近似，被诉侵权设计落入涉案专利权的保护范围。一审判决以电动摩托车的设计空间不大为前提，认定被诉侵权设计与涉案专利的区别点致使两者不相同也不近似，被诉侵权设计未落入涉案专利权保护范围有误，本院予以纠正。</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关于争议焦点二</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中华人民共和国专利法》第十一条第二款规定，外观设计专利权被授予后，任何单位和个人未经专利权人许可，都不得实施其专利，即不得为生产经营目的制造、许诺销售、销售、进口其外观设计专利产品。本案中，虬某公司公证购买的被诉侵权产品</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车身标有</w:t>
      </w:r>
      <w:r>
        <w:rPr>
          <w:rFonts w:hint="default" w:ascii="Times New Roman" w:hAnsi="Times New Roman" w:eastAsia="仿宋_GB2312" w:cs="Times New Roman"/>
          <w:kern w:val="2"/>
          <w:sz w:val="32"/>
          <w:szCs w:val="32"/>
          <w:lang w:val="en-US" w:eastAsia="zh-CN" w:bidi="ar"/>
        </w:rPr>
        <w:t>“TALARIA”“</w:t>
      </w:r>
      <w:r>
        <w:rPr>
          <w:rFonts w:hint="eastAsia" w:ascii="仿宋_GB2312" w:hAnsi="Times New Roman" w:eastAsia="仿宋_GB2312" w:cs="仿宋_GB2312"/>
          <w:kern w:val="2"/>
          <w:sz w:val="32"/>
          <w:szCs w:val="32"/>
          <w:lang w:val="en-US" w:eastAsia="zh-CN" w:bidi="ar"/>
        </w:rPr>
        <w:t>东本</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标识，铭牌载有</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重庆东某摩托车制造有限公司、品牌：东本</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等信息，探某公司、东某公司确认该产品系其共同制造、销售。探某公司未经许可在京东旗舰店、淘宝店铺、展会等实施许诺销售被诉侵权产品的行为。探某公司、东某公司上述行为均构成对虬某公司涉案外观设计专利权的侵害，应当承担停止侵害、赔偿损失的法律责任。探某公司、东某公司客观上共同实施了制造、销售侵权产品的行为，主观上存在共同侵权的意思联络，构成共同侵权，应当承担连带责任。九某公司未经许可在其网站许诺销售落入涉案专利权保护范围的产品，亦构成侵权，对虬某公司要求九某公司停止侵权行为的诉讼请求，本院予以支持。关于赔偿责任，九某公司提出合法来源抗辩，主张其许诺销售的产品系从东某公司处购买，并提供了双方的《摩托车购销合同》。虬某公司对该合同真实性无异议，但认为没有交易凭证佐证，且九某公司具有侵权主观故意，不能免除赔偿责任。本院认为，九某公司仅实施了许诺销售行为，其与东某公司之间未形成实际交易凭证不违常理，虬某公司关于九某公司具有主观过错的主张亦无充分证据，故本院对于九某公司的合法来源抗辩予以支持，其无需承担侵权赔偿责任。港某公司系东某公司的独资法人股东，因其没有提交证据证明自己的财产与东某公司的财产相互独立，依据《中华人民共和国公司法》第二十三条第三款的规定，应当对东某公司的债务承担连带责任。</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赔偿数额。《中华人民共和国专利法》第七十一条第一款至三款规定，侵犯专利权的赔偿数额按照权利人因被侵权所受到的实际损失或者侵权人因侵权所获得的利益确定；权利人的损失或者侵权人获得的利益难以确定的，参照该专利许可使用费的倍数合理确定。对故意侵犯专利权，情节严重的，可以在按照上述方法确定数额的一倍以上五倍以下确定赔偿数额。权利人的损失、侵权人获得的利益和专利许可使用费均难以确定的，人民法院可以根据专利权的类型、侵权行为的性质和情节等因素，确定给予三万元以上五百万元以下的赔偿。赔偿数额还应当包括权利人为制止侵权行为所支付的合理开支。</w:t>
      </w:r>
    </w:p>
    <w:p>
      <w:pPr>
        <w:keepNext w:val="0"/>
        <w:keepLines w:val="0"/>
        <w:widowControl w:val="0"/>
        <w:suppressLineNumbers w:val="0"/>
        <w:overflowPunct w:val="0"/>
        <w:autoSpaceDE w:val="0"/>
        <w:autoSpaceDN w:val="0"/>
        <w:spacing w:before="0" w:beforeAutospacing="0" w:after="0" w:afterAutospacing="0" w:line="574"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kern w:val="2"/>
          <w:sz w:val="32"/>
          <w:szCs w:val="32"/>
          <w:lang w:val="en-US" w:eastAsia="zh-CN" w:bidi="ar"/>
        </w:rPr>
        <w:t>本案中，虬某公司主张适用惩罚性赔偿，以虬某公司因被侵权受到的实际损失作为赔偿基数，加上</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倍惩罚性赔偿倍数。各被上诉人认为其不具有侵权的主观故意，本案不应当适用惩罚性赔偿。对此，本院认为，根据《最高人民法院关于审理侵害知识产权民事案件适用惩罚性赔偿的解释》第一条规定，适用惩罚性赔偿需要满足“故意侵权”和“情节严重”的主客观要件。关于“故意”要件，虬某公司主张东某公司与其存在业务往来，且虬某公司的两名员工加入探某公司后成为股东及员工，二人接触过被侵害的专利权，深知该专利的价值，属于具有主观故意的情形。本院认为，虬某公司的权利基础系外观设计专利权，以公开的方式获得法律保护，通过公开渠道容易获取。虽然虬某公司的两名员工离职后加入探某公司并成为股东，但该员工并非涉案专利的设计人员，且离职时间在涉案专利申请日以及专利产品公开销售之后的三年多时间，东某公司与虬某公司曾经的业务关系与被诉侵权产品也没有关联性，难以认定上述因素对于被诉侵权行为的发生起到决定性作用。且本案被诉侵权设计与涉案专利存在多个区别点，判断两者是否构成近似具有一定难度，即便探某公司、东某公司知道涉案专利权的存在，亦不足以认定其具有侵权故意。故本案不符合适用惩罚性赔偿的基本条件，对虬某公司的该项主张，本院不予支持</w:t>
      </w:r>
      <w:r>
        <w:rPr>
          <w:rFonts w:hint="eastAsia" w:ascii="仿宋_GB2312" w:hAnsi="仿宋_GB2312" w:eastAsia="仿宋_GB2312" w:cs="仿宋_GB2312"/>
          <w:color w:val="000000"/>
          <w:kern w:val="0"/>
          <w:sz w:val="32"/>
          <w:szCs w:val="32"/>
          <w:lang w:val="en-US" w:eastAsia="zh-CN" w:bidi="ar"/>
        </w:rPr>
        <w:t>。</w:t>
      </w:r>
    </w:p>
    <w:p>
      <w:pPr>
        <w:keepNext w:val="0"/>
        <w:keepLines w:val="0"/>
        <w:widowControl w:val="0"/>
        <w:suppressLineNumbers w:val="0"/>
        <w:overflowPunct w:val="0"/>
        <w:autoSpaceDE w:val="0"/>
        <w:autoSpaceDN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仿宋_GB2312" w:eastAsia="仿宋_GB2312" w:cs="仿宋_GB2312"/>
          <w:color w:val="000000"/>
          <w:kern w:val="0"/>
          <w:sz w:val="32"/>
          <w:szCs w:val="32"/>
          <w:lang w:val="en-US" w:eastAsia="zh-CN" w:bidi="ar"/>
        </w:rPr>
        <w:t>基于</w:t>
      </w:r>
      <w:r>
        <w:rPr>
          <w:rFonts w:hint="eastAsia" w:ascii="仿宋_GB2312" w:hAnsi="Times New Roman" w:eastAsia="仿宋_GB2312" w:cs="仿宋_GB2312"/>
          <w:kern w:val="2"/>
          <w:sz w:val="32"/>
          <w:szCs w:val="32"/>
          <w:lang w:val="en-US" w:eastAsia="zh-CN" w:bidi="ar"/>
        </w:rPr>
        <w:t>虬某公司前述以其因被侵权受到的实际损失作为赔偿基数的主张，</w:t>
      </w:r>
      <w:r>
        <w:rPr>
          <w:rFonts w:hint="eastAsia" w:ascii="仿宋_GB2312" w:hAnsi="仿宋_GB2312" w:eastAsia="仿宋_GB2312" w:cs="仿宋_GB2312"/>
          <w:color w:val="000000"/>
          <w:kern w:val="0"/>
          <w:sz w:val="32"/>
          <w:szCs w:val="32"/>
          <w:lang w:val="en-US" w:eastAsia="zh-CN" w:bidi="ar"/>
        </w:rPr>
        <w:t>本院认为，本案可以按照虬某公司因</w:t>
      </w:r>
      <w:r>
        <w:rPr>
          <w:rFonts w:hint="eastAsia" w:ascii="仿宋_GB2312" w:hAnsi="Times New Roman" w:eastAsia="仿宋_GB2312" w:cs="仿宋_GB2312"/>
          <w:kern w:val="2"/>
          <w:sz w:val="32"/>
          <w:szCs w:val="32"/>
          <w:lang w:val="en-US" w:eastAsia="zh-CN" w:bidi="ar"/>
        </w:rPr>
        <w:t>被侵权所受到的实际损失确定赔偿数额。《最高人民法院关于审理专利纠纷案件适用法律问题的若干规定》第十四条规定，权利人因被侵权所受到的实际损失可以根据专利权人的专利产品因侵权所造成销售量减少的总数乘以每件专利产品的合理利润所得之积计算。权利人销售量减少的总数难以确定的，侵权产品在市场上销售的总数乘以每件专利产品的合理利润所得之积可以视为权利人因被侵权所受到的实际损失。</w:t>
      </w:r>
    </w:p>
    <w:p>
      <w:pPr>
        <w:keepNext w:val="0"/>
        <w:keepLines w:val="0"/>
        <w:widowControl/>
        <w:suppressLineNumbers w:val="0"/>
        <w:spacing w:before="0" w:beforeAutospacing="0" w:after="0" w:afterAutospacing="0" w:line="574" w:lineRule="exact"/>
        <w:ind w:left="0" w:right="0" w:firstLine="620" w:firstLineChars="200"/>
        <w:jc w:val="left"/>
        <w:rPr>
          <w:rFonts w:hint="default" w:ascii="Times New Roman" w:hAnsi="Times New Roman" w:eastAsia="仿宋_GB2312" w:cs="Times New Roman"/>
          <w:color w:val="0000FF"/>
          <w:kern w:val="2"/>
          <w:sz w:val="32"/>
          <w:szCs w:val="32"/>
        </w:rPr>
      </w:pPr>
      <w:r>
        <w:rPr>
          <w:rFonts w:hint="eastAsia" w:ascii="仿宋_GB2312" w:hAnsi="Times New Roman" w:eastAsia="仿宋_GB2312" w:cs="仿宋_GB2312"/>
          <w:kern w:val="2"/>
          <w:sz w:val="32"/>
          <w:szCs w:val="32"/>
          <w:lang w:val="en-US" w:eastAsia="zh-CN" w:bidi="ar"/>
        </w:rPr>
        <w:t>虬某公司主张损害赔偿额自被诉侵权行为开始时间</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月计算至</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eastAsia" w:ascii="仿宋_GB2312" w:hAnsi="Times New Roman" w:eastAsia="仿宋_GB2312" w:cs="仿宋_GB2312"/>
          <w:kern w:val="2"/>
          <w:sz w:val="32"/>
          <w:szCs w:val="32"/>
          <w:lang w:val="en-US" w:eastAsia="zh-CN" w:bidi="ar"/>
        </w:rPr>
        <w:t>日。根据九某公司官方网站的宣传以及通过案外人“顶易科技</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查询的探某公司海关出口数据，主张被诉侵权产品毒刺</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车型</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年实际制造并出口</w:t>
      </w:r>
      <w:r>
        <w:rPr>
          <w:rFonts w:hint="default" w:ascii="Times New Roman" w:hAnsi="Times New Roman" w:eastAsia="仿宋_GB2312" w:cs="Times New Roman"/>
          <w:kern w:val="2"/>
          <w:sz w:val="32"/>
          <w:szCs w:val="32"/>
          <w:lang w:val="en-US" w:eastAsia="zh-CN" w:bidi="ar"/>
        </w:rPr>
        <w:t>12739</w:t>
      </w:r>
      <w:r>
        <w:rPr>
          <w:rFonts w:hint="eastAsia" w:ascii="仿宋_GB2312" w:hAnsi="Times New Roman" w:eastAsia="仿宋_GB2312" w:cs="仿宋_GB2312"/>
          <w:kern w:val="2"/>
          <w:sz w:val="32"/>
          <w:szCs w:val="32"/>
          <w:lang w:val="en-US" w:eastAsia="zh-CN" w:bidi="ar"/>
        </w:rPr>
        <w:t>台，估计毒刺</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车型</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年制造并出口同样为</w:t>
      </w:r>
      <w:r>
        <w:rPr>
          <w:rFonts w:hint="default" w:ascii="Times New Roman" w:hAnsi="Times New Roman" w:eastAsia="仿宋_GB2312" w:cs="Times New Roman"/>
          <w:kern w:val="2"/>
          <w:sz w:val="32"/>
          <w:szCs w:val="32"/>
          <w:lang w:val="en-US" w:eastAsia="zh-CN" w:bidi="ar"/>
        </w:rPr>
        <w:t>12739</w:t>
      </w:r>
      <w:r>
        <w:rPr>
          <w:rFonts w:hint="eastAsia" w:ascii="仿宋_GB2312" w:hAnsi="Times New Roman" w:eastAsia="仿宋_GB2312" w:cs="仿宋_GB2312"/>
          <w:kern w:val="2"/>
          <w:sz w:val="32"/>
          <w:szCs w:val="32"/>
          <w:lang w:val="en-US" w:eastAsia="zh-CN" w:bidi="ar"/>
        </w:rPr>
        <w:t>台，估计毒刺</w:t>
      </w:r>
      <w:r>
        <w:rPr>
          <w:rFonts w:hint="default" w:ascii="Times New Roman" w:hAnsi="Times New Roman" w:eastAsia="仿宋_GB2312" w:cs="Times New Roman"/>
          <w:kern w:val="2"/>
          <w:sz w:val="32"/>
          <w:szCs w:val="32"/>
          <w:lang w:val="en-US" w:eastAsia="zh-CN" w:bidi="ar"/>
        </w:rPr>
        <w:t>8.0</w:t>
      </w:r>
      <w:r>
        <w:rPr>
          <w:rFonts w:hint="eastAsia" w:ascii="仿宋_GB2312" w:hAnsi="Times New Roman" w:eastAsia="仿宋_GB2312" w:cs="仿宋_GB2312"/>
          <w:kern w:val="2"/>
          <w:sz w:val="32"/>
          <w:szCs w:val="32"/>
          <w:lang w:val="en-US" w:eastAsia="zh-CN" w:bidi="ar"/>
        </w:rPr>
        <w:t>车型</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年制造并出口</w:t>
      </w:r>
      <w:r>
        <w:rPr>
          <w:rFonts w:hint="default" w:ascii="Times New Roman" w:hAnsi="Times New Roman" w:eastAsia="仿宋_GB2312" w:cs="Times New Roman"/>
          <w:kern w:val="2"/>
          <w:sz w:val="32"/>
          <w:szCs w:val="32"/>
          <w:lang w:val="en-US" w:eastAsia="zh-CN" w:bidi="ar"/>
        </w:rPr>
        <w:t>20000</w:t>
      </w:r>
      <w:r>
        <w:rPr>
          <w:rFonts w:hint="eastAsia" w:ascii="仿宋_GB2312" w:hAnsi="Times New Roman" w:eastAsia="仿宋_GB2312" w:cs="仿宋_GB2312"/>
          <w:kern w:val="2"/>
          <w:sz w:val="32"/>
          <w:szCs w:val="32"/>
          <w:lang w:val="en-US" w:eastAsia="zh-CN" w:bidi="ar"/>
        </w:rPr>
        <w:t>台，以上合计</w:t>
      </w:r>
      <w:r>
        <w:rPr>
          <w:rFonts w:hint="default" w:ascii="Times New Roman" w:hAnsi="Times New Roman" w:eastAsia="仿宋_GB2312" w:cs="Times New Roman"/>
          <w:kern w:val="2"/>
          <w:sz w:val="32"/>
          <w:szCs w:val="32"/>
          <w:lang w:val="en-US" w:eastAsia="zh-CN" w:bidi="ar"/>
        </w:rPr>
        <w:t>45478</w:t>
      </w:r>
      <w:r>
        <w:rPr>
          <w:rFonts w:hint="eastAsia" w:ascii="仿宋_GB2312" w:hAnsi="Times New Roman" w:eastAsia="仿宋_GB2312" w:cs="仿宋_GB2312"/>
          <w:kern w:val="2"/>
          <w:sz w:val="32"/>
          <w:szCs w:val="32"/>
          <w:lang w:val="en-US" w:eastAsia="zh-CN" w:bidi="ar"/>
        </w:rPr>
        <w:t>台；</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月起在取得合格证之后在国内销售的侵权车辆</w:t>
      </w:r>
      <w:r>
        <w:rPr>
          <w:rFonts w:hint="default" w:ascii="Times New Roman" w:hAnsi="Times New Roman" w:eastAsia="仿宋_GB2312" w:cs="Times New Roman"/>
          <w:kern w:val="2"/>
          <w:sz w:val="32"/>
          <w:szCs w:val="32"/>
          <w:lang w:val="en-US" w:eastAsia="zh-CN" w:bidi="ar"/>
        </w:rPr>
        <w:t>915</w:t>
      </w:r>
      <w:r>
        <w:rPr>
          <w:rFonts w:hint="eastAsia" w:ascii="仿宋_GB2312" w:hAnsi="Times New Roman" w:eastAsia="仿宋_GB2312" w:cs="仿宋_GB2312"/>
          <w:kern w:val="2"/>
          <w:sz w:val="32"/>
          <w:szCs w:val="32"/>
          <w:lang w:val="en-US" w:eastAsia="zh-CN" w:bidi="ar"/>
        </w:rPr>
        <w:t>台。本院认为，九某公司称其网站文章系员工为了商业宣传发布，虬某公司也没有证据证明上述内容系探某公司、东某公司提供或授权发布，故九某公司网站宣传的销量不能视为探某公司的行为并以此作为损害赔偿计算依据。虬某公司提交的由“顶易科技</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通过</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海关数据挖掘系统</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查询的海关出口数据真实性、合法性、关联性均无法确定，亦不能作为定案依据。虽然探某公司于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月申请了</w:t>
      </w:r>
      <w:r>
        <w:rPr>
          <w:rFonts w:hint="default" w:ascii="Times New Roman" w:hAnsi="Times New Roman" w:eastAsia="仿宋_GB2312" w:cs="Times New Roman"/>
          <w:kern w:val="2"/>
          <w:sz w:val="32"/>
          <w:szCs w:val="32"/>
          <w:lang w:val="en-US" w:eastAsia="zh-CN" w:bidi="ar"/>
        </w:rPr>
        <w:t>ZL2021xxxx7125.3“</w:t>
      </w:r>
      <w:r>
        <w:rPr>
          <w:rFonts w:hint="eastAsia" w:ascii="仿宋_GB2312" w:hAnsi="Times New Roman" w:eastAsia="仿宋_GB2312" w:cs="仿宋_GB2312"/>
          <w:kern w:val="2"/>
          <w:sz w:val="32"/>
          <w:szCs w:val="32"/>
          <w:lang w:val="en-US" w:eastAsia="zh-CN" w:bidi="ar"/>
        </w:rPr>
        <w:t>电动摩托车（</w:t>
      </w:r>
      <w:r>
        <w:rPr>
          <w:rFonts w:hint="default" w:ascii="Times New Roman" w:hAnsi="Times New Roman" w:eastAsia="仿宋_GB2312" w:cs="Times New Roman"/>
          <w:kern w:val="2"/>
          <w:sz w:val="32"/>
          <w:szCs w:val="32"/>
          <w:lang w:val="en-US" w:eastAsia="zh-CN" w:bidi="ar"/>
        </w:rPr>
        <w:t>STING</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外观设计专利，但申请专利的行为本身不属于专利法规定的侵权行为具体形态，不能据此认定侵权行为开始时间。退一步讲，即便探某公司存在制造并出口摩托车的行为，但其微信公众号文章提到产品存在版本改进，尚不能确定该产品外观与本案被诉侵权产品一致。且虬某公司没有举证证明其在国外实际拥有市场份额且因探某公司的侵权行为导致其份额减少。故虬某公司关于探某公司自</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月起制造并出口被诉侵权产品的主张证据不足，本院不予支持，其主张的该部分产品销售数量不能作为确定赔偿数额的依据。</w:t>
      </w:r>
    </w:p>
    <w:p>
      <w:pPr>
        <w:keepNext w:val="0"/>
        <w:keepLines w:val="0"/>
        <w:widowControl/>
        <w:suppressLineNumbers w:val="0"/>
        <w:spacing w:before="0" w:beforeAutospacing="0" w:after="0" w:afterAutospacing="0" w:line="574" w:lineRule="exact"/>
        <w:ind w:left="0" w:right="0" w:firstLine="620" w:firstLineChars="20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根据查明的事实，探某公司、东某公司自</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月取得合格证之后在国内销售侵权车辆</w:t>
      </w:r>
      <w:r>
        <w:rPr>
          <w:rFonts w:hint="default" w:ascii="Times New Roman" w:hAnsi="Times New Roman" w:eastAsia="仿宋_GB2312" w:cs="Times New Roman"/>
          <w:kern w:val="2"/>
          <w:sz w:val="32"/>
          <w:szCs w:val="32"/>
          <w:lang w:val="en-US" w:eastAsia="zh-CN" w:bidi="ar"/>
        </w:rPr>
        <w:t>915</w:t>
      </w:r>
      <w:r>
        <w:rPr>
          <w:rFonts w:hint="eastAsia" w:ascii="仿宋_GB2312" w:hAnsi="Times New Roman" w:eastAsia="仿宋_GB2312" w:cs="仿宋_GB2312"/>
          <w:kern w:val="2"/>
          <w:sz w:val="32"/>
          <w:szCs w:val="32"/>
          <w:lang w:val="en-US" w:eastAsia="zh-CN" w:bidi="ar"/>
        </w:rPr>
        <w:t>台，可以视为虬某公司的专利产品因被侵权所减少的销量。关于专利产品的利润率，虬某公司提交了华健会计师事务所</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24</w:t>
      </w:r>
      <w:r>
        <w:rPr>
          <w:rFonts w:hint="eastAsia" w:ascii="仿宋_GB2312" w:hAnsi="Times New Roman" w:eastAsia="仿宋_GB2312" w:cs="仿宋_GB2312"/>
          <w:kern w:val="2"/>
          <w:sz w:val="32"/>
          <w:szCs w:val="32"/>
          <w:lang w:val="en-US" w:eastAsia="zh-CN" w:bidi="ar"/>
        </w:rPr>
        <w:t>日出具的《专项审计报告》，载明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年虬某公司的轻蜂系列产品销售平均单价为</w:t>
      </w:r>
      <w:r>
        <w:rPr>
          <w:rFonts w:hint="default" w:ascii="Times New Roman" w:hAnsi="Times New Roman" w:eastAsia="仿宋_GB2312" w:cs="Times New Roman"/>
          <w:kern w:val="2"/>
          <w:sz w:val="32"/>
          <w:szCs w:val="32"/>
          <w:lang w:val="en-US" w:eastAsia="zh-CN" w:bidi="ar"/>
        </w:rPr>
        <w:t>14617.30</w:t>
      </w:r>
      <w:r>
        <w:rPr>
          <w:rFonts w:hint="eastAsia" w:ascii="仿宋_GB2312" w:hAnsi="Times New Roman" w:eastAsia="仿宋_GB2312" w:cs="仿宋_GB2312"/>
          <w:kern w:val="2"/>
          <w:sz w:val="32"/>
          <w:szCs w:val="32"/>
          <w:lang w:val="en-US" w:eastAsia="zh-CN" w:bidi="ar"/>
        </w:rPr>
        <w:t>元，销售毛利润率为</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，分摊其他成本费用后的销售净利润率为</w:t>
      </w:r>
      <w:r>
        <w:rPr>
          <w:rFonts w:hint="default" w:ascii="Times New Roman" w:hAnsi="Times New Roman" w:eastAsia="仿宋_GB2312" w:cs="Times New Roman"/>
          <w:kern w:val="2"/>
          <w:sz w:val="32"/>
          <w:szCs w:val="32"/>
          <w:lang w:val="en-US" w:eastAsia="zh-CN" w:bidi="ar"/>
        </w:rPr>
        <w:t>17%</w:t>
      </w:r>
      <w:r>
        <w:rPr>
          <w:rFonts w:hint="eastAsia" w:ascii="仿宋_GB2312" w:hAnsi="Times New Roman" w:eastAsia="仿宋_GB2312" w:cs="仿宋_GB2312"/>
          <w:kern w:val="2"/>
          <w:sz w:val="32"/>
          <w:szCs w:val="32"/>
          <w:lang w:val="en-US" w:eastAsia="zh-CN" w:bidi="ar"/>
        </w:rPr>
        <w:t>。探某公司提交</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雅迪</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爱玛</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品牌企业年度报告，显示</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年度经营利润率均低于</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。本院认为，其他企业的经营利润受多种因素影响，与本案关联性不大，虬某公司提交的《专项审计报告》更具有针对性，在无相反证据足以推翻的情况下，本院予以采信。关于专利的利润贡献率，虬某公司主张</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。本院认为，涉案专利</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年被国家知识产权局授予“中国外观设计优秀奖”，</w:t>
      </w:r>
      <w:r>
        <w:rPr>
          <w:rFonts w:hint="eastAsia" w:ascii="仿宋_GB2312" w:hAnsi="Times New Roman" w:eastAsia="仿宋_GB2312" w:cs="仿宋_GB2312"/>
          <w:color w:val="000000"/>
          <w:kern w:val="2"/>
          <w:sz w:val="32"/>
          <w:szCs w:val="32"/>
          <w:lang w:val="en-US" w:eastAsia="zh-CN" w:bidi="ar"/>
        </w:rPr>
        <w:t>创新程度较高，利润贡献率也相对较高。</w:t>
      </w:r>
      <w:r>
        <w:rPr>
          <w:rFonts w:hint="eastAsia" w:ascii="仿宋_GB2312" w:hAnsi="仿宋_GB2312" w:eastAsia="仿宋_GB2312" w:cs="仿宋_GB2312"/>
          <w:color w:val="000000"/>
          <w:kern w:val="0"/>
          <w:sz w:val="32"/>
          <w:szCs w:val="32"/>
          <w:lang w:val="en-US" w:eastAsia="zh-CN" w:bidi="ar"/>
        </w:rPr>
        <w:t>但对于电动摩托车类大件商品，消费者同时会关注产品的品牌、性能、舒适度等因素，本院酌定</w:t>
      </w:r>
      <w:r>
        <w:rPr>
          <w:rFonts w:hint="eastAsia" w:ascii="仿宋_GB2312" w:hAnsi="Times New Roman" w:eastAsia="仿宋_GB2312" w:cs="仿宋_GB2312"/>
          <w:kern w:val="2"/>
          <w:sz w:val="32"/>
          <w:szCs w:val="32"/>
          <w:lang w:val="en-US" w:eastAsia="zh-CN" w:bidi="ar"/>
        </w:rPr>
        <w:t>专利利润贡献率为</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综上，</w:t>
      </w:r>
      <w:r>
        <w:rPr>
          <w:rFonts w:hint="eastAsia" w:ascii="仿宋_GB2312" w:hAnsi="Times New Roman" w:eastAsia="仿宋_GB2312" w:cs="仿宋_GB2312"/>
          <w:kern w:val="2"/>
          <w:sz w:val="32"/>
          <w:szCs w:val="32"/>
          <w:lang w:val="en-US" w:eastAsia="zh-CN" w:bidi="ar"/>
        </w:rPr>
        <w:t>虬某公司因被侵权受到的实际损失为</w:t>
      </w:r>
      <w:r>
        <w:rPr>
          <w:rFonts w:hint="default" w:ascii="Times New Roman" w:hAnsi="Times New Roman" w:eastAsia="仿宋_GB2312" w:cs="Times New Roman"/>
          <w:kern w:val="2"/>
          <w:sz w:val="32"/>
          <w:szCs w:val="32"/>
          <w:lang w:val="en-US" w:eastAsia="zh-CN" w:bidi="ar"/>
        </w:rPr>
        <w:t>915</w:t>
      </w:r>
      <w:r>
        <w:rPr>
          <w:rFonts w:hint="eastAsia" w:ascii="仿宋_GB2312" w:hAnsi="Times New Roman" w:eastAsia="仿宋_GB2312" w:cs="仿宋_GB2312"/>
          <w:kern w:val="2"/>
          <w:sz w:val="32"/>
          <w:szCs w:val="32"/>
          <w:lang w:val="en-US" w:eastAsia="zh-CN" w:bidi="ar"/>
        </w:rPr>
        <w:t>台</w:t>
      </w:r>
      <w:r>
        <w:rPr>
          <w:rFonts w:hint="default" w:ascii="Times New Roman" w:hAnsi="Times New Roman" w:eastAsia="仿宋_GB2312" w:cs="Times New Roman"/>
          <w:kern w:val="2"/>
          <w:sz w:val="32"/>
          <w:szCs w:val="32"/>
          <w:lang w:val="en-US" w:eastAsia="zh-CN" w:bidi="ar"/>
        </w:rPr>
        <w:t>×14617.30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汉仪细圆B5"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17%×25%≈568444</w:t>
      </w:r>
      <w:r>
        <w:rPr>
          <w:rFonts w:hint="eastAsia" w:ascii="仿宋_GB2312" w:hAnsi="Times New Roman" w:eastAsia="仿宋_GB2312" w:cs="仿宋_GB2312"/>
          <w:kern w:val="2"/>
          <w:sz w:val="32"/>
          <w:szCs w:val="32"/>
          <w:lang w:val="en-US" w:eastAsia="zh-CN" w:bidi="ar"/>
        </w:rPr>
        <w:t>元。</w:t>
      </w:r>
    </w:p>
    <w:p>
      <w:pPr>
        <w:keepNext w:val="0"/>
        <w:keepLines w:val="0"/>
        <w:widowControl/>
        <w:suppressLineNumbers w:val="0"/>
        <w:spacing w:before="0" w:beforeAutospacing="0" w:after="0" w:afterAutospacing="0" w:line="574" w:lineRule="exact"/>
        <w:ind w:left="0" w:right="0" w:firstLine="620" w:firstLineChars="200"/>
        <w:jc w:val="left"/>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kern w:val="2"/>
          <w:sz w:val="32"/>
          <w:szCs w:val="32"/>
          <w:lang w:val="en-US" w:eastAsia="zh-CN" w:bidi="ar"/>
        </w:rPr>
        <w:t>关于合理开支。</w:t>
      </w:r>
      <w:r>
        <w:rPr>
          <w:rFonts w:hint="eastAsia" w:ascii="仿宋_GB2312" w:hAnsi="Times New Roman" w:eastAsia="仿宋_GB2312" w:cs="仿宋_GB2312"/>
          <w:kern w:val="0"/>
          <w:sz w:val="32"/>
          <w:szCs w:val="32"/>
          <w:lang w:val="en-US" w:eastAsia="zh-CN" w:bidi="ar"/>
        </w:rPr>
        <w:t>虬某公司</w:t>
      </w:r>
      <w:r>
        <w:rPr>
          <w:rFonts w:hint="eastAsia" w:ascii="仿宋_GB2312" w:hAnsi="Times New Roman" w:eastAsia="仿宋_GB2312" w:cs="仿宋_GB2312"/>
          <w:kern w:val="2"/>
          <w:sz w:val="32"/>
          <w:szCs w:val="32"/>
          <w:lang w:val="en-US" w:eastAsia="zh-CN" w:bidi="ar"/>
        </w:rPr>
        <w:t>为维权进行</w:t>
      </w:r>
      <w:r>
        <w:rPr>
          <w:rFonts w:hint="eastAsia" w:ascii="仿宋_GB2312" w:hAnsi="Times New Roman" w:eastAsia="仿宋_GB2312" w:cs="仿宋_GB2312"/>
          <w:color w:val="000000"/>
          <w:kern w:val="2"/>
          <w:sz w:val="32"/>
          <w:szCs w:val="32"/>
          <w:lang w:val="en-US" w:eastAsia="zh-CN" w:bidi="ar"/>
        </w:rPr>
        <w:t>公证取证、购买侵权产品、聘请律师出庭，支付了相应维权费用</w:t>
      </w:r>
      <w:r>
        <w:rPr>
          <w:rFonts w:hint="eastAsia" w:ascii="仿宋_GB2312" w:hAnsi="Times New Roman" w:eastAsia="仿宋_GB2312" w:cs="仿宋_GB2312"/>
          <w:kern w:val="2"/>
          <w:sz w:val="32"/>
          <w:szCs w:val="32"/>
          <w:lang w:val="en-US" w:eastAsia="zh-CN" w:bidi="ar"/>
        </w:rPr>
        <w:t>，结合</w:t>
      </w:r>
      <w:r>
        <w:rPr>
          <w:rFonts w:hint="eastAsia" w:ascii="仿宋_GB2312" w:hAnsi="仿宋_GB2312" w:eastAsia="仿宋_GB2312" w:cs="仿宋_GB2312"/>
          <w:color w:val="000000"/>
          <w:kern w:val="0"/>
          <w:sz w:val="32"/>
          <w:szCs w:val="32"/>
          <w:lang w:val="en-US" w:eastAsia="zh-CN" w:bidi="ar"/>
        </w:rPr>
        <w:t>其诉讼请求获得支持的比例，</w:t>
      </w:r>
      <w:r>
        <w:rPr>
          <w:rFonts w:hint="eastAsia" w:ascii="仿宋_GB2312" w:hAnsi="Times New Roman" w:eastAsia="仿宋_GB2312" w:cs="仿宋_GB2312"/>
          <w:color w:val="000000"/>
          <w:kern w:val="2"/>
          <w:sz w:val="32"/>
          <w:szCs w:val="32"/>
          <w:lang w:val="en-US" w:eastAsia="zh-CN" w:bidi="ar"/>
        </w:rPr>
        <w:t>本院酌情确定虬某公司</w:t>
      </w:r>
      <w:r>
        <w:rPr>
          <w:rFonts w:hint="eastAsia" w:ascii="仿宋_GB2312" w:hAnsi="Times New Roman" w:eastAsia="仿宋_GB2312" w:cs="仿宋_GB2312"/>
          <w:kern w:val="2"/>
          <w:sz w:val="32"/>
          <w:szCs w:val="32"/>
          <w:lang w:val="en-US" w:eastAsia="zh-CN" w:bidi="ar"/>
        </w:rPr>
        <w:t>为制止侵权行为支付的合理开支为</w:t>
      </w:r>
      <w:r>
        <w:rPr>
          <w:rFonts w:hint="default" w:ascii="Times New Roman" w:hAnsi="Times New Roman" w:eastAsia="仿宋_GB2312" w:cs="Times New Roman"/>
          <w:color w:val="000000"/>
          <w:kern w:val="2"/>
          <w:sz w:val="32"/>
          <w:szCs w:val="32"/>
          <w:lang w:val="en-US" w:eastAsia="zh-CN" w:bidi="ar"/>
        </w:rPr>
        <w:t>100000</w:t>
      </w:r>
      <w:r>
        <w:rPr>
          <w:rFonts w:hint="eastAsia" w:ascii="仿宋_GB2312" w:hAnsi="Times New Roman" w:eastAsia="仿宋_GB2312" w:cs="仿宋_GB2312"/>
          <w:color w:val="000000"/>
          <w:kern w:val="2"/>
          <w:sz w:val="32"/>
          <w:szCs w:val="32"/>
          <w:lang w:val="en-US" w:eastAsia="zh-CN" w:bidi="ar"/>
        </w:rPr>
        <w:t>元</w:t>
      </w:r>
      <w:r>
        <w:rPr>
          <w:rFonts w:hint="eastAsia" w:ascii="仿宋_GB2312" w:hAnsi="Times New Roman" w:eastAsia="仿宋_GB2312" w:cs="仿宋_GB2312"/>
          <w:kern w:val="2"/>
          <w:sz w:val="32"/>
          <w:szCs w:val="32"/>
          <w:lang w:val="en-US" w:eastAsia="zh-CN" w:bidi="ar"/>
        </w:rPr>
        <w:t>。</w:t>
      </w:r>
    </w:p>
    <w:p>
      <w:pPr>
        <w:pStyle w:val="11"/>
        <w:keepNext w:val="0"/>
        <w:keepLines w:val="0"/>
        <w:widowControl w:val="0"/>
        <w:suppressLineNumbers w:val="0"/>
        <w:topLinePunct/>
        <w:autoSpaceDE w:val="0"/>
        <w:autoSpaceDN/>
        <w:spacing w:before="0" w:beforeAutospacing="0" w:after="0" w:afterAutospacing="0" w:line="574" w:lineRule="exact"/>
        <w:ind w:left="0" w:right="0" w:firstLine="620" w:firstLineChars="200"/>
        <w:jc w:val="both"/>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综上，虬某公司的上诉请求部分成立，本院予以支持。依照《中华人民共和国专利法》第十一条第二款、第六十四条第二款、第七十一条，《最高人民法院关于审理侵犯专利权纠纷案件应用法律若干问题的解释》第八条、第十条、第十一条，《最高人民法院关于审理侵犯专利权纠纷案件应用法律若干问题的解释（二）》第十四条，《中华人民共和国民事诉讼法》第一百七十七条第一款第二项规定，判决如下：</w:t>
      </w:r>
    </w:p>
    <w:p>
      <w:pPr>
        <w:pStyle w:val="11"/>
        <w:keepNext w:val="0"/>
        <w:keepLines w:val="0"/>
        <w:widowControl w:val="0"/>
        <w:suppressLineNumbers w:val="0"/>
        <w:topLinePunct/>
        <w:autoSpaceDE w:val="0"/>
        <w:autoSpaceDN/>
        <w:spacing w:before="0" w:beforeAutospacing="0" w:after="0" w:afterAutospacing="0" w:line="574" w:lineRule="exact"/>
        <w:ind w:left="0" w:right="0" w:firstLine="620" w:firstLineChars="200"/>
        <w:jc w:val="both"/>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一、撤销浙江省杭州市中级人民法院（</w:t>
      </w:r>
      <w:r>
        <w:rPr>
          <w:rFonts w:hint="default" w:ascii="Times New Roman" w:hAnsi="Times New Roman" w:eastAsia="仿宋_GB2312" w:cs="Times New Roman"/>
          <w:color w:val="000000"/>
          <w:kern w:val="2"/>
          <w:sz w:val="32"/>
          <w:szCs w:val="32"/>
          <w:lang w:val="en-US" w:eastAsia="zh-CN" w:bidi="ar"/>
        </w:rPr>
        <w:t>2023</w:t>
      </w:r>
      <w:r>
        <w:rPr>
          <w:rFonts w:hint="eastAsia" w:ascii="仿宋_GB2312" w:hAnsi="Times New Roman" w:eastAsia="仿宋_GB2312" w:cs="仿宋_GB2312"/>
          <w:color w:val="000000"/>
          <w:kern w:val="2"/>
          <w:sz w:val="32"/>
          <w:szCs w:val="32"/>
          <w:lang w:val="en-US" w:eastAsia="zh-CN" w:bidi="ar"/>
        </w:rPr>
        <w:t>）浙</w:t>
      </w:r>
      <w:r>
        <w:rPr>
          <w:rFonts w:hint="default" w:ascii="Times New Roman" w:hAnsi="Times New Roman" w:eastAsia="仿宋_GB2312" w:cs="Times New Roman"/>
          <w:color w:val="000000"/>
          <w:kern w:val="2"/>
          <w:sz w:val="32"/>
          <w:szCs w:val="32"/>
          <w:lang w:val="en-US" w:eastAsia="zh-CN" w:bidi="ar"/>
        </w:rPr>
        <w:t>01</w:t>
      </w:r>
      <w:r>
        <w:rPr>
          <w:rFonts w:hint="eastAsia" w:ascii="仿宋_GB2312" w:hAnsi="Times New Roman" w:eastAsia="仿宋_GB2312" w:cs="仿宋_GB2312"/>
          <w:color w:val="000000"/>
          <w:kern w:val="2"/>
          <w:sz w:val="32"/>
          <w:szCs w:val="32"/>
          <w:lang w:val="en-US" w:eastAsia="zh-CN" w:bidi="ar"/>
        </w:rPr>
        <w:t>民初</w:t>
      </w:r>
      <w:r>
        <w:rPr>
          <w:rFonts w:hint="default" w:ascii="Times New Roman" w:hAnsi="Times New Roman" w:eastAsia="仿宋_GB2312" w:cs="Times New Roman"/>
          <w:color w:val="000000"/>
          <w:kern w:val="2"/>
          <w:sz w:val="32"/>
          <w:szCs w:val="32"/>
          <w:lang w:val="en-US" w:eastAsia="zh-CN" w:bidi="ar"/>
        </w:rPr>
        <w:t>2235</w:t>
      </w:r>
      <w:r>
        <w:rPr>
          <w:rFonts w:hint="eastAsia" w:ascii="仿宋_GB2312" w:hAnsi="Times New Roman" w:eastAsia="仿宋_GB2312" w:cs="仿宋_GB2312"/>
          <w:color w:val="000000"/>
          <w:kern w:val="2"/>
          <w:sz w:val="32"/>
          <w:szCs w:val="32"/>
          <w:lang w:val="en-US" w:eastAsia="zh-CN" w:bidi="ar"/>
        </w:rPr>
        <w:t>号民事判决；</w:t>
      </w:r>
    </w:p>
    <w:p>
      <w:pPr>
        <w:pStyle w:val="11"/>
        <w:keepNext w:val="0"/>
        <w:keepLines w:val="0"/>
        <w:widowControl w:val="0"/>
        <w:suppressLineNumbers w:val="0"/>
        <w:topLinePunct/>
        <w:autoSpaceDE w:val="0"/>
        <w:autoSpaceDN/>
        <w:spacing w:before="0" w:beforeAutospacing="0" w:after="0" w:afterAutospacing="0" w:line="574" w:lineRule="exact"/>
        <w:ind w:left="0" w:right="0" w:firstLine="620" w:firstLineChars="200"/>
        <w:jc w:val="both"/>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二、探某科技（重庆）有限公司、重庆东某摩托车制造有限公司立即停止制造、销售侵害重庆虬某科技有限公司专利号为</w:t>
      </w:r>
      <w:r>
        <w:rPr>
          <w:rFonts w:hint="default" w:ascii="Times New Roman" w:hAnsi="Times New Roman" w:eastAsia="仿宋_GB2312" w:cs="Times New Roman"/>
          <w:color w:val="000000"/>
          <w:kern w:val="2"/>
          <w:sz w:val="32"/>
          <w:szCs w:val="32"/>
          <w:lang w:val="en-US" w:eastAsia="zh-CN" w:bidi="ar"/>
        </w:rPr>
        <w:t>ZL2017xxxx7820.5</w:t>
      </w:r>
      <w:r>
        <w:rPr>
          <w:rFonts w:hint="eastAsia" w:ascii="仿宋_GB2312" w:hAnsi="Times New Roman" w:eastAsia="仿宋_GB2312" w:cs="仿宋_GB2312"/>
          <w:color w:val="000000"/>
          <w:kern w:val="2"/>
          <w:sz w:val="32"/>
          <w:szCs w:val="32"/>
          <w:lang w:val="en-US" w:eastAsia="zh-CN" w:bidi="ar"/>
        </w:rPr>
        <w:t>、名称为“轻型电动越野摩托车”的外观设计专利权的产品；</w:t>
      </w:r>
    </w:p>
    <w:p>
      <w:pPr>
        <w:pStyle w:val="11"/>
        <w:keepNext w:val="0"/>
        <w:keepLines w:val="0"/>
        <w:widowControl w:val="0"/>
        <w:suppressLineNumbers w:val="0"/>
        <w:topLinePunct/>
        <w:autoSpaceDE w:val="0"/>
        <w:autoSpaceDN/>
        <w:spacing w:before="0" w:beforeAutospacing="0" w:after="0" w:afterAutospacing="0" w:line="574" w:lineRule="exact"/>
        <w:ind w:left="0" w:right="0" w:firstLine="620" w:firstLineChars="200"/>
        <w:jc w:val="both"/>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三、探某科技（重庆）有限公司、安徽九某智能科技有限公司立即停止许诺销售侵害重庆虬某科技有限公司专利号为</w:t>
      </w:r>
      <w:r>
        <w:rPr>
          <w:rFonts w:hint="default" w:ascii="Times New Roman" w:hAnsi="Times New Roman" w:eastAsia="仿宋_GB2312" w:cs="Times New Roman"/>
          <w:color w:val="000000"/>
          <w:kern w:val="2"/>
          <w:sz w:val="32"/>
          <w:szCs w:val="32"/>
          <w:lang w:val="en-US" w:eastAsia="zh-CN" w:bidi="ar"/>
        </w:rPr>
        <w:t>ZL2017xxxx7820.5</w:t>
      </w:r>
      <w:r>
        <w:rPr>
          <w:rFonts w:hint="eastAsia" w:ascii="仿宋_GB2312" w:hAnsi="Times New Roman" w:eastAsia="仿宋_GB2312" w:cs="仿宋_GB2312"/>
          <w:color w:val="000000"/>
          <w:kern w:val="2"/>
          <w:sz w:val="32"/>
          <w:szCs w:val="32"/>
          <w:lang w:val="en-US" w:eastAsia="zh-CN" w:bidi="ar"/>
        </w:rPr>
        <w:t>、名称为“轻型电动越野摩托车”的外观设计专利权的产品；</w:t>
      </w:r>
    </w:p>
    <w:p>
      <w:pPr>
        <w:pStyle w:val="11"/>
        <w:keepNext w:val="0"/>
        <w:keepLines w:val="0"/>
        <w:widowControl w:val="0"/>
        <w:suppressLineNumbers w:val="0"/>
        <w:topLinePunct/>
        <w:autoSpaceDE w:val="0"/>
        <w:autoSpaceDN/>
        <w:spacing w:before="0" w:beforeAutospacing="0" w:after="0" w:afterAutospacing="0" w:line="574" w:lineRule="exact"/>
        <w:ind w:left="0" w:right="0" w:firstLine="620" w:firstLineChars="200"/>
        <w:jc w:val="both"/>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四、探某科技（重庆）有限公司、重庆东某摩托车制造有限公司于本判决送达之日起十日内连带赔偿重庆虬某科技有限公司经济损失</w:t>
      </w:r>
      <w:r>
        <w:rPr>
          <w:rFonts w:hint="default" w:ascii="Times New Roman" w:hAnsi="Times New Roman" w:eastAsia="仿宋_GB2312" w:cs="Times New Roman"/>
          <w:color w:val="000000"/>
          <w:kern w:val="2"/>
          <w:sz w:val="32"/>
          <w:szCs w:val="32"/>
          <w:lang w:val="en-US" w:eastAsia="zh-CN" w:bidi="ar"/>
        </w:rPr>
        <w:t>568444</w:t>
      </w:r>
      <w:r>
        <w:rPr>
          <w:rFonts w:hint="eastAsia" w:ascii="仿宋_GB2312" w:hAnsi="Times New Roman" w:eastAsia="仿宋_GB2312" w:cs="仿宋_GB2312"/>
          <w:color w:val="000000"/>
          <w:kern w:val="2"/>
          <w:sz w:val="32"/>
          <w:szCs w:val="32"/>
          <w:lang w:val="en-US" w:eastAsia="zh-CN" w:bidi="ar"/>
        </w:rPr>
        <w:t>元及为制止侵权所支出的合理费用</w:t>
      </w:r>
      <w:r>
        <w:rPr>
          <w:rFonts w:hint="default" w:ascii="Times New Roman" w:hAnsi="Times New Roman" w:eastAsia="仿宋_GB2312" w:cs="Times New Roman"/>
          <w:color w:val="000000"/>
          <w:kern w:val="2"/>
          <w:sz w:val="32"/>
          <w:szCs w:val="32"/>
          <w:lang w:val="en-US" w:eastAsia="zh-CN" w:bidi="ar"/>
        </w:rPr>
        <w:t>100000</w:t>
      </w:r>
      <w:r>
        <w:rPr>
          <w:rFonts w:hint="eastAsia" w:ascii="仿宋_GB2312" w:hAnsi="Times New Roman" w:eastAsia="仿宋_GB2312" w:cs="仿宋_GB2312"/>
          <w:color w:val="000000"/>
          <w:kern w:val="2"/>
          <w:sz w:val="32"/>
          <w:szCs w:val="32"/>
          <w:lang w:val="en-US" w:eastAsia="zh-CN" w:bidi="ar"/>
        </w:rPr>
        <w:t>元；重庆港某机械制造有限公司对重庆东某摩托车制造有限公司的赔偿金额承担连带责任；</w:t>
      </w:r>
    </w:p>
    <w:p>
      <w:pPr>
        <w:pStyle w:val="11"/>
        <w:keepNext w:val="0"/>
        <w:keepLines w:val="0"/>
        <w:widowControl w:val="0"/>
        <w:suppressLineNumbers w:val="0"/>
        <w:topLinePunct/>
        <w:autoSpaceDE w:val="0"/>
        <w:autoSpaceDN/>
        <w:spacing w:before="0" w:beforeAutospacing="0" w:after="0" w:afterAutospacing="0" w:line="574" w:lineRule="exact"/>
        <w:ind w:left="0" w:right="0" w:firstLine="620" w:firstLineChars="200"/>
        <w:jc w:val="both"/>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五、驳回重庆虬某科技有限公司的其他诉讼请求。</w:t>
      </w:r>
    </w:p>
    <w:p>
      <w:pPr>
        <w:pStyle w:val="11"/>
        <w:keepNext w:val="0"/>
        <w:keepLines w:val="0"/>
        <w:widowControl w:val="0"/>
        <w:suppressLineNumbers w:val="0"/>
        <w:topLinePunct/>
        <w:autoSpaceDE w:val="0"/>
        <w:autoSpaceDN/>
        <w:spacing w:before="0" w:beforeAutospacing="0" w:after="0" w:afterAutospacing="0" w:line="574" w:lineRule="exact"/>
        <w:ind w:left="0" w:right="0" w:firstLine="620" w:firstLineChars="200"/>
        <w:jc w:val="both"/>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如果未按本判决指定的期间履行给付金钱义务，应当依照《中华人民共和国民事诉讼法》第二百六十四条之规定，加倍支付迟延履行期间的债务利息。</w:t>
      </w:r>
    </w:p>
    <w:p>
      <w:pPr>
        <w:pStyle w:val="11"/>
        <w:keepNext w:val="0"/>
        <w:keepLines w:val="0"/>
        <w:widowControl w:val="0"/>
        <w:suppressLineNumbers w:val="0"/>
        <w:topLinePunct/>
        <w:autoSpaceDE w:val="0"/>
        <w:autoSpaceDN/>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color w:val="000000"/>
          <w:kern w:val="2"/>
          <w:sz w:val="32"/>
          <w:szCs w:val="32"/>
          <w:lang w:val="en-US" w:eastAsia="zh-CN" w:bidi="ar"/>
        </w:rPr>
        <w:t>本案一审案件受理费</w:t>
      </w:r>
      <w:r>
        <w:rPr>
          <w:rFonts w:hint="default" w:ascii="Times New Roman" w:hAnsi="Times New Roman" w:eastAsia="仿宋_GB2312" w:cs="Times New Roman"/>
          <w:color w:val="000000"/>
          <w:kern w:val="2"/>
          <w:sz w:val="32"/>
          <w:szCs w:val="32"/>
          <w:lang w:val="en-US" w:eastAsia="zh-CN" w:bidi="ar"/>
        </w:rPr>
        <w:t>292601</w:t>
      </w:r>
      <w:r>
        <w:rPr>
          <w:rFonts w:hint="eastAsia" w:ascii="仿宋_GB2312" w:hAnsi="Times New Roman" w:eastAsia="仿宋_GB2312" w:cs="仿宋_GB2312"/>
          <w:color w:val="000000"/>
          <w:kern w:val="2"/>
          <w:sz w:val="32"/>
          <w:szCs w:val="32"/>
          <w:lang w:val="en-US" w:eastAsia="zh-CN" w:bidi="ar"/>
        </w:rPr>
        <w:t>元，财产保全费</w:t>
      </w:r>
      <w:r>
        <w:rPr>
          <w:rFonts w:hint="default" w:ascii="Times New Roman" w:hAnsi="Times New Roman" w:eastAsia="仿宋_GB2312" w:cs="Times New Roman"/>
          <w:color w:val="000000"/>
          <w:kern w:val="2"/>
          <w:sz w:val="32"/>
          <w:szCs w:val="32"/>
          <w:lang w:val="en-US" w:eastAsia="zh-CN" w:bidi="ar"/>
        </w:rPr>
        <w:t>5000</w:t>
      </w:r>
      <w:r>
        <w:rPr>
          <w:rFonts w:hint="eastAsia" w:ascii="仿宋_GB2312" w:hAnsi="Times New Roman" w:eastAsia="仿宋_GB2312" w:cs="仿宋_GB2312"/>
          <w:color w:val="000000"/>
          <w:kern w:val="2"/>
          <w:sz w:val="32"/>
          <w:szCs w:val="32"/>
          <w:lang w:val="en-US" w:eastAsia="zh-CN" w:bidi="ar"/>
        </w:rPr>
        <w:t>元，合计</w:t>
      </w:r>
      <w:r>
        <w:rPr>
          <w:rFonts w:hint="default" w:ascii="Times New Roman" w:hAnsi="Times New Roman" w:eastAsia="仿宋_GB2312" w:cs="Times New Roman"/>
          <w:color w:val="000000"/>
          <w:kern w:val="2"/>
          <w:sz w:val="32"/>
          <w:szCs w:val="32"/>
          <w:lang w:val="en-US" w:eastAsia="zh-CN" w:bidi="ar"/>
        </w:rPr>
        <w:t>297601</w:t>
      </w:r>
      <w:r>
        <w:rPr>
          <w:rFonts w:hint="eastAsia" w:ascii="仿宋_GB2312" w:hAnsi="Times New Roman" w:eastAsia="仿宋_GB2312" w:cs="仿宋_GB2312"/>
          <w:color w:val="000000"/>
          <w:kern w:val="2"/>
          <w:sz w:val="32"/>
          <w:szCs w:val="32"/>
          <w:lang w:val="en-US" w:eastAsia="zh-CN" w:bidi="ar"/>
        </w:rPr>
        <w:t>元，由重庆虬某科技有限公司负担</w:t>
      </w:r>
      <w:r>
        <w:rPr>
          <w:rFonts w:hint="default" w:ascii="Times New Roman" w:hAnsi="Times New Roman" w:eastAsia="仿宋_GB2312" w:cs="Times New Roman"/>
          <w:color w:val="000000"/>
          <w:kern w:val="2"/>
          <w:sz w:val="32"/>
          <w:szCs w:val="32"/>
          <w:lang w:val="en-US" w:eastAsia="zh-CN" w:bidi="ar"/>
        </w:rPr>
        <w:t>146817.5</w:t>
      </w:r>
      <w:r>
        <w:rPr>
          <w:rFonts w:hint="eastAsia" w:ascii="仿宋_GB2312" w:hAnsi="Times New Roman" w:eastAsia="仿宋_GB2312" w:cs="仿宋_GB2312"/>
          <w:color w:val="000000"/>
          <w:kern w:val="2"/>
          <w:sz w:val="32"/>
          <w:szCs w:val="32"/>
          <w:lang w:val="en-US" w:eastAsia="zh-CN" w:bidi="ar"/>
        </w:rPr>
        <w:t>元，探某科技（重庆）有限公司、重庆东某摩托车制造有限公司负担</w:t>
      </w:r>
      <w:r>
        <w:rPr>
          <w:rFonts w:hint="default" w:ascii="Times New Roman" w:hAnsi="Times New Roman" w:eastAsia="仿宋_GB2312" w:cs="Times New Roman"/>
          <w:color w:val="000000"/>
          <w:kern w:val="2"/>
          <w:sz w:val="32"/>
          <w:szCs w:val="32"/>
          <w:lang w:val="en-US" w:eastAsia="zh-CN" w:bidi="ar"/>
        </w:rPr>
        <w:t>150783.5</w:t>
      </w:r>
      <w:r>
        <w:rPr>
          <w:rFonts w:hint="eastAsia" w:ascii="仿宋_GB2312" w:hAnsi="Times New Roman" w:eastAsia="仿宋_GB2312" w:cs="仿宋_GB2312"/>
          <w:color w:val="000000"/>
          <w:kern w:val="2"/>
          <w:sz w:val="32"/>
          <w:szCs w:val="32"/>
          <w:lang w:val="en-US" w:eastAsia="zh-CN" w:bidi="ar"/>
        </w:rPr>
        <w:t>元，重庆港某机械制造有限公司对重庆东某摩托车制造有限公司应负担部分承担连带责任。二审案件受理费</w:t>
      </w:r>
      <w:r>
        <w:rPr>
          <w:rFonts w:hint="default" w:ascii="Times New Roman" w:hAnsi="Times New Roman" w:eastAsia="仿宋_GB2312" w:cs="Times New Roman"/>
          <w:color w:val="000000"/>
          <w:kern w:val="2"/>
          <w:sz w:val="32"/>
          <w:szCs w:val="32"/>
          <w:lang w:val="en-US" w:eastAsia="zh-CN" w:bidi="ar"/>
        </w:rPr>
        <w:t>292601</w:t>
      </w:r>
      <w:r>
        <w:rPr>
          <w:rFonts w:hint="eastAsia" w:ascii="仿宋_GB2312" w:hAnsi="Times New Roman" w:eastAsia="仿宋_GB2312" w:cs="仿宋_GB2312"/>
          <w:color w:val="000000"/>
          <w:kern w:val="2"/>
          <w:sz w:val="32"/>
          <w:szCs w:val="32"/>
          <w:lang w:val="en-US" w:eastAsia="zh-CN" w:bidi="ar"/>
        </w:rPr>
        <w:t>元，由重庆虬某科技有限公司负担</w:t>
      </w:r>
      <w:r>
        <w:rPr>
          <w:rFonts w:hint="default" w:ascii="Times New Roman" w:hAnsi="Times New Roman" w:eastAsia="仿宋_GB2312" w:cs="Times New Roman"/>
          <w:color w:val="000000"/>
          <w:kern w:val="2"/>
          <w:sz w:val="32"/>
          <w:szCs w:val="32"/>
          <w:lang w:val="en-US" w:eastAsia="zh-CN" w:bidi="ar"/>
        </w:rPr>
        <w:t>144351</w:t>
      </w:r>
      <w:r>
        <w:rPr>
          <w:rFonts w:hint="eastAsia" w:ascii="仿宋_GB2312" w:hAnsi="Times New Roman" w:eastAsia="仿宋_GB2312" w:cs="仿宋_GB2312"/>
          <w:color w:val="000000"/>
          <w:kern w:val="2"/>
          <w:sz w:val="32"/>
          <w:szCs w:val="32"/>
          <w:lang w:val="en-US" w:eastAsia="zh-CN" w:bidi="ar"/>
        </w:rPr>
        <w:t>元，探某科技（重庆）有限公司、重庆东某摩托车制造有限公司负担</w:t>
      </w:r>
      <w:r>
        <w:rPr>
          <w:rFonts w:hint="default" w:ascii="Times New Roman" w:hAnsi="Times New Roman" w:eastAsia="仿宋_GB2312" w:cs="Times New Roman"/>
          <w:color w:val="000000"/>
          <w:kern w:val="2"/>
          <w:sz w:val="32"/>
          <w:szCs w:val="32"/>
          <w:lang w:val="en-US" w:eastAsia="zh-CN" w:bidi="ar"/>
        </w:rPr>
        <w:t>148250</w:t>
      </w:r>
      <w:r>
        <w:rPr>
          <w:rFonts w:hint="eastAsia" w:ascii="仿宋_GB2312" w:hAnsi="Times New Roman" w:eastAsia="仿宋_GB2312" w:cs="仿宋_GB2312"/>
          <w:color w:val="000000"/>
          <w:kern w:val="2"/>
          <w:sz w:val="32"/>
          <w:szCs w:val="32"/>
          <w:lang w:val="en-US" w:eastAsia="zh-CN" w:bidi="ar"/>
        </w:rPr>
        <w:t>元，重庆港某机械制造有限公司</w:t>
      </w:r>
      <w:r>
        <w:rPr>
          <w:rFonts w:hint="eastAsia" w:ascii="仿宋_GB2312" w:hAnsi="Times New Roman" w:eastAsia="仿宋_GB2312" w:cs="仿宋_GB2312"/>
          <w:kern w:val="2"/>
          <w:sz w:val="32"/>
          <w:szCs w:val="32"/>
          <w:lang w:val="en-US" w:eastAsia="zh-CN" w:bidi="ar"/>
        </w:rPr>
        <w:t>对重庆东某摩托车制造有限公司应负担部分承担连带责任。</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本判决为终审判决。</w:t>
      </w:r>
    </w:p>
    <w:p>
      <w:pPr>
        <w:keepNext w:val="0"/>
        <w:keepLines w:val="0"/>
        <w:widowControl w:val="0"/>
        <w:suppressLineNumbers w:val="0"/>
        <w:autoSpaceDE w:val="0"/>
        <w:autoSpaceDN/>
        <w:adjustRightInd w:val="0"/>
        <w:spacing w:before="0" w:beforeAutospacing="0" w:after="0" w:afterAutospacing="0" w:line="574" w:lineRule="exact"/>
        <w:ind w:left="0" w:right="0" w:firstLine="620" w:firstLineChars="200"/>
        <w:jc w:val="both"/>
        <w:rPr>
          <w:rFonts w:hint="default" w:ascii="Times New Roman" w:hAnsi="Times New Roman" w:eastAsia="仿宋_GB2312" w:cs="Times New Roman"/>
          <w:kern w:val="2"/>
          <w:sz w:val="32"/>
          <w:szCs w:val="32"/>
        </w:rPr>
      </w:pPr>
      <w:bookmarkStart w:id="1" w:name="_GoBack"/>
      <w:bookmarkEnd w:id="1"/>
    </w:p>
    <w:p>
      <w:pPr>
        <w:pStyle w:val="4"/>
        <w:keepNext w:val="0"/>
        <w:keepLines w:val="0"/>
        <w:pageBreakBefore w:val="0"/>
        <w:widowControl w:val="0"/>
        <w:kinsoku/>
        <w:wordWrap/>
        <w:overflowPunct/>
        <w:topLinePunct w:val="0"/>
        <w:autoSpaceDE/>
        <w:autoSpaceDN/>
        <w:bidi w:val="0"/>
        <w:snapToGrid/>
        <w:spacing w:line="574" w:lineRule="exact"/>
        <w:textAlignment w:val="auto"/>
        <w:rPr>
          <w:rFonts w:hint="default" w:ascii="Times New Roman" w:hAnsi="Times New Roman" w:cs="Times New Roman"/>
          <w:lang w:val="en-US" w:eastAsia="zh-CN"/>
        </w:rPr>
      </w:pPr>
    </w:p>
    <w:p>
      <w:pPr>
        <w:pStyle w:val="4"/>
        <w:keepNext w:val="0"/>
        <w:keepLines w:val="0"/>
        <w:pageBreakBefore w:val="0"/>
        <w:widowControl w:val="0"/>
        <w:kinsoku/>
        <w:wordWrap/>
        <w:overflowPunct/>
        <w:topLinePunct w:val="0"/>
        <w:autoSpaceDE/>
        <w:autoSpaceDN/>
        <w:bidi w:val="0"/>
        <w:snapToGrid/>
        <w:spacing w:line="574" w:lineRule="exact"/>
        <w:textAlignment w:val="auto"/>
        <w:rPr>
          <w:rFonts w:hint="default" w:ascii="Times New Roman" w:hAnsi="Times New Roman" w:cs="Times New Roman"/>
          <w:lang w:val="en-US" w:eastAsia="zh-CN"/>
        </w:rPr>
      </w:pPr>
    </w:p>
    <w:p>
      <w:pPr>
        <w:keepNext w:val="0"/>
        <w:keepLines w:val="0"/>
        <w:pageBreakBefore w:val="0"/>
        <w:widowControl w:val="0"/>
        <w:tabs>
          <w:tab w:val="left" w:pos="4304"/>
          <w:tab w:val="left" w:pos="5954"/>
          <w:tab w:val="left" w:pos="6521"/>
          <w:tab w:val="left" w:pos="7230"/>
          <w:tab w:val="left" w:pos="7938"/>
        </w:tabs>
        <w:kinsoku/>
        <w:wordWrap/>
        <w:overflowPunct/>
        <w:topLinePunct w:val="0"/>
        <w:autoSpaceDE/>
        <w:autoSpaceDN/>
        <w:bidi w:val="0"/>
        <w:snapToGrid/>
        <w:spacing w:line="574" w:lineRule="exact"/>
        <w:ind w:firstLine="4349" w:firstLineChars="1403"/>
        <w:textAlignment w:val="auto"/>
        <w:rPr>
          <w:rFonts w:hint="default" w:ascii="Times New Roman" w:hAnsi="Times New Roman" w:eastAsia="仿宋_GB2312" w:cs="Times New Roman"/>
          <w:sz w:val="32"/>
          <w:lang w:eastAsia="zh-CN"/>
        </w:rPr>
      </w:pPr>
      <w:r>
        <w:rPr>
          <w:rFonts w:hint="default" w:ascii="Times New Roman" w:hAnsi="Times New Roman" w:cs="Times New Roman"/>
          <w:sz w:val="32"/>
        </w:rPr>
        <w:t xml:space="preserve">审  判  长    </w:t>
      </w:r>
      <w:r>
        <w:rPr>
          <w:rFonts w:hint="default" w:ascii="Times New Roman" w:hAnsi="Times New Roman" w:cs="Times New Roman"/>
          <w:sz w:val="32"/>
          <w:lang w:eastAsia="zh-CN"/>
        </w:rPr>
        <w:t>陈</w:t>
      </w:r>
      <w:r>
        <w:rPr>
          <w:rFonts w:hint="default" w:ascii="Times New Roman" w:hAnsi="Times New Roman" w:cs="Times New Roman"/>
          <w:sz w:val="32"/>
          <w:lang w:val="en-US" w:eastAsia="zh-CN"/>
        </w:rPr>
        <w:t xml:space="preserve">      </w:t>
      </w:r>
      <w:r>
        <w:rPr>
          <w:rFonts w:hint="default" w:ascii="Times New Roman" w:hAnsi="Times New Roman" w:cs="Times New Roman"/>
          <w:sz w:val="32"/>
          <w:lang w:eastAsia="zh-CN"/>
        </w:rPr>
        <w:t>为</w:t>
      </w:r>
    </w:p>
    <w:p>
      <w:pPr>
        <w:keepNext w:val="0"/>
        <w:keepLines w:val="0"/>
        <w:pageBreakBefore w:val="0"/>
        <w:widowControl w:val="0"/>
        <w:tabs>
          <w:tab w:val="left" w:pos="6456"/>
          <w:tab w:val="left" w:pos="6725"/>
          <w:tab w:val="left" w:pos="7263"/>
        </w:tabs>
        <w:kinsoku/>
        <w:wordWrap/>
        <w:overflowPunct/>
        <w:topLinePunct w:val="0"/>
        <w:autoSpaceDE/>
        <w:autoSpaceDN/>
        <w:bidi w:val="0"/>
        <w:snapToGrid/>
        <w:spacing w:line="574" w:lineRule="exact"/>
        <w:ind w:firstLine="4349" w:firstLineChars="1403"/>
        <w:textAlignment w:val="auto"/>
        <w:rPr>
          <w:rFonts w:hint="default" w:ascii="Times New Roman" w:hAnsi="Times New Roman" w:eastAsia="仿宋_GB2312" w:cs="Times New Roman"/>
          <w:sz w:val="32"/>
          <w:lang w:eastAsia="zh-CN"/>
        </w:rPr>
      </w:pPr>
      <w:r>
        <w:rPr>
          <w:rFonts w:hint="default" w:ascii="Times New Roman" w:hAnsi="Times New Roman" w:cs="Times New Roman"/>
          <w:sz w:val="32"/>
        </w:rPr>
        <w:t xml:space="preserve">审  判  员    </w:t>
      </w:r>
      <w:r>
        <w:rPr>
          <w:rFonts w:hint="default" w:ascii="Times New Roman" w:hAnsi="Times New Roman" w:cs="Times New Roman"/>
          <w:sz w:val="32"/>
          <w:lang w:eastAsia="zh-CN"/>
        </w:rPr>
        <w:t>郭</w:t>
      </w:r>
      <w:r>
        <w:rPr>
          <w:rFonts w:hint="default" w:ascii="Times New Roman" w:hAnsi="Times New Roman" w:cs="Times New Roman"/>
          <w:sz w:val="32"/>
        </w:rPr>
        <w:t xml:space="preserve">  </w:t>
      </w:r>
      <w:r>
        <w:rPr>
          <w:rFonts w:hint="default" w:ascii="Times New Roman" w:hAnsi="Times New Roman" w:cs="Times New Roman"/>
          <w:sz w:val="32"/>
          <w:lang w:eastAsia="zh-CN"/>
        </w:rPr>
        <w:t>剑</w:t>
      </w:r>
      <w:r>
        <w:rPr>
          <w:rFonts w:hint="default" w:ascii="Times New Roman" w:hAnsi="Times New Roman" w:cs="Times New Roman"/>
          <w:sz w:val="32"/>
        </w:rPr>
        <w:t xml:space="preserve">  </w:t>
      </w:r>
      <w:r>
        <w:rPr>
          <w:rFonts w:hint="default" w:ascii="Times New Roman" w:hAnsi="Times New Roman" w:cs="Times New Roman"/>
          <w:sz w:val="32"/>
          <w:lang w:eastAsia="zh-CN"/>
        </w:rPr>
        <w:t>霞</w:t>
      </w:r>
    </w:p>
    <w:p>
      <w:pPr>
        <w:keepNext w:val="0"/>
        <w:keepLines w:val="0"/>
        <w:pageBreakBefore w:val="0"/>
        <w:widowControl w:val="0"/>
        <w:tabs>
          <w:tab w:val="left" w:pos="5918"/>
          <w:tab w:val="left" w:pos="6456"/>
          <w:tab w:val="left" w:pos="7263"/>
          <w:tab w:val="left" w:pos="8100"/>
        </w:tabs>
        <w:kinsoku/>
        <w:wordWrap/>
        <w:overflowPunct/>
        <w:topLinePunct w:val="0"/>
        <w:autoSpaceDE/>
        <w:autoSpaceDN/>
        <w:bidi w:val="0"/>
        <w:snapToGrid/>
        <w:spacing w:line="574" w:lineRule="exact"/>
        <w:ind w:firstLine="4349" w:firstLineChars="1403"/>
        <w:textAlignment w:val="auto"/>
        <w:rPr>
          <w:rFonts w:hint="default" w:ascii="Times New Roman" w:hAnsi="Times New Roman" w:eastAsia="仿宋_GB2312" w:cs="Times New Roman"/>
          <w:sz w:val="32"/>
          <w:lang w:eastAsia="zh-CN"/>
        </w:rPr>
      </w:pPr>
      <w:r>
        <w:rPr>
          <w:rFonts w:hint="default" w:ascii="Times New Roman" w:hAnsi="Times New Roman" w:cs="Times New Roman"/>
          <w:sz w:val="32"/>
        </w:rPr>
        <w:t xml:space="preserve">审  判  员    </w:t>
      </w:r>
      <w:r>
        <w:rPr>
          <w:rFonts w:hint="default" w:ascii="Times New Roman" w:hAnsi="Times New Roman" w:cs="Times New Roman"/>
          <w:sz w:val="32"/>
          <w:lang w:eastAsia="zh-CN"/>
        </w:rPr>
        <w:t>曾</w:t>
      </w:r>
      <w:r>
        <w:rPr>
          <w:rFonts w:hint="default" w:ascii="Times New Roman" w:hAnsi="Times New Roman" w:cs="Times New Roman"/>
          <w:sz w:val="32"/>
          <w:lang w:val="en-US" w:eastAsia="zh-CN"/>
        </w:rPr>
        <w:t xml:space="preserve">  </w:t>
      </w:r>
      <w:r>
        <w:rPr>
          <w:rFonts w:hint="default" w:ascii="Times New Roman" w:hAnsi="Times New Roman" w:cs="Times New Roman"/>
          <w:sz w:val="32"/>
          <w:lang w:eastAsia="zh-CN"/>
        </w:rPr>
        <w:t>梦</w:t>
      </w:r>
      <w:r>
        <w:rPr>
          <w:rFonts w:hint="default" w:ascii="Times New Roman" w:hAnsi="Times New Roman" w:cs="Times New Roman"/>
          <w:sz w:val="32"/>
          <w:lang w:val="en-US" w:eastAsia="zh-CN"/>
        </w:rPr>
        <w:t xml:space="preserve">  </w:t>
      </w:r>
      <w:r>
        <w:rPr>
          <w:rFonts w:hint="default" w:ascii="Times New Roman" w:hAnsi="Times New Roman" w:cs="Times New Roman"/>
          <w:sz w:val="32"/>
          <w:lang w:eastAsia="zh-CN"/>
        </w:rPr>
        <w:t>倩</w:t>
      </w:r>
    </w:p>
    <w:p>
      <w:pPr>
        <w:keepNext w:val="0"/>
        <w:keepLines w:val="0"/>
        <w:pageBreakBefore w:val="0"/>
        <w:widowControl w:val="0"/>
        <w:kinsoku/>
        <w:wordWrap/>
        <w:overflowPunct/>
        <w:topLinePunct w:val="0"/>
        <w:autoSpaceDE/>
        <w:autoSpaceDN/>
        <w:bidi w:val="0"/>
        <w:snapToGrid/>
        <w:spacing w:line="574" w:lineRule="exact"/>
        <w:ind w:firstLine="4349" w:firstLineChars="1403"/>
        <w:textAlignment w:val="auto"/>
        <w:rPr>
          <w:rFonts w:hint="default" w:ascii="Times New Roman" w:hAnsi="Times New Roman" w:cs="Times New Roman"/>
          <w:sz w:val="32"/>
        </w:rPr>
      </w:pPr>
    </w:p>
    <w:p>
      <w:pPr>
        <w:keepNext w:val="0"/>
        <w:keepLines w:val="0"/>
        <w:pageBreakBefore w:val="0"/>
        <w:widowControl w:val="0"/>
        <w:tabs>
          <w:tab w:val="left" w:pos="5918"/>
        </w:tabs>
        <w:kinsoku/>
        <w:wordWrap/>
        <w:overflowPunct/>
        <w:topLinePunct w:val="0"/>
        <w:autoSpaceDE/>
        <w:autoSpaceDN/>
        <w:bidi w:val="0"/>
        <w:snapToGrid/>
        <w:spacing w:line="574" w:lineRule="exact"/>
        <w:ind w:firstLine="4349" w:firstLineChars="1403"/>
        <w:textAlignment w:val="auto"/>
        <w:rPr>
          <w:rFonts w:hint="default" w:ascii="Times New Roman" w:hAnsi="Times New Roman" w:cs="Times New Roman"/>
          <w:sz w:val="32"/>
        </w:rPr>
      </w:pPr>
    </w:p>
    <w:p>
      <w:pPr>
        <w:pStyle w:val="4"/>
        <w:keepNext w:val="0"/>
        <w:keepLines w:val="0"/>
        <w:pageBreakBefore w:val="0"/>
        <w:kinsoku/>
        <w:wordWrap/>
        <w:bidi w:val="0"/>
        <w:snapToGrid/>
        <w:spacing w:line="574" w:lineRule="exact"/>
        <w:textAlignment w:val="auto"/>
        <w:rPr>
          <w:rFonts w:hint="default" w:ascii="Times New Roman" w:hAnsi="Times New Roman" w:cs="Times New Roman"/>
        </w:rPr>
      </w:pPr>
    </w:p>
    <w:p>
      <w:pPr>
        <w:keepNext w:val="0"/>
        <w:keepLines w:val="0"/>
        <w:pageBreakBefore w:val="0"/>
        <w:widowControl w:val="0"/>
        <w:tabs>
          <w:tab w:val="left" w:pos="5918"/>
        </w:tabs>
        <w:kinsoku/>
        <w:wordWrap/>
        <w:overflowPunct/>
        <w:topLinePunct w:val="0"/>
        <w:autoSpaceDE/>
        <w:autoSpaceDN/>
        <w:bidi w:val="0"/>
        <w:snapToGrid/>
        <w:spacing w:line="574" w:lineRule="exact"/>
        <w:ind w:firstLine="4349" w:firstLineChars="1403"/>
        <w:textAlignment w:val="auto"/>
        <w:rPr>
          <w:rFonts w:hint="default" w:ascii="Times New Roman" w:hAnsi="Times New Roman" w:cs="Times New Roman"/>
          <w:sz w:val="32"/>
        </w:rPr>
      </w:pPr>
    </w:p>
    <w:tbl>
      <w:tblPr>
        <w:tblStyle w:val="14"/>
        <w:tblW w:w="0" w:type="auto"/>
        <w:tblInd w:w="4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7" w:type="dxa"/>
            <w:tcBorders>
              <w:top w:val="nil"/>
              <w:left w:val="nil"/>
              <w:bottom w:val="nil"/>
              <w:right w:val="nil"/>
            </w:tcBorders>
            <w:noWrap w:val="0"/>
            <w:vAlign w:val="top"/>
          </w:tcPr>
          <w:p>
            <w:pPr>
              <w:pStyle w:val="6"/>
              <w:keepNext w:val="0"/>
              <w:keepLines w:val="0"/>
              <w:pageBreakBefore w:val="0"/>
              <w:widowControl w:val="0"/>
              <w:suppressLineNumbers w:val="0"/>
              <w:kinsoku/>
              <w:wordWrap/>
              <w:overflowPunct/>
              <w:topLinePunct w:val="0"/>
              <w:autoSpaceDE/>
              <w:autoSpaceDN/>
              <w:bidi w:val="0"/>
              <w:snapToGrid/>
              <w:spacing w:before="0" w:beforeAutospacing="0" w:after="0" w:afterAutospacing="0" w:line="574" w:lineRule="exact"/>
              <w:ind w:left="0" w:right="0" w:firstLine="189" w:firstLineChars="45"/>
              <w:textAlignment w:val="auto"/>
              <w:rPr>
                <w:rFonts w:hint="default" w:ascii="Times New Roman" w:hAnsi="Times New Roman" w:cs="Times New Roman"/>
                <w:sz w:val="32"/>
                <w:szCs w:val="22"/>
              </w:rPr>
            </w:pPr>
            <w:r>
              <w:rPr>
                <w:rFonts w:hint="default" w:ascii="Times New Roman" w:hAnsi="Times New Roman" w:cs="Times New Roman"/>
                <w:spacing w:val="55"/>
                <w:w w:val="100"/>
                <w:kern w:val="0"/>
                <w:sz w:val="32"/>
                <w:szCs w:val="22"/>
                <w:fitText w:val="3766" w:id="-1784896768"/>
              </w:rPr>
              <w:t>二</w:t>
            </w:r>
            <w:r>
              <w:rPr>
                <w:rFonts w:hint="default" w:ascii="Times New Roman" w:hAnsi="Times New Roman" w:cs="Times New Roman"/>
                <w:spacing w:val="55"/>
                <w:w w:val="100"/>
                <w:kern w:val="0"/>
                <w:sz w:val="32"/>
                <w:szCs w:val="32"/>
                <w:fitText w:val="3766" w:id="-1784896768"/>
                <w:lang w:eastAsia="zh-CN"/>
              </w:rPr>
              <w:t>〇</w:t>
            </w:r>
            <w:r>
              <w:rPr>
                <w:rFonts w:hint="default" w:ascii="Times New Roman" w:hAnsi="Times New Roman" w:cs="Times New Roman"/>
                <w:spacing w:val="55"/>
                <w:w w:val="100"/>
                <w:kern w:val="0"/>
                <w:sz w:val="32"/>
                <w:szCs w:val="22"/>
                <w:fitText w:val="3766" w:id="-1784896768"/>
              </w:rPr>
              <w:t>二</w:t>
            </w:r>
            <w:r>
              <w:rPr>
                <w:rFonts w:hint="default" w:ascii="Times New Roman" w:hAnsi="Times New Roman" w:cs="Times New Roman"/>
                <w:spacing w:val="55"/>
                <w:w w:val="100"/>
                <w:kern w:val="0"/>
                <w:sz w:val="32"/>
                <w:szCs w:val="22"/>
                <w:fitText w:val="3766" w:id="-1784896768"/>
                <w:lang w:eastAsia="zh-CN"/>
              </w:rPr>
              <w:t>五</w:t>
            </w:r>
            <w:r>
              <w:rPr>
                <w:rFonts w:hint="default" w:ascii="Times New Roman" w:hAnsi="Times New Roman" w:cs="Times New Roman"/>
                <w:spacing w:val="55"/>
                <w:w w:val="100"/>
                <w:kern w:val="0"/>
                <w:sz w:val="32"/>
                <w:szCs w:val="22"/>
                <w:fitText w:val="3766" w:id="-1784896768"/>
              </w:rPr>
              <w:t>年</w:t>
            </w:r>
            <w:r>
              <w:rPr>
                <w:rFonts w:hint="default" w:ascii="Times New Roman" w:hAnsi="Times New Roman" w:cs="Times New Roman"/>
                <w:spacing w:val="55"/>
                <w:w w:val="100"/>
                <w:kern w:val="0"/>
                <w:sz w:val="32"/>
                <w:szCs w:val="22"/>
                <w:fitText w:val="3766" w:id="-1784896768"/>
                <w:lang w:eastAsia="zh-CN"/>
              </w:rPr>
              <w:t>四</w:t>
            </w:r>
            <w:r>
              <w:rPr>
                <w:rFonts w:hint="default" w:ascii="Times New Roman" w:hAnsi="Times New Roman" w:cs="Times New Roman"/>
                <w:spacing w:val="55"/>
                <w:w w:val="100"/>
                <w:kern w:val="0"/>
                <w:sz w:val="32"/>
                <w:szCs w:val="22"/>
                <w:fitText w:val="3766" w:id="-1784896768"/>
              </w:rPr>
              <w:t>月</w:t>
            </w:r>
            <w:r>
              <w:rPr>
                <w:rFonts w:hint="default" w:ascii="Times New Roman" w:hAnsi="Times New Roman" w:cs="Times New Roman"/>
                <w:spacing w:val="55"/>
                <w:w w:val="100"/>
                <w:kern w:val="0"/>
                <w:sz w:val="32"/>
                <w:szCs w:val="22"/>
                <w:fitText w:val="3766" w:id="-1784896768"/>
                <w:lang w:eastAsia="zh-CN"/>
              </w:rPr>
              <w:t>十</w:t>
            </w:r>
            <w:r>
              <w:rPr>
                <w:rFonts w:hint="default" w:ascii="Times New Roman" w:hAnsi="Times New Roman" w:cs="Times New Roman"/>
                <w:spacing w:val="3"/>
                <w:w w:val="100"/>
                <w:kern w:val="0"/>
                <w:sz w:val="32"/>
                <w:szCs w:val="22"/>
                <w:fitText w:val="3766" w:id="-1784896768"/>
              </w:rPr>
              <w:t>日</w:t>
            </w:r>
          </w:p>
        </w:tc>
      </w:tr>
    </w:tbl>
    <w:p>
      <w:pPr>
        <w:keepNext w:val="0"/>
        <w:keepLines w:val="0"/>
        <w:pageBreakBefore w:val="0"/>
        <w:widowControl w:val="0"/>
        <w:tabs>
          <w:tab w:val="left" w:pos="5649"/>
          <w:tab w:val="left" w:pos="5918"/>
          <w:tab w:val="left" w:pos="6663"/>
          <w:tab w:val="left" w:pos="7801"/>
          <w:tab w:val="left" w:pos="8070"/>
        </w:tabs>
        <w:kinsoku/>
        <w:wordWrap/>
        <w:overflowPunct/>
        <w:topLinePunct w:val="0"/>
        <w:autoSpaceDE/>
        <w:autoSpaceDN/>
        <w:bidi w:val="0"/>
        <w:snapToGrid/>
        <w:spacing w:line="574" w:lineRule="exact"/>
        <w:textAlignment w:val="auto"/>
        <w:rPr>
          <w:rFonts w:hint="default" w:ascii="Times New Roman" w:hAnsi="Times New Roman" w:cs="Times New Roman"/>
          <w:sz w:val="32"/>
          <w:szCs w:val="32"/>
        </w:rPr>
      </w:pPr>
    </w:p>
    <w:p>
      <w:pPr>
        <w:keepNext w:val="0"/>
        <w:keepLines w:val="0"/>
        <w:pageBreakBefore w:val="0"/>
        <w:widowControl w:val="0"/>
        <w:tabs>
          <w:tab w:val="left" w:pos="5649"/>
          <w:tab w:val="left" w:pos="5918"/>
          <w:tab w:val="left" w:pos="6663"/>
          <w:tab w:val="left" w:pos="7801"/>
          <w:tab w:val="left" w:pos="8070"/>
        </w:tabs>
        <w:kinsoku/>
        <w:wordWrap/>
        <w:overflowPunct/>
        <w:topLinePunct w:val="0"/>
        <w:autoSpaceDE/>
        <w:autoSpaceDN/>
        <w:bidi w:val="0"/>
        <w:snapToGrid/>
        <w:spacing w:line="574" w:lineRule="exact"/>
        <w:ind w:firstLine="4290" w:firstLineChars="1100"/>
        <w:textAlignment w:val="auto"/>
        <w:rPr>
          <w:rFonts w:hint="default" w:ascii="Times New Roman" w:hAnsi="Times New Roman" w:cs="Times New Roman"/>
          <w:sz w:val="32"/>
          <w:szCs w:val="32"/>
        </w:rPr>
      </w:pPr>
      <w:r>
        <w:rPr>
          <w:rFonts w:hint="default" w:ascii="Times New Roman" w:hAnsi="Times New Roman" w:cs="Times New Roman"/>
          <w:spacing w:val="40"/>
          <w:sz w:val="32"/>
          <w:szCs w:val="32"/>
          <w:lang w:eastAsia="zh-CN"/>
        </w:rPr>
        <w:t>法官助理</w:t>
      </w:r>
      <w:r>
        <w:rPr>
          <w:rFonts w:hint="default" w:ascii="Times New Roman" w:hAnsi="Times New Roman" w:cs="Times New Roman"/>
          <w:sz w:val="32"/>
          <w:szCs w:val="32"/>
          <w:lang w:val="en-US" w:eastAsia="zh-CN"/>
        </w:rPr>
        <w:t xml:space="preserve">    倪      爽</w:t>
      </w:r>
      <w:r>
        <w:rPr>
          <w:rFonts w:hint="default" w:ascii="Times New Roman" w:hAnsi="Times New Roman" w:cs="Times New Roman"/>
          <w:sz w:val="32"/>
          <w:szCs w:val="32"/>
        </w:rPr>
        <w:t xml:space="preserve">                            </w:t>
      </w:r>
    </w:p>
    <w:p>
      <w:pPr>
        <w:keepNext w:val="0"/>
        <w:keepLines w:val="0"/>
        <w:pageBreakBefore w:val="0"/>
        <w:widowControl w:val="0"/>
        <w:tabs>
          <w:tab w:val="left" w:pos="5649"/>
          <w:tab w:val="left" w:pos="5918"/>
          <w:tab w:val="left" w:pos="6663"/>
          <w:tab w:val="left" w:pos="7801"/>
          <w:tab w:val="left" w:pos="8070"/>
        </w:tabs>
        <w:kinsoku/>
        <w:wordWrap/>
        <w:overflowPunct/>
        <w:topLinePunct w:val="0"/>
        <w:autoSpaceDE/>
        <w:autoSpaceDN/>
        <w:bidi w:val="0"/>
        <w:snapToGrid/>
        <w:spacing w:line="574" w:lineRule="exact"/>
        <w:ind w:firstLine="4340" w:firstLineChars="1400"/>
        <w:textAlignment w:val="auto"/>
        <w:rPr>
          <w:rFonts w:hint="default"/>
          <w:lang w:eastAsia="zh-CN"/>
        </w:rPr>
      </w:pPr>
      <w:r>
        <w:rPr>
          <w:rFonts w:hint="default" w:ascii="Times New Roman" w:hAnsi="Times New Roman" w:cs="Times New Roman"/>
          <w:sz w:val="32"/>
          <w:szCs w:val="32"/>
        </w:rPr>
        <w:t xml:space="preserve">书  记  员    </w:t>
      </w:r>
      <w:r>
        <w:rPr>
          <w:rFonts w:hint="default" w:ascii="Times New Roman" w:hAnsi="Times New Roman" w:cs="Times New Roman"/>
          <w:sz w:val="32"/>
          <w:szCs w:val="32"/>
          <w:lang w:eastAsia="zh-CN"/>
        </w:rPr>
        <w:t>王</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t>莉</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t>莉</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lang w:eastAsia="zh-CN"/>
        </w:rPr>
      </w:pPr>
    </w:p>
    <w:p>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s="Times New Roman"/>
          <w:sz w:val="32"/>
          <w:szCs w:val="32"/>
          <w:lang w:eastAsia="zh-CN"/>
        </w:rPr>
      </w:pPr>
    </w:p>
    <w:p>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s="Times New Roman"/>
          <w:sz w:val="32"/>
          <w:szCs w:val="32"/>
          <w:lang w:eastAsia="zh-CN"/>
        </w:rPr>
      </w:pPr>
    </w:p>
    <w:p>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s="Times New Roman"/>
          <w:sz w:val="32"/>
          <w:szCs w:val="32"/>
          <w:lang w:eastAsia="zh-CN"/>
        </w:rPr>
      </w:pPr>
    </w:p>
    <w:p>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s="Times New Roman"/>
          <w:sz w:val="32"/>
          <w:szCs w:val="32"/>
          <w:lang w:eastAsia="zh-CN"/>
        </w:rPr>
      </w:pPr>
    </w:p>
    <w:p>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32"/>
          <w:szCs w:val="32"/>
          <w:lang w:eastAsia="zh-CN"/>
        </w:rPr>
      </w:pPr>
      <w:r>
        <w:rPr>
          <w:rFonts w:hint="eastAsia" w:cs="Times New Roman"/>
          <w:sz w:val="32"/>
          <w:szCs w:val="32"/>
          <w:lang w:eastAsia="zh-CN"/>
        </w:rPr>
        <w:t>附图：</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3795"/>
        <w:gridCol w:w="4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1" w:type="pct"/>
            <w:noWrap w:val="0"/>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930" w:firstLineChars="300"/>
              <w:jc w:val="center"/>
              <w:textAlignment w:val="auto"/>
              <w:rPr>
                <w:rFonts w:hint="default" w:cs="Times New Roman"/>
                <w:sz w:val="32"/>
                <w:szCs w:val="32"/>
                <w:vertAlign w:val="baseline"/>
                <w:lang w:eastAsia="zh-CN"/>
              </w:rPr>
            </w:pPr>
          </w:p>
        </w:tc>
        <w:tc>
          <w:tcPr>
            <w:tcW w:w="2067" w:type="pct"/>
            <w:noWrap w:val="0"/>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930" w:firstLineChars="300"/>
              <w:jc w:val="both"/>
              <w:textAlignment w:val="auto"/>
              <w:rPr>
                <w:rFonts w:hint="eastAsia" w:cs="Times New Roman"/>
                <w:sz w:val="32"/>
                <w:szCs w:val="32"/>
                <w:vertAlign w:val="baseline"/>
                <w:lang w:eastAsia="zh-CN"/>
              </w:rPr>
            </w:pPr>
            <w:r>
              <w:rPr>
                <w:rFonts w:hint="eastAsia" w:cs="Times New Roman"/>
                <w:sz w:val="32"/>
                <w:szCs w:val="32"/>
                <w:vertAlign w:val="baseline"/>
                <w:lang w:eastAsia="zh-CN"/>
              </w:rPr>
              <w:t>涉案专利</w:t>
            </w:r>
          </w:p>
        </w:tc>
        <w:tc>
          <w:tcPr>
            <w:tcW w:w="2500" w:type="pct"/>
            <w:noWrap w:val="0"/>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cs="Times New Roman"/>
                <w:sz w:val="32"/>
                <w:szCs w:val="32"/>
                <w:vertAlign w:val="baseline"/>
                <w:lang w:eastAsia="zh-CN"/>
              </w:rPr>
            </w:pPr>
            <w:r>
              <w:rPr>
                <w:rFonts w:hint="eastAsia" w:cs="Times New Roman"/>
                <w:sz w:val="32"/>
                <w:szCs w:val="32"/>
                <w:vertAlign w:val="baseline"/>
                <w:lang w:eastAsia="zh-CN"/>
              </w:rPr>
              <w:t>被诉侵权产品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trPr>
        <w:tc>
          <w:tcPr>
            <w:tcW w:w="431" w:type="pct"/>
            <w:noWrap w:val="0"/>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cs="Times New Roman"/>
                <w:sz w:val="32"/>
                <w:szCs w:val="32"/>
                <w:vertAlign w:val="baseline"/>
                <w:lang w:eastAsia="zh-CN"/>
              </w:rPr>
            </w:pPr>
            <w:r>
              <w:rPr>
                <w:rFonts w:hint="eastAsia" w:cs="Times New Roman"/>
                <w:sz w:val="32"/>
                <w:szCs w:val="32"/>
                <w:vertAlign w:val="baseline"/>
                <w:lang w:eastAsia="zh-CN"/>
              </w:rPr>
              <w:t>立体图</w:t>
            </w:r>
          </w:p>
        </w:tc>
        <w:tc>
          <w:tcPr>
            <w:tcW w:w="2067" w:type="pct"/>
            <w:noWrap w:val="0"/>
            <w:vAlign w:val="center"/>
          </w:tcPr>
          <w:p>
            <w:pPr>
              <w:pStyle w:val="4"/>
              <w:keepNext w:val="0"/>
              <w:keepLines w:val="0"/>
              <w:suppressLineNumbers w:val="0"/>
              <w:spacing w:before="0" w:beforeAutospacing="0" w:after="0" w:afterAutospacing="0"/>
              <w:ind w:left="0" w:right="0"/>
              <w:jc w:val="center"/>
              <w:rPr>
                <w:rFonts w:hint="default" w:cs="Times New Roman"/>
                <w:sz w:val="32"/>
                <w:szCs w:val="32"/>
                <w:vertAlign w:val="baseline"/>
                <w:lang w:eastAsia="zh-CN"/>
              </w:rPr>
            </w:pPr>
            <w:r>
              <w:rPr>
                <w:szCs w:val="22"/>
              </w:rPr>
              <w:drawing>
                <wp:inline distT="0" distB="0" distL="114300" distR="114300">
                  <wp:extent cx="1644650" cy="1439545"/>
                  <wp:effectExtent l="0" t="0" r="12700" b="8255"/>
                  <wp:docPr id="1"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2"/>
                          <pic:cNvPicPr>
                            <a:picLocks noChangeAspect="true"/>
                          </pic:cNvPicPr>
                        </pic:nvPicPr>
                        <pic:blipFill>
                          <a:blip r:embed="rId7"/>
                          <a:stretch>
                            <a:fillRect/>
                          </a:stretch>
                        </pic:blipFill>
                        <pic:spPr>
                          <a:xfrm>
                            <a:off x="0" y="0"/>
                            <a:ext cx="1644650" cy="1439545"/>
                          </a:xfrm>
                          <a:prstGeom prst="rect">
                            <a:avLst/>
                          </a:prstGeom>
                          <a:noFill/>
                          <a:ln>
                            <a:noFill/>
                          </a:ln>
                        </pic:spPr>
                      </pic:pic>
                    </a:graphicData>
                  </a:graphic>
                </wp:inline>
              </w:drawing>
            </w:r>
          </w:p>
        </w:tc>
        <w:tc>
          <w:tcPr>
            <w:tcW w:w="2500" w:type="pct"/>
            <w:noWrap w:val="0"/>
            <w:vAlign w:val="center"/>
          </w:tcPr>
          <w:p>
            <w:pPr>
              <w:pStyle w:val="4"/>
              <w:keepNext w:val="0"/>
              <w:keepLines w:val="0"/>
              <w:suppressLineNumbers w:val="0"/>
              <w:spacing w:before="0" w:beforeAutospacing="0" w:after="0" w:afterAutospacing="0"/>
              <w:ind w:left="0" w:right="0"/>
              <w:jc w:val="center"/>
              <w:rPr>
                <w:rFonts w:hint="default" w:cs="Times New Roman"/>
                <w:sz w:val="32"/>
                <w:szCs w:val="32"/>
                <w:vertAlign w:val="baseline"/>
                <w:lang w:eastAsia="zh-CN"/>
              </w:rPr>
            </w:pPr>
            <w:r>
              <w:rPr>
                <w:szCs w:val="22"/>
              </w:rPr>
              <w:drawing>
                <wp:inline distT="0" distB="0" distL="114300" distR="114300">
                  <wp:extent cx="1851660" cy="1621790"/>
                  <wp:effectExtent l="0" t="0" r="15240" b="16510"/>
                  <wp:docPr id="2"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5"/>
                          <pic:cNvPicPr>
                            <a:picLocks noChangeAspect="true"/>
                          </pic:cNvPicPr>
                        </pic:nvPicPr>
                        <pic:blipFill>
                          <a:blip r:embed="rId8"/>
                          <a:stretch>
                            <a:fillRect/>
                          </a:stretch>
                        </pic:blipFill>
                        <pic:spPr>
                          <a:xfrm>
                            <a:off x="0" y="0"/>
                            <a:ext cx="1851660" cy="16217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4" w:hRule="atLeast"/>
        </w:trPr>
        <w:tc>
          <w:tcPr>
            <w:tcW w:w="431" w:type="pct"/>
            <w:noWrap w:val="0"/>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w:hAnsi="Times New Roman" w:eastAsia="仿宋_GB2312" w:cs="Times New Roman"/>
                <w:kern w:val="2"/>
                <w:sz w:val="32"/>
                <w:szCs w:val="32"/>
                <w:vertAlign w:val="baseline"/>
                <w:lang w:val="en-US" w:eastAsia="zh-CN" w:bidi="ar-SA"/>
              </w:rPr>
            </w:pPr>
            <w:r>
              <w:rPr>
                <w:rFonts w:hint="eastAsia" w:cs="Times New Roman"/>
                <w:sz w:val="32"/>
                <w:szCs w:val="32"/>
                <w:vertAlign w:val="baseline"/>
                <w:lang w:eastAsia="zh-CN"/>
              </w:rPr>
              <w:t>主视图</w:t>
            </w:r>
          </w:p>
        </w:tc>
        <w:tc>
          <w:tcPr>
            <w:tcW w:w="2067" w:type="pct"/>
            <w:noWrap w:val="0"/>
            <w:vAlign w:val="center"/>
          </w:tcPr>
          <w:p>
            <w:pPr>
              <w:pStyle w:val="4"/>
              <w:keepNext w:val="0"/>
              <w:keepLines w:val="0"/>
              <w:suppressLineNumbers w:val="0"/>
              <w:spacing w:before="0" w:beforeAutospacing="0" w:after="0" w:afterAutospacing="0"/>
              <w:ind w:left="0" w:right="0"/>
              <w:jc w:val="center"/>
              <w:rPr>
                <w:rFonts w:hint="default" w:cs="Times New Roman"/>
                <w:sz w:val="32"/>
                <w:szCs w:val="32"/>
                <w:vertAlign w:val="baseline"/>
                <w:lang w:eastAsia="zh-CN"/>
              </w:rPr>
            </w:pPr>
            <w:r>
              <w:rPr>
                <w:szCs w:val="22"/>
              </w:rPr>
              <w:drawing>
                <wp:inline distT="0" distB="0" distL="114300" distR="114300">
                  <wp:extent cx="2233930" cy="1346835"/>
                  <wp:effectExtent l="0" t="0" r="13970" b="5715"/>
                  <wp:docPr id="3"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24"/>
                          <pic:cNvPicPr>
                            <a:picLocks noChangeAspect="true"/>
                          </pic:cNvPicPr>
                        </pic:nvPicPr>
                        <pic:blipFill>
                          <a:blip r:embed="rId9"/>
                          <a:stretch>
                            <a:fillRect/>
                          </a:stretch>
                        </pic:blipFill>
                        <pic:spPr>
                          <a:xfrm>
                            <a:off x="0" y="0"/>
                            <a:ext cx="2233930" cy="1346835"/>
                          </a:xfrm>
                          <a:prstGeom prst="rect">
                            <a:avLst/>
                          </a:prstGeom>
                          <a:noFill/>
                          <a:ln>
                            <a:noFill/>
                          </a:ln>
                        </pic:spPr>
                      </pic:pic>
                    </a:graphicData>
                  </a:graphic>
                </wp:inline>
              </w:drawing>
            </w:r>
          </w:p>
        </w:tc>
        <w:tc>
          <w:tcPr>
            <w:tcW w:w="2500" w:type="pct"/>
            <w:noWrap w:val="0"/>
            <w:vAlign w:val="center"/>
          </w:tcPr>
          <w:p>
            <w:pPr>
              <w:pStyle w:val="4"/>
              <w:keepNext w:val="0"/>
              <w:keepLines w:val="0"/>
              <w:suppressLineNumbers w:val="0"/>
              <w:tabs>
                <w:tab w:val="center" w:pos="2247"/>
                <w:tab w:val="right" w:pos="4374"/>
              </w:tabs>
              <w:spacing w:before="0" w:beforeAutospacing="0" w:after="0" w:afterAutospacing="0"/>
              <w:ind w:left="0" w:right="0"/>
              <w:jc w:val="left"/>
              <w:rPr>
                <w:rFonts w:hint="eastAsia" w:eastAsia="仿宋_GB2312" w:cs="Times New Roman"/>
                <w:sz w:val="32"/>
                <w:szCs w:val="32"/>
                <w:vertAlign w:val="baseline"/>
                <w:lang w:eastAsia="zh-CN"/>
              </w:rPr>
            </w:pPr>
            <w:r>
              <w:rPr>
                <w:rFonts w:hint="eastAsia"/>
                <w:szCs w:val="22"/>
                <w:lang w:eastAsia="zh-CN"/>
              </w:rPr>
              <w:tab/>
            </w:r>
            <w:r>
              <w:rPr>
                <w:szCs w:val="22"/>
              </w:rPr>
              <w:drawing>
                <wp:inline distT="0" distB="0" distL="114300" distR="114300">
                  <wp:extent cx="2050415" cy="1511935"/>
                  <wp:effectExtent l="0" t="0" r="6985" b="12065"/>
                  <wp:docPr id="4"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31"/>
                          <pic:cNvPicPr>
                            <a:picLocks noChangeAspect="true"/>
                          </pic:cNvPicPr>
                        </pic:nvPicPr>
                        <pic:blipFill>
                          <a:blip r:embed="rId10"/>
                          <a:stretch>
                            <a:fillRect/>
                          </a:stretch>
                        </pic:blipFill>
                        <pic:spPr>
                          <a:xfrm>
                            <a:off x="0" y="0"/>
                            <a:ext cx="2050415" cy="1511935"/>
                          </a:xfrm>
                          <a:prstGeom prst="rect">
                            <a:avLst/>
                          </a:prstGeom>
                          <a:noFill/>
                          <a:ln>
                            <a:noFill/>
                          </a:ln>
                        </pic:spPr>
                      </pic:pic>
                    </a:graphicData>
                  </a:graphic>
                </wp:inline>
              </w:drawing>
            </w:r>
            <w:r>
              <w:rPr>
                <w:rFonts w:hint="eastAsia"/>
                <w:szCs w:val="22"/>
                <w:lang w:eastAsia="zh-C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trPr>
        <w:tc>
          <w:tcPr>
            <w:tcW w:w="431" w:type="pct"/>
            <w:noWrap w:val="0"/>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cs="Times New Roman"/>
                <w:sz w:val="32"/>
                <w:szCs w:val="32"/>
                <w:vertAlign w:val="baseline"/>
                <w:lang w:eastAsia="zh-CN"/>
              </w:rPr>
            </w:pPr>
            <w:r>
              <w:rPr>
                <w:rFonts w:hint="eastAsia" w:cs="Times New Roman"/>
                <w:sz w:val="32"/>
                <w:szCs w:val="32"/>
                <w:vertAlign w:val="baseline"/>
                <w:lang w:eastAsia="zh-CN"/>
              </w:rPr>
              <w:t>左视图</w:t>
            </w:r>
          </w:p>
        </w:tc>
        <w:tc>
          <w:tcPr>
            <w:tcW w:w="2067" w:type="pct"/>
            <w:noWrap w:val="0"/>
            <w:vAlign w:val="center"/>
          </w:tcPr>
          <w:p>
            <w:pPr>
              <w:pStyle w:val="4"/>
              <w:keepNext w:val="0"/>
              <w:keepLines w:val="0"/>
              <w:suppressLineNumbers w:val="0"/>
              <w:spacing w:before="0" w:beforeAutospacing="0" w:after="0" w:afterAutospacing="0"/>
              <w:ind w:left="0" w:right="0"/>
              <w:jc w:val="center"/>
              <w:rPr>
                <w:rFonts w:hint="default" w:cs="Times New Roman"/>
                <w:sz w:val="32"/>
                <w:szCs w:val="32"/>
                <w:vertAlign w:val="baseline"/>
                <w:lang w:eastAsia="zh-CN"/>
              </w:rPr>
            </w:pPr>
            <w:r>
              <w:rPr>
                <w:szCs w:val="22"/>
              </w:rPr>
              <w:drawing>
                <wp:inline distT="0" distB="0" distL="114300" distR="114300">
                  <wp:extent cx="899795" cy="1270635"/>
                  <wp:effectExtent l="0" t="0" r="14605" b="5715"/>
                  <wp:docPr id="5" name="图片 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23"/>
                          <pic:cNvPicPr>
                            <a:picLocks noChangeAspect="true"/>
                          </pic:cNvPicPr>
                        </pic:nvPicPr>
                        <pic:blipFill>
                          <a:blip r:embed="rId11"/>
                          <a:stretch>
                            <a:fillRect/>
                          </a:stretch>
                        </pic:blipFill>
                        <pic:spPr>
                          <a:xfrm>
                            <a:off x="0" y="0"/>
                            <a:ext cx="899795" cy="1270635"/>
                          </a:xfrm>
                          <a:prstGeom prst="rect">
                            <a:avLst/>
                          </a:prstGeom>
                          <a:noFill/>
                          <a:ln>
                            <a:noFill/>
                          </a:ln>
                        </pic:spPr>
                      </pic:pic>
                    </a:graphicData>
                  </a:graphic>
                </wp:inline>
              </w:drawing>
            </w:r>
          </w:p>
        </w:tc>
        <w:tc>
          <w:tcPr>
            <w:tcW w:w="2500" w:type="pct"/>
            <w:noWrap w:val="0"/>
            <w:vAlign w:val="center"/>
          </w:tcPr>
          <w:p>
            <w:pPr>
              <w:pStyle w:val="4"/>
              <w:keepNext w:val="0"/>
              <w:keepLines w:val="0"/>
              <w:suppressLineNumbers w:val="0"/>
              <w:spacing w:before="0" w:beforeAutospacing="0" w:after="0" w:afterAutospacing="0"/>
              <w:ind w:left="0" w:right="0"/>
              <w:jc w:val="center"/>
              <w:rPr>
                <w:rFonts w:hint="default" w:cs="Times New Roman"/>
                <w:sz w:val="32"/>
                <w:szCs w:val="32"/>
                <w:vertAlign w:val="baseline"/>
                <w:lang w:eastAsia="zh-CN"/>
              </w:rPr>
            </w:pPr>
            <w:r>
              <w:rPr>
                <w:szCs w:val="22"/>
              </w:rPr>
              <w:drawing>
                <wp:inline distT="0" distB="0" distL="114300" distR="114300">
                  <wp:extent cx="1124585" cy="1237615"/>
                  <wp:effectExtent l="0" t="0" r="18415" b="635"/>
                  <wp:docPr id="6"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19"/>
                          <pic:cNvPicPr>
                            <a:picLocks noChangeAspect="true"/>
                          </pic:cNvPicPr>
                        </pic:nvPicPr>
                        <pic:blipFill>
                          <a:blip r:embed="rId12"/>
                          <a:stretch>
                            <a:fillRect/>
                          </a:stretch>
                        </pic:blipFill>
                        <pic:spPr>
                          <a:xfrm>
                            <a:off x="0" y="0"/>
                            <a:ext cx="1124585" cy="12376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431" w:type="pct"/>
            <w:noWrap w:val="0"/>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cs="Times New Roman"/>
                <w:sz w:val="32"/>
                <w:szCs w:val="32"/>
                <w:vertAlign w:val="baseline"/>
                <w:lang w:eastAsia="zh-CN"/>
              </w:rPr>
            </w:pPr>
            <w:r>
              <w:rPr>
                <w:rFonts w:hint="eastAsia" w:cs="Times New Roman"/>
                <w:sz w:val="32"/>
                <w:szCs w:val="32"/>
                <w:vertAlign w:val="baseline"/>
                <w:lang w:eastAsia="zh-CN"/>
              </w:rPr>
              <w:t>右视图</w:t>
            </w:r>
          </w:p>
        </w:tc>
        <w:tc>
          <w:tcPr>
            <w:tcW w:w="2067" w:type="pct"/>
            <w:noWrap w:val="0"/>
            <w:vAlign w:val="center"/>
          </w:tcPr>
          <w:p>
            <w:pPr>
              <w:pStyle w:val="4"/>
              <w:keepNext w:val="0"/>
              <w:keepLines w:val="0"/>
              <w:suppressLineNumbers w:val="0"/>
              <w:tabs>
                <w:tab w:val="center" w:pos="1849"/>
                <w:tab w:val="right" w:pos="3579"/>
              </w:tabs>
              <w:spacing w:before="0" w:beforeAutospacing="0" w:after="0" w:afterAutospacing="0"/>
              <w:ind w:left="0" w:right="0"/>
              <w:jc w:val="left"/>
              <w:rPr>
                <w:rFonts w:hint="eastAsia" w:eastAsia="仿宋_GB2312" w:cs="Times New Roman"/>
                <w:sz w:val="32"/>
                <w:szCs w:val="32"/>
                <w:vertAlign w:val="baseline"/>
                <w:lang w:eastAsia="zh-CN"/>
              </w:rPr>
            </w:pPr>
            <w:r>
              <w:rPr>
                <w:rFonts w:hint="eastAsia"/>
                <w:szCs w:val="22"/>
                <w:lang w:eastAsia="zh-CN"/>
              </w:rPr>
              <w:tab/>
            </w:r>
            <w:r>
              <w:rPr>
                <w:szCs w:val="22"/>
              </w:rPr>
              <w:drawing>
                <wp:inline distT="0" distB="0" distL="114300" distR="114300">
                  <wp:extent cx="892175" cy="1253490"/>
                  <wp:effectExtent l="0" t="0" r="3175" b="3810"/>
                  <wp:docPr id="7"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20"/>
                          <pic:cNvPicPr>
                            <a:picLocks noChangeAspect="true"/>
                          </pic:cNvPicPr>
                        </pic:nvPicPr>
                        <pic:blipFill>
                          <a:blip r:embed="rId13"/>
                          <a:stretch>
                            <a:fillRect/>
                          </a:stretch>
                        </pic:blipFill>
                        <pic:spPr>
                          <a:xfrm>
                            <a:off x="0" y="0"/>
                            <a:ext cx="892175" cy="1253490"/>
                          </a:xfrm>
                          <a:prstGeom prst="rect">
                            <a:avLst/>
                          </a:prstGeom>
                          <a:noFill/>
                          <a:ln>
                            <a:noFill/>
                          </a:ln>
                        </pic:spPr>
                      </pic:pic>
                    </a:graphicData>
                  </a:graphic>
                </wp:inline>
              </w:drawing>
            </w:r>
            <w:r>
              <w:rPr>
                <w:rFonts w:hint="eastAsia"/>
                <w:szCs w:val="22"/>
                <w:lang w:eastAsia="zh-CN"/>
              </w:rPr>
              <w:tab/>
            </w:r>
          </w:p>
        </w:tc>
        <w:tc>
          <w:tcPr>
            <w:tcW w:w="2500" w:type="pct"/>
            <w:noWrap w:val="0"/>
            <w:vAlign w:val="center"/>
          </w:tcPr>
          <w:p>
            <w:pPr>
              <w:pStyle w:val="4"/>
              <w:keepNext w:val="0"/>
              <w:keepLines w:val="0"/>
              <w:suppressLineNumbers w:val="0"/>
              <w:spacing w:before="0" w:beforeAutospacing="0" w:after="0" w:afterAutospacing="0"/>
              <w:ind w:left="0" w:right="0"/>
              <w:jc w:val="center"/>
              <w:rPr>
                <w:rFonts w:hint="default" w:cs="Times New Roman"/>
                <w:sz w:val="32"/>
                <w:szCs w:val="32"/>
                <w:vertAlign w:val="baseline"/>
                <w:lang w:eastAsia="zh-CN"/>
              </w:rPr>
            </w:pPr>
            <w:r>
              <w:rPr>
                <w:szCs w:val="22"/>
              </w:rPr>
              <w:drawing>
                <wp:inline distT="0" distB="0" distL="114300" distR="114300">
                  <wp:extent cx="582930" cy="1384935"/>
                  <wp:effectExtent l="0" t="0" r="7620" b="5715"/>
                  <wp:docPr id="8"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29"/>
                          <pic:cNvPicPr>
                            <a:picLocks noChangeAspect="true"/>
                          </pic:cNvPicPr>
                        </pic:nvPicPr>
                        <pic:blipFill>
                          <a:blip r:embed="rId14"/>
                          <a:stretch>
                            <a:fillRect/>
                          </a:stretch>
                        </pic:blipFill>
                        <pic:spPr>
                          <a:xfrm>
                            <a:off x="0" y="0"/>
                            <a:ext cx="582930" cy="138493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trPr>
        <w:tc>
          <w:tcPr>
            <w:tcW w:w="431" w:type="pct"/>
            <w:noWrap w:val="0"/>
            <w:vAlign w:val="top"/>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cs="Times New Roman"/>
                <w:sz w:val="32"/>
                <w:szCs w:val="32"/>
                <w:vertAlign w:val="baseline"/>
                <w:lang w:eastAsia="zh-CN"/>
              </w:rPr>
            </w:pPr>
            <w:r>
              <w:rPr>
                <w:rFonts w:hint="eastAsia" w:cs="Times New Roman"/>
                <w:sz w:val="32"/>
                <w:szCs w:val="32"/>
                <w:vertAlign w:val="baseline"/>
                <w:lang w:eastAsia="zh-CN"/>
              </w:rPr>
              <w:t>俯视图</w:t>
            </w:r>
          </w:p>
        </w:tc>
        <w:tc>
          <w:tcPr>
            <w:tcW w:w="2067" w:type="pct"/>
            <w:noWrap w:val="0"/>
            <w:vAlign w:val="center"/>
          </w:tcPr>
          <w:p>
            <w:pPr>
              <w:pStyle w:val="4"/>
              <w:keepNext w:val="0"/>
              <w:keepLines w:val="0"/>
              <w:suppressLineNumbers w:val="0"/>
              <w:spacing w:before="0" w:beforeAutospacing="0" w:after="0" w:afterAutospacing="0"/>
              <w:ind w:left="0" w:right="0"/>
              <w:jc w:val="both"/>
              <w:rPr>
                <w:rFonts w:hint="default" w:cs="Times New Roman"/>
                <w:sz w:val="32"/>
                <w:szCs w:val="32"/>
                <w:vertAlign w:val="baseline"/>
                <w:lang w:eastAsia="zh-CN"/>
              </w:rPr>
            </w:pPr>
            <w:r>
              <w:rPr>
                <w:rFonts w:hint="eastAsia"/>
                <w:szCs w:val="22"/>
                <w:lang w:val="en-US" w:eastAsia="zh-CN"/>
              </w:rPr>
              <w:t xml:space="preserve">  </w:t>
            </w:r>
            <w:r>
              <w:rPr>
                <w:szCs w:val="22"/>
              </w:rPr>
              <w:drawing>
                <wp:inline distT="0" distB="0" distL="114300" distR="114300">
                  <wp:extent cx="1806575" cy="737870"/>
                  <wp:effectExtent l="0" t="0" r="3175" b="5080"/>
                  <wp:docPr id="9"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22"/>
                          <pic:cNvPicPr>
                            <a:picLocks noChangeAspect="true"/>
                          </pic:cNvPicPr>
                        </pic:nvPicPr>
                        <pic:blipFill>
                          <a:blip r:embed="rId15"/>
                          <a:stretch>
                            <a:fillRect/>
                          </a:stretch>
                        </pic:blipFill>
                        <pic:spPr>
                          <a:xfrm>
                            <a:off x="0" y="0"/>
                            <a:ext cx="1806575" cy="737870"/>
                          </a:xfrm>
                          <a:prstGeom prst="rect">
                            <a:avLst/>
                          </a:prstGeom>
                          <a:noFill/>
                          <a:ln>
                            <a:noFill/>
                          </a:ln>
                        </pic:spPr>
                      </pic:pic>
                    </a:graphicData>
                  </a:graphic>
                </wp:inline>
              </w:drawing>
            </w:r>
          </w:p>
        </w:tc>
        <w:tc>
          <w:tcPr>
            <w:tcW w:w="2500" w:type="pct"/>
            <w:noWrap w:val="0"/>
            <w:vAlign w:val="center"/>
          </w:tcPr>
          <w:p>
            <w:pPr>
              <w:pStyle w:val="4"/>
              <w:keepNext w:val="0"/>
              <w:keepLines w:val="0"/>
              <w:suppressLineNumbers w:val="0"/>
              <w:spacing w:before="0" w:beforeAutospacing="0" w:after="0" w:afterAutospacing="0"/>
              <w:ind w:left="0" w:right="0"/>
              <w:jc w:val="center"/>
              <w:rPr>
                <w:rFonts w:hint="default" w:cs="Times New Roman"/>
                <w:sz w:val="32"/>
                <w:szCs w:val="32"/>
                <w:vertAlign w:val="baseline"/>
                <w:lang w:eastAsia="zh-CN"/>
              </w:rPr>
            </w:pPr>
            <w:r>
              <w:rPr>
                <w:szCs w:val="22"/>
              </w:rPr>
              <w:drawing>
                <wp:inline distT="0" distB="0" distL="114300" distR="114300">
                  <wp:extent cx="724535" cy="2012950"/>
                  <wp:effectExtent l="0" t="0" r="6350" b="18415"/>
                  <wp:docPr id="10" name="图片 3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30"/>
                          <pic:cNvPicPr>
                            <a:picLocks noChangeAspect="true"/>
                          </pic:cNvPicPr>
                        </pic:nvPicPr>
                        <pic:blipFill>
                          <a:blip r:embed="rId16"/>
                          <a:stretch>
                            <a:fillRect/>
                          </a:stretch>
                        </pic:blipFill>
                        <pic:spPr>
                          <a:xfrm rot="5400000">
                            <a:off x="0" y="0"/>
                            <a:ext cx="724535" cy="2012950"/>
                          </a:xfrm>
                          <a:prstGeom prst="rect">
                            <a:avLst/>
                          </a:prstGeom>
                          <a:noFill/>
                          <a:ln>
                            <a:noFill/>
                          </a:ln>
                        </pic:spPr>
                      </pic:pic>
                    </a:graphicData>
                  </a:graphic>
                </wp:inline>
              </w:drawing>
            </w:r>
          </w:p>
        </w:tc>
      </w:tr>
    </w:tbl>
    <w:p>
      <w:pPr>
        <w:keepNext w:val="0"/>
        <w:keepLines w:val="0"/>
        <w:pageBreakBefore w:val="0"/>
        <w:widowControl w:val="0"/>
        <w:kinsoku/>
        <w:wordWrap/>
        <w:overflowPunct/>
        <w:topLinePunct w:val="0"/>
        <w:autoSpaceDE/>
        <w:autoSpaceDN/>
        <w:bidi w:val="0"/>
        <w:adjustRightInd w:val="0"/>
        <w:snapToGrid/>
        <w:spacing w:line="560" w:lineRule="exact"/>
        <w:textAlignment w:val="auto"/>
        <w:rPr>
          <w:rFonts w:hint="default"/>
        </w:rPr>
      </w:pPr>
    </w:p>
    <w:sectPr>
      <w:headerReference r:id="rId3" w:type="default"/>
      <w:footerReference r:id="rId4" w:type="default"/>
      <w:footerReference r:id="rId5" w:type="even"/>
      <w:pgSz w:w="11907" w:h="16840"/>
      <w:pgMar w:top="1928" w:right="1304" w:bottom="1497" w:left="1644" w:header="851" w:footer="1531" w:gutter="0"/>
      <w:pgNumType w:start="1"/>
      <w:cols w:space="720" w:num="1"/>
      <w:docGrid w:type="linesAndChars" w:linePitch="600" w:charSpace="-21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FangSong_GB2312">
    <w:panose1 w:val="02010609030101010101"/>
    <w:charset w:val="86"/>
    <w:family w:val="auto"/>
    <w:pitch w:val="default"/>
    <w:sig w:usb0="00000001" w:usb1="080E0000" w:usb2="00000000" w:usb3="00000000" w:csb0="00040000" w:csb1="00000000"/>
  </w:font>
  <w:font w:name="汉仪细圆B5">
    <w:panose1 w:val="02010600000101010101"/>
    <w:charset w:val="88"/>
    <w:family w:val="auto"/>
    <w:pitch w:val="default"/>
    <w:sig w:usb0="00000001" w:usb1="080E0800" w:usb2="00000002" w:usb3="00000000" w:csb0="00100000" w:csb1="00000000"/>
  </w:font>
  <w:font w:name="方正宋体S-超大字符集">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Courier New">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left="397" w:right="397"/>
      <w:rPr>
        <w:rStyle w:val="17"/>
        <w:rFonts w:ascii="仿宋_GB2312"/>
        <w:sz w:val="30"/>
      </w:rPr>
    </w:pPr>
    <w:r>
      <w:rPr>
        <w:rStyle w:val="17"/>
        <w:rFonts w:hint="eastAsia" w:ascii="仿宋_GB2312"/>
        <w:sz w:val="30"/>
      </w:rPr>
      <w:t>·</w:t>
    </w:r>
    <w:r>
      <w:rPr>
        <w:rFonts w:ascii="仿宋_GB2312"/>
        <w:sz w:val="30"/>
      </w:rPr>
      <w:fldChar w:fldCharType="begin"/>
    </w:r>
    <w:r>
      <w:rPr>
        <w:rStyle w:val="17"/>
        <w:rFonts w:ascii="仿宋_GB2312"/>
        <w:sz w:val="30"/>
      </w:rPr>
      <w:instrText xml:space="preserve"> PAGE </w:instrText>
    </w:r>
    <w:r>
      <w:rPr>
        <w:rFonts w:ascii="仿宋_GB2312"/>
        <w:sz w:val="30"/>
      </w:rPr>
      <w:fldChar w:fldCharType="separate"/>
    </w:r>
    <w:r>
      <w:rPr>
        <w:rStyle w:val="17"/>
        <w:rFonts w:ascii="仿宋_GB2312"/>
        <w:sz w:val="30"/>
      </w:rPr>
      <w:t>17</w:t>
    </w:r>
    <w:r>
      <w:rPr>
        <w:rFonts w:ascii="仿宋_GB2312"/>
        <w:sz w:val="30"/>
      </w:rPr>
      <w:fldChar w:fldCharType="end"/>
    </w:r>
    <w:r>
      <w:rPr>
        <w:rStyle w:val="17"/>
        <w:rFonts w:hint="eastAsia" w:ascii="仿宋_GB2312"/>
        <w:sz w:val="30"/>
      </w:rPr>
      <w:t>·</w:t>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7"/>
      </w:rPr>
    </w:pPr>
    <w:r>
      <w:fldChar w:fldCharType="begin"/>
    </w:r>
    <w:r>
      <w:rPr>
        <w:rStyle w:val="17"/>
      </w:rPr>
      <w:instrText xml:space="preserve">PAGE  </w:instrText>
    </w:r>
    <w:r>
      <w:fldChar w:fldCharType="separate"/>
    </w:r>
    <w:r>
      <w:rPr>
        <w:rStyle w:val="17"/>
      </w:rPr>
      <w:t>1</w:t>
    </w:r>
    <w: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yMTZmNjVkMmViNjg2MmQ4NGE4NjQ1NmQ3YTBlZGQifQ=="/>
  </w:docVars>
  <w:rsids>
    <w:rsidRoot w:val="00455B20"/>
    <w:rsid w:val="00000796"/>
    <w:rsid w:val="00001BFB"/>
    <w:rsid w:val="00002359"/>
    <w:rsid w:val="00006385"/>
    <w:rsid w:val="0000768A"/>
    <w:rsid w:val="0001506B"/>
    <w:rsid w:val="000153DD"/>
    <w:rsid w:val="00015EC6"/>
    <w:rsid w:val="000265B2"/>
    <w:rsid w:val="00031C1F"/>
    <w:rsid w:val="000340E6"/>
    <w:rsid w:val="00034FB2"/>
    <w:rsid w:val="000365E6"/>
    <w:rsid w:val="000370EF"/>
    <w:rsid w:val="000407C1"/>
    <w:rsid w:val="00040DAC"/>
    <w:rsid w:val="00044204"/>
    <w:rsid w:val="00045061"/>
    <w:rsid w:val="000460A5"/>
    <w:rsid w:val="000464D6"/>
    <w:rsid w:val="00046F75"/>
    <w:rsid w:val="00050290"/>
    <w:rsid w:val="0005051B"/>
    <w:rsid w:val="00051327"/>
    <w:rsid w:val="0005175F"/>
    <w:rsid w:val="00051E57"/>
    <w:rsid w:val="00052BA1"/>
    <w:rsid w:val="00053FE6"/>
    <w:rsid w:val="000548B4"/>
    <w:rsid w:val="00056B11"/>
    <w:rsid w:val="000609CE"/>
    <w:rsid w:val="00061129"/>
    <w:rsid w:val="00061602"/>
    <w:rsid w:val="00067262"/>
    <w:rsid w:val="0006731C"/>
    <w:rsid w:val="00067643"/>
    <w:rsid w:val="000720DE"/>
    <w:rsid w:val="00073A68"/>
    <w:rsid w:val="000743EB"/>
    <w:rsid w:val="000815B7"/>
    <w:rsid w:val="00082133"/>
    <w:rsid w:val="00085C9D"/>
    <w:rsid w:val="0008761B"/>
    <w:rsid w:val="00090361"/>
    <w:rsid w:val="0009500F"/>
    <w:rsid w:val="00095430"/>
    <w:rsid w:val="00095FA1"/>
    <w:rsid w:val="0009797A"/>
    <w:rsid w:val="000A4CB0"/>
    <w:rsid w:val="000A7164"/>
    <w:rsid w:val="000B0631"/>
    <w:rsid w:val="000B21D8"/>
    <w:rsid w:val="000B2A92"/>
    <w:rsid w:val="000B4A40"/>
    <w:rsid w:val="000B627F"/>
    <w:rsid w:val="000B7AEE"/>
    <w:rsid w:val="000C05FB"/>
    <w:rsid w:val="000C3A2B"/>
    <w:rsid w:val="000C3B2D"/>
    <w:rsid w:val="000C4C4E"/>
    <w:rsid w:val="000C5880"/>
    <w:rsid w:val="000C775E"/>
    <w:rsid w:val="000D116F"/>
    <w:rsid w:val="000D561B"/>
    <w:rsid w:val="000E0132"/>
    <w:rsid w:val="000E01A6"/>
    <w:rsid w:val="000E22F0"/>
    <w:rsid w:val="000E2A42"/>
    <w:rsid w:val="000E3AC1"/>
    <w:rsid w:val="000E690E"/>
    <w:rsid w:val="000F07D5"/>
    <w:rsid w:val="000F434A"/>
    <w:rsid w:val="000F7CDB"/>
    <w:rsid w:val="00103959"/>
    <w:rsid w:val="00103AF9"/>
    <w:rsid w:val="001042D9"/>
    <w:rsid w:val="00104946"/>
    <w:rsid w:val="001106CB"/>
    <w:rsid w:val="00112796"/>
    <w:rsid w:val="00113890"/>
    <w:rsid w:val="00113D29"/>
    <w:rsid w:val="001141DE"/>
    <w:rsid w:val="00114627"/>
    <w:rsid w:val="00114DD1"/>
    <w:rsid w:val="001207BE"/>
    <w:rsid w:val="00121EF5"/>
    <w:rsid w:val="00122D6B"/>
    <w:rsid w:val="00123A31"/>
    <w:rsid w:val="00124A62"/>
    <w:rsid w:val="00126BC6"/>
    <w:rsid w:val="00127819"/>
    <w:rsid w:val="00127964"/>
    <w:rsid w:val="00127AF3"/>
    <w:rsid w:val="0013029D"/>
    <w:rsid w:val="001314B9"/>
    <w:rsid w:val="00131849"/>
    <w:rsid w:val="00134080"/>
    <w:rsid w:val="00135607"/>
    <w:rsid w:val="00140890"/>
    <w:rsid w:val="001444E4"/>
    <w:rsid w:val="00144DFB"/>
    <w:rsid w:val="001461B5"/>
    <w:rsid w:val="0015052A"/>
    <w:rsid w:val="00151833"/>
    <w:rsid w:val="001554F5"/>
    <w:rsid w:val="00155A23"/>
    <w:rsid w:val="00157669"/>
    <w:rsid w:val="001616BF"/>
    <w:rsid w:val="001637CE"/>
    <w:rsid w:val="00163B67"/>
    <w:rsid w:val="00164673"/>
    <w:rsid w:val="00165774"/>
    <w:rsid w:val="001674DC"/>
    <w:rsid w:val="00170EED"/>
    <w:rsid w:val="00172DE4"/>
    <w:rsid w:val="001749FC"/>
    <w:rsid w:val="00175C6A"/>
    <w:rsid w:val="001805CB"/>
    <w:rsid w:val="0018067D"/>
    <w:rsid w:val="001825E7"/>
    <w:rsid w:val="001867B4"/>
    <w:rsid w:val="00187218"/>
    <w:rsid w:val="00192E1D"/>
    <w:rsid w:val="00193D06"/>
    <w:rsid w:val="0019406E"/>
    <w:rsid w:val="0019453E"/>
    <w:rsid w:val="00194F07"/>
    <w:rsid w:val="00194F7D"/>
    <w:rsid w:val="001A21B9"/>
    <w:rsid w:val="001A33EC"/>
    <w:rsid w:val="001A3EAA"/>
    <w:rsid w:val="001A40EF"/>
    <w:rsid w:val="001A4AAF"/>
    <w:rsid w:val="001A604E"/>
    <w:rsid w:val="001B0608"/>
    <w:rsid w:val="001B45D8"/>
    <w:rsid w:val="001B4CC5"/>
    <w:rsid w:val="001B6050"/>
    <w:rsid w:val="001B62EE"/>
    <w:rsid w:val="001C1DBA"/>
    <w:rsid w:val="001C710E"/>
    <w:rsid w:val="001C7E73"/>
    <w:rsid w:val="001C7E91"/>
    <w:rsid w:val="001D0B97"/>
    <w:rsid w:val="001D0F65"/>
    <w:rsid w:val="001D1C1F"/>
    <w:rsid w:val="001D3523"/>
    <w:rsid w:val="001D3595"/>
    <w:rsid w:val="001D5B15"/>
    <w:rsid w:val="001D6439"/>
    <w:rsid w:val="001D6952"/>
    <w:rsid w:val="001D6B8F"/>
    <w:rsid w:val="001E20A7"/>
    <w:rsid w:val="001E30BA"/>
    <w:rsid w:val="001E4D8F"/>
    <w:rsid w:val="001E54B1"/>
    <w:rsid w:val="001F0E37"/>
    <w:rsid w:val="001F0F3D"/>
    <w:rsid w:val="001F35D4"/>
    <w:rsid w:val="001F4CBF"/>
    <w:rsid w:val="001F613E"/>
    <w:rsid w:val="00200E77"/>
    <w:rsid w:val="00203D36"/>
    <w:rsid w:val="0020567C"/>
    <w:rsid w:val="0020684E"/>
    <w:rsid w:val="00207FC1"/>
    <w:rsid w:val="00210E0B"/>
    <w:rsid w:val="00210E8A"/>
    <w:rsid w:val="002141E4"/>
    <w:rsid w:val="00215457"/>
    <w:rsid w:val="002179E3"/>
    <w:rsid w:val="00221184"/>
    <w:rsid w:val="00221909"/>
    <w:rsid w:val="00223EE0"/>
    <w:rsid w:val="0022406E"/>
    <w:rsid w:val="002250EB"/>
    <w:rsid w:val="002262E6"/>
    <w:rsid w:val="00226BAF"/>
    <w:rsid w:val="00226FB1"/>
    <w:rsid w:val="00230201"/>
    <w:rsid w:val="00231654"/>
    <w:rsid w:val="00231C15"/>
    <w:rsid w:val="0023451A"/>
    <w:rsid w:val="00235196"/>
    <w:rsid w:val="002353B5"/>
    <w:rsid w:val="00235460"/>
    <w:rsid w:val="002358B2"/>
    <w:rsid w:val="00235B60"/>
    <w:rsid w:val="00236FEE"/>
    <w:rsid w:val="0024006F"/>
    <w:rsid w:val="002403E8"/>
    <w:rsid w:val="0024099D"/>
    <w:rsid w:val="00244D93"/>
    <w:rsid w:val="002453F5"/>
    <w:rsid w:val="00245FA4"/>
    <w:rsid w:val="00247805"/>
    <w:rsid w:val="00250050"/>
    <w:rsid w:val="00251952"/>
    <w:rsid w:val="00252D7F"/>
    <w:rsid w:val="00255544"/>
    <w:rsid w:val="00256703"/>
    <w:rsid w:val="00257343"/>
    <w:rsid w:val="00257772"/>
    <w:rsid w:val="00262F9E"/>
    <w:rsid w:val="00264403"/>
    <w:rsid w:val="00264BB0"/>
    <w:rsid w:val="00270CC1"/>
    <w:rsid w:val="0027256B"/>
    <w:rsid w:val="00275B71"/>
    <w:rsid w:val="002762C1"/>
    <w:rsid w:val="00280498"/>
    <w:rsid w:val="00283FD5"/>
    <w:rsid w:val="002842F2"/>
    <w:rsid w:val="002845DA"/>
    <w:rsid w:val="0028512A"/>
    <w:rsid w:val="00286497"/>
    <w:rsid w:val="00287250"/>
    <w:rsid w:val="00287B60"/>
    <w:rsid w:val="00287F6A"/>
    <w:rsid w:val="00290EE1"/>
    <w:rsid w:val="0029110C"/>
    <w:rsid w:val="00291B56"/>
    <w:rsid w:val="00293634"/>
    <w:rsid w:val="00295744"/>
    <w:rsid w:val="00295A7E"/>
    <w:rsid w:val="00297C8F"/>
    <w:rsid w:val="002A0B11"/>
    <w:rsid w:val="002A0D17"/>
    <w:rsid w:val="002A23A3"/>
    <w:rsid w:val="002A3BFB"/>
    <w:rsid w:val="002A4198"/>
    <w:rsid w:val="002A4B3B"/>
    <w:rsid w:val="002A4FE0"/>
    <w:rsid w:val="002A7FAD"/>
    <w:rsid w:val="002B0012"/>
    <w:rsid w:val="002B15DF"/>
    <w:rsid w:val="002B2B61"/>
    <w:rsid w:val="002B41BF"/>
    <w:rsid w:val="002C2D69"/>
    <w:rsid w:val="002C2FDC"/>
    <w:rsid w:val="002C30CA"/>
    <w:rsid w:val="002C3B50"/>
    <w:rsid w:val="002C3EB2"/>
    <w:rsid w:val="002C6EAC"/>
    <w:rsid w:val="002D2411"/>
    <w:rsid w:val="002D5A3B"/>
    <w:rsid w:val="002D6756"/>
    <w:rsid w:val="002D6EE3"/>
    <w:rsid w:val="002D710F"/>
    <w:rsid w:val="002E031B"/>
    <w:rsid w:val="002E0986"/>
    <w:rsid w:val="002E2095"/>
    <w:rsid w:val="002E5922"/>
    <w:rsid w:val="002E5A43"/>
    <w:rsid w:val="002E701A"/>
    <w:rsid w:val="002F098D"/>
    <w:rsid w:val="002F0CCE"/>
    <w:rsid w:val="002F73D7"/>
    <w:rsid w:val="0030001D"/>
    <w:rsid w:val="00303275"/>
    <w:rsid w:val="00303FA0"/>
    <w:rsid w:val="0030488E"/>
    <w:rsid w:val="0030609B"/>
    <w:rsid w:val="003062BB"/>
    <w:rsid w:val="003067A1"/>
    <w:rsid w:val="00307A95"/>
    <w:rsid w:val="0031091C"/>
    <w:rsid w:val="003126DB"/>
    <w:rsid w:val="00312BE1"/>
    <w:rsid w:val="0031364B"/>
    <w:rsid w:val="003146D2"/>
    <w:rsid w:val="003168DA"/>
    <w:rsid w:val="00317289"/>
    <w:rsid w:val="00321CA7"/>
    <w:rsid w:val="0032690B"/>
    <w:rsid w:val="0032767F"/>
    <w:rsid w:val="00333349"/>
    <w:rsid w:val="003404A5"/>
    <w:rsid w:val="003418F3"/>
    <w:rsid w:val="00342256"/>
    <w:rsid w:val="00342291"/>
    <w:rsid w:val="0034401C"/>
    <w:rsid w:val="003461DA"/>
    <w:rsid w:val="00354683"/>
    <w:rsid w:val="00355721"/>
    <w:rsid w:val="003566AF"/>
    <w:rsid w:val="00356B92"/>
    <w:rsid w:val="00357909"/>
    <w:rsid w:val="00362665"/>
    <w:rsid w:val="00362886"/>
    <w:rsid w:val="00362C28"/>
    <w:rsid w:val="00366DAE"/>
    <w:rsid w:val="00371088"/>
    <w:rsid w:val="003714AF"/>
    <w:rsid w:val="0037159B"/>
    <w:rsid w:val="00373DF4"/>
    <w:rsid w:val="003745BD"/>
    <w:rsid w:val="00375EBF"/>
    <w:rsid w:val="00376342"/>
    <w:rsid w:val="0037684C"/>
    <w:rsid w:val="00376EBD"/>
    <w:rsid w:val="00377C81"/>
    <w:rsid w:val="00380922"/>
    <w:rsid w:val="00380F01"/>
    <w:rsid w:val="00383F2B"/>
    <w:rsid w:val="00384CDC"/>
    <w:rsid w:val="00386598"/>
    <w:rsid w:val="00387A39"/>
    <w:rsid w:val="00392FEF"/>
    <w:rsid w:val="003931E5"/>
    <w:rsid w:val="00393542"/>
    <w:rsid w:val="00393E3B"/>
    <w:rsid w:val="0039418F"/>
    <w:rsid w:val="003977BE"/>
    <w:rsid w:val="0039795F"/>
    <w:rsid w:val="00397D81"/>
    <w:rsid w:val="003A2823"/>
    <w:rsid w:val="003A3DF1"/>
    <w:rsid w:val="003A64A6"/>
    <w:rsid w:val="003A792F"/>
    <w:rsid w:val="003B099A"/>
    <w:rsid w:val="003B0E71"/>
    <w:rsid w:val="003B1787"/>
    <w:rsid w:val="003B1A01"/>
    <w:rsid w:val="003B1B4E"/>
    <w:rsid w:val="003B74E3"/>
    <w:rsid w:val="003B794A"/>
    <w:rsid w:val="003C0D87"/>
    <w:rsid w:val="003C1503"/>
    <w:rsid w:val="003C7FD6"/>
    <w:rsid w:val="003D0B8E"/>
    <w:rsid w:val="003D0C50"/>
    <w:rsid w:val="003D0CC7"/>
    <w:rsid w:val="003D313A"/>
    <w:rsid w:val="003D5242"/>
    <w:rsid w:val="003D6E7B"/>
    <w:rsid w:val="003E0B9D"/>
    <w:rsid w:val="003E2CED"/>
    <w:rsid w:val="003E2FE1"/>
    <w:rsid w:val="003E39A2"/>
    <w:rsid w:val="003E56E1"/>
    <w:rsid w:val="003E6807"/>
    <w:rsid w:val="003E6BC9"/>
    <w:rsid w:val="003E7B5C"/>
    <w:rsid w:val="003F0005"/>
    <w:rsid w:val="003F0CBA"/>
    <w:rsid w:val="003F0F6C"/>
    <w:rsid w:val="003F55DF"/>
    <w:rsid w:val="003F5C14"/>
    <w:rsid w:val="003F7432"/>
    <w:rsid w:val="004009A8"/>
    <w:rsid w:val="0040129F"/>
    <w:rsid w:val="00403397"/>
    <w:rsid w:val="00404487"/>
    <w:rsid w:val="00404AA9"/>
    <w:rsid w:val="0040504F"/>
    <w:rsid w:val="0040573E"/>
    <w:rsid w:val="00407175"/>
    <w:rsid w:val="0041085E"/>
    <w:rsid w:val="0041108D"/>
    <w:rsid w:val="00411E23"/>
    <w:rsid w:val="0041452B"/>
    <w:rsid w:val="00416515"/>
    <w:rsid w:val="0041732A"/>
    <w:rsid w:val="00417902"/>
    <w:rsid w:val="00417EE1"/>
    <w:rsid w:val="004205DE"/>
    <w:rsid w:val="00420835"/>
    <w:rsid w:val="00421A53"/>
    <w:rsid w:val="00421FB3"/>
    <w:rsid w:val="00425B55"/>
    <w:rsid w:val="00425F7A"/>
    <w:rsid w:val="004265EB"/>
    <w:rsid w:val="00426636"/>
    <w:rsid w:val="00430B08"/>
    <w:rsid w:val="00430D43"/>
    <w:rsid w:val="00440058"/>
    <w:rsid w:val="00441E5F"/>
    <w:rsid w:val="00442047"/>
    <w:rsid w:val="0044347E"/>
    <w:rsid w:val="00444559"/>
    <w:rsid w:val="004449C6"/>
    <w:rsid w:val="00446379"/>
    <w:rsid w:val="00446ED0"/>
    <w:rsid w:val="004505B6"/>
    <w:rsid w:val="00450697"/>
    <w:rsid w:val="004522F5"/>
    <w:rsid w:val="00452A71"/>
    <w:rsid w:val="00454D43"/>
    <w:rsid w:val="00455336"/>
    <w:rsid w:val="004556D2"/>
    <w:rsid w:val="00455B20"/>
    <w:rsid w:val="00457FCE"/>
    <w:rsid w:val="004615A8"/>
    <w:rsid w:val="00461D9C"/>
    <w:rsid w:val="00462287"/>
    <w:rsid w:val="00463491"/>
    <w:rsid w:val="0046554F"/>
    <w:rsid w:val="004676D6"/>
    <w:rsid w:val="004679F9"/>
    <w:rsid w:val="004712B5"/>
    <w:rsid w:val="004737AC"/>
    <w:rsid w:val="0047491C"/>
    <w:rsid w:val="00480D65"/>
    <w:rsid w:val="00480DA3"/>
    <w:rsid w:val="00481D55"/>
    <w:rsid w:val="00481E47"/>
    <w:rsid w:val="004823A4"/>
    <w:rsid w:val="004838C4"/>
    <w:rsid w:val="0048643F"/>
    <w:rsid w:val="0048725F"/>
    <w:rsid w:val="004874FC"/>
    <w:rsid w:val="00487DC2"/>
    <w:rsid w:val="004911E3"/>
    <w:rsid w:val="00492E97"/>
    <w:rsid w:val="0049365D"/>
    <w:rsid w:val="004963A1"/>
    <w:rsid w:val="00496D98"/>
    <w:rsid w:val="004A027A"/>
    <w:rsid w:val="004A3B40"/>
    <w:rsid w:val="004A78B9"/>
    <w:rsid w:val="004A7C20"/>
    <w:rsid w:val="004B021F"/>
    <w:rsid w:val="004B3149"/>
    <w:rsid w:val="004B33B5"/>
    <w:rsid w:val="004B4CC6"/>
    <w:rsid w:val="004B5156"/>
    <w:rsid w:val="004B6FD2"/>
    <w:rsid w:val="004C0C31"/>
    <w:rsid w:val="004C1BBF"/>
    <w:rsid w:val="004C2AD0"/>
    <w:rsid w:val="004C302C"/>
    <w:rsid w:val="004C6394"/>
    <w:rsid w:val="004C69DF"/>
    <w:rsid w:val="004D055E"/>
    <w:rsid w:val="004D281D"/>
    <w:rsid w:val="004D2A29"/>
    <w:rsid w:val="004D4779"/>
    <w:rsid w:val="004D5031"/>
    <w:rsid w:val="004E135B"/>
    <w:rsid w:val="004F0494"/>
    <w:rsid w:val="004F13B8"/>
    <w:rsid w:val="004F2B17"/>
    <w:rsid w:val="004F4A0F"/>
    <w:rsid w:val="004F4FE6"/>
    <w:rsid w:val="004F5181"/>
    <w:rsid w:val="004F64B5"/>
    <w:rsid w:val="004F68B1"/>
    <w:rsid w:val="005024FC"/>
    <w:rsid w:val="00502928"/>
    <w:rsid w:val="0050319F"/>
    <w:rsid w:val="0050320C"/>
    <w:rsid w:val="00505D33"/>
    <w:rsid w:val="00506C5D"/>
    <w:rsid w:val="00507D82"/>
    <w:rsid w:val="005101DE"/>
    <w:rsid w:val="005106DE"/>
    <w:rsid w:val="00513494"/>
    <w:rsid w:val="00514917"/>
    <w:rsid w:val="00515BB7"/>
    <w:rsid w:val="005164B1"/>
    <w:rsid w:val="00517053"/>
    <w:rsid w:val="00517D42"/>
    <w:rsid w:val="005207BA"/>
    <w:rsid w:val="00521405"/>
    <w:rsid w:val="00521C3D"/>
    <w:rsid w:val="005221D5"/>
    <w:rsid w:val="00522DD1"/>
    <w:rsid w:val="00523A39"/>
    <w:rsid w:val="00524597"/>
    <w:rsid w:val="005255F1"/>
    <w:rsid w:val="00526045"/>
    <w:rsid w:val="00527AE4"/>
    <w:rsid w:val="00530539"/>
    <w:rsid w:val="00532838"/>
    <w:rsid w:val="00532C3B"/>
    <w:rsid w:val="005331CB"/>
    <w:rsid w:val="005352DA"/>
    <w:rsid w:val="00540667"/>
    <w:rsid w:val="005428F2"/>
    <w:rsid w:val="00544A0B"/>
    <w:rsid w:val="00545250"/>
    <w:rsid w:val="0054682A"/>
    <w:rsid w:val="00546BA3"/>
    <w:rsid w:val="00547CDE"/>
    <w:rsid w:val="00550111"/>
    <w:rsid w:val="00550270"/>
    <w:rsid w:val="00550933"/>
    <w:rsid w:val="00552539"/>
    <w:rsid w:val="0055415B"/>
    <w:rsid w:val="00554B67"/>
    <w:rsid w:val="00554BAF"/>
    <w:rsid w:val="005554B7"/>
    <w:rsid w:val="00556072"/>
    <w:rsid w:val="00556F95"/>
    <w:rsid w:val="005574EE"/>
    <w:rsid w:val="0056185E"/>
    <w:rsid w:val="00561A21"/>
    <w:rsid w:val="00563521"/>
    <w:rsid w:val="00567DCF"/>
    <w:rsid w:val="005730C9"/>
    <w:rsid w:val="00574223"/>
    <w:rsid w:val="005747FD"/>
    <w:rsid w:val="0057558E"/>
    <w:rsid w:val="00576AA8"/>
    <w:rsid w:val="00576E78"/>
    <w:rsid w:val="00581E14"/>
    <w:rsid w:val="00582CBD"/>
    <w:rsid w:val="00582F5D"/>
    <w:rsid w:val="005835AB"/>
    <w:rsid w:val="00584BE8"/>
    <w:rsid w:val="00594309"/>
    <w:rsid w:val="005945AC"/>
    <w:rsid w:val="0059462D"/>
    <w:rsid w:val="00595368"/>
    <w:rsid w:val="005A7C3F"/>
    <w:rsid w:val="005B11D0"/>
    <w:rsid w:val="005B1E4A"/>
    <w:rsid w:val="005B3BC0"/>
    <w:rsid w:val="005B5DD3"/>
    <w:rsid w:val="005B6B47"/>
    <w:rsid w:val="005C1393"/>
    <w:rsid w:val="005C4A0D"/>
    <w:rsid w:val="005D2243"/>
    <w:rsid w:val="005D4159"/>
    <w:rsid w:val="005D4200"/>
    <w:rsid w:val="005D65BA"/>
    <w:rsid w:val="005D66F0"/>
    <w:rsid w:val="005E04FA"/>
    <w:rsid w:val="005E0A87"/>
    <w:rsid w:val="005E1584"/>
    <w:rsid w:val="005E1BEC"/>
    <w:rsid w:val="005E21E9"/>
    <w:rsid w:val="005E28C7"/>
    <w:rsid w:val="005E2F9F"/>
    <w:rsid w:val="005E36B3"/>
    <w:rsid w:val="005E3AD4"/>
    <w:rsid w:val="005E54C9"/>
    <w:rsid w:val="005E6A92"/>
    <w:rsid w:val="005F049F"/>
    <w:rsid w:val="005F1D14"/>
    <w:rsid w:val="005F2EEB"/>
    <w:rsid w:val="005F3598"/>
    <w:rsid w:val="005F499A"/>
    <w:rsid w:val="005F5D22"/>
    <w:rsid w:val="0060302F"/>
    <w:rsid w:val="00603D37"/>
    <w:rsid w:val="00603EC0"/>
    <w:rsid w:val="00610458"/>
    <w:rsid w:val="006131FF"/>
    <w:rsid w:val="00613ABC"/>
    <w:rsid w:val="00615273"/>
    <w:rsid w:val="00615280"/>
    <w:rsid w:val="006172A2"/>
    <w:rsid w:val="0062122E"/>
    <w:rsid w:val="00624AD8"/>
    <w:rsid w:val="006278AD"/>
    <w:rsid w:val="006334EA"/>
    <w:rsid w:val="00633D77"/>
    <w:rsid w:val="006360A3"/>
    <w:rsid w:val="00640111"/>
    <w:rsid w:val="0064116C"/>
    <w:rsid w:val="006417F6"/>
    <w:rsid w:val="0064213A"/>
    <w:rsid w:val="00642945"/>
    <w:rsid w:val="00642AB6"/>
    <w:rsid w:val="00644311"/>
    <w:rsid w:val="006455D6"/>
    <w:rsid w:val="00645B04"/>
    <w:rsid w:val="00651F35"/>
    <w:rsid w:val="00653406"/>
    <w:rsid w:val="006542F7"/>
    <w:rsid w:val="006557D2"/>
    <w:rsid w:val="00656263"/>
    <w:rsid w:val="00662F4A"/>
    <w:rsid w:val="00664E90"/>
    <w:rsid w:val="0066631C"/>
    <w:rsid w:val="006664D5"/>
    <w:rsid w:val="00667967"/>
    <w:rsid w:val="00667C5B"/>
    <w:rsid w:val="0067060D"/>
    <w:rsid w:val="006715DA"/>
    <w:rsid w:val="00672251"/>
    <w:rsid w:val="00673008"/>
    <w:rsid w:val="00675580"/>
    <w:rsid w:val="00675E41"/>
    <w:rsid w:val="00677BC2"/>
    <w:rsid w:val="00681408"/>
    <w:rsid w:val="00683AB3"/>
    <w:rsid w:val="00683F9A"/>
    <w:rsid w:val="00685250"/>
    <w:rsid w:val="00685C6F"/>
    <w:rsid w:val="006874EB"/>
    <w:rsid w:val="00687CBB"/>
    <w:rsid w:val="00690A8B"/>
    <w:rsid w:val="00690E78"/>
    <w:rsid w:val="00691A87"/>
    <w:rsid w:val="00692F9B"/>
    <w:rsid w:val="006932AE"/>
    <w:rsid w:val="006932DE"/>
    <w:rsid w:val="006935B1"/>
    <w:rsid w:val="006A09C8"/>
    <w:rsid w:val="006A2C13"/>
    <w:rsid w:val="006A41D4"/>
    <w:rsid w:val="006A692F"/>
    <w:rsid w:val="006A7DDD"/>
    <w:rsid w:val="006B1695"/>
    <w:rsid w:val="006B22D5"/>
    <w:rsid w:val="006B3A27"/>
    <w:rsid w:val="006B5D7E"/>
    <w:rsid w:val="006B6CEE"/>
    <w:rsid w:val="006B72E8"/>
    <w:rsid w:val="006B7FB2"/>
    <w:rsid w:val="006C009F"/>
    <w:rsid w:val="006C04CE"/>
    <w:rsid w:val="006C1F38"/>
    <w:rsid w:val="006C2D0A"/>
    <w:rsid w:val="006C2FD6"/>
    <w:rsid w:val="006C5FF5"/>
    <w:rsid w:val="006C6871"/>
    <w:rsid w:val="006C6CCF"/>
    <w:rsid w:val="006D010D"/>
    <w:rsid w:val="006D0C70"/>
    <w:rsid w:val="006D1B2F"/>
    <w:rsid w:val="006D1E54"/>
    <w:rsid w:val="006D2248"/>
    <w:rsid w:val="006E05D0"/>
    <w:rsid w:val="006E1881"/>
    <w:rsid w:val="006E1D33"/>
    <w:rsid w:val="006E2816"/>
    <w:rsid w:val="006E4654"/>
    <w:rsid w:val="006E596E"/>
    <w:rsid w:val="006E65A0"/>
    <w:rsid w:val="006E6891"/>
    <w:rsid w:val="006E6FAD"/>
    <w:rsid w:val="006E7259"/>
    <w:rsid w:val="006E72CB"/>
    <w:rsid w:val="006E7D7B"/>
    <w:rsid w:val="006F0450"/>
    <w:rsid w:val="006F082D"/>
    <w:rsid w:val="006F263A"/>
    <w:rsid w:val="006F27EA"/>
    <w:rsid w:val="006F29F4"/>
    <w:rsid w:val="006F50E9"/>
    <w:rsid w:val="006F5DCB"/>
    <w:rsid w:val="006F74B6"/>
    <w:rsid w:val="00700D8F"/>
    <w:rsid w:val="007010C4"/>
    <w:rsid w:val="0070221B"/>
    <w:rsid w:val="00704929"/>
    <w:rsid w:val="00707A7C"/>
    <w:rsid w:val="007108C1"/>
    <w:rsid w:val="00712B02"/>
    <w:rsid w:val="007131D9"/>
    <w:rsid w:val="00714FF1"/>
    <w:rsid w:val="00715143"/>
    <w:rsid w:val="007206D6"/>
    <w:rsid w:val="00721FDF"/>
    <w:rsid w:val="00724C8C"/>
    <w:rsid w:val="007250CE"/>
    <w:rsid w:val="007271F3"/>
    <w:rsid w:val="00727991"/>
    <w:rsid w:val="007305A8"/>
    <w:rsid w:val="0073210B"/>
    <w:rsid w:val="0073238A"/>
    <w:rsid w:val="007328DA"/>
    <w:rsid w:val="00733F6F"/>
    <w:rsid w:val="007343A6"/>
    <w:rsid w:val="00734773"/>
    <w:rsid w:val="00736EF5"/>
    <w:rsid w:val="007374D3"/>
    <w:rsid w:val="00737C54"/>
    <w:rsid w:val="00737D0B"/>
    <w:rsid w:val="00740E4D"/>
    <w:rsid w:val="00741643"/>
    <w:rsid w:val="00744747"/>
    <w:rsid w:val="00744B83"/>
    <w:rsid w:val="00746254"/>
    <w:rsid w:val="00750B5A"/>
    <w:rsid w:val="0075100C"/>
    <w:rsid w:val="00751F14"/>
    <w:rsid w:val="007520E4"/>
    <w:rsid w:val="00753278"/>
    <w:rsid w:val="00754ECB"/>
    <w:rsid w:val="00755F92"/>
    <w:rsid w:val="00756AEB"/>
    <w:rsid w:val="0076334B"/>
    <w:rsid w:val="007663EA"/>
    <w:rsid w:val="007667E8"/>
    <w:rsid w:val="00766A8E"/>
    <w:rsid w:val="00766D38"/>
    <w:rsid w:val="00770406"/>
    <w:rsid w:val="007711F7"/>
    <w:rsid w:val="0077454A"/>
    <w:rsid w:val="00776D2D"/>
    <w:rsid w:val="0077771C"/>
    <w:rsid w:val="007779C6"/>
    <w:rsid w:val="00780E40"/>
    <w:rsid w:val="00784269"/>
    <w:rsid w:val="0078773E"/>
    <w:rsid w:val="00790B40"/>
    <w:rsid w:val="007920EA"/>
    <w:rsid w:val="00792921"/>
    <w:rsid w:val="007A0114"/>
    <w:rsid w:val="007A313F"/>
    <w:rsid w:val="007A4B57"/>
    <w:rsid w:val="007A51B4"/>
    <w:rsid w:val="007A54E1"/>
    <w:rsid w:val="007A553B"/>
    <w:rsid w:val="007A58CD"/>
    <w:rsid w:val="007B0069"/>
    <w:rsid w:val="007B055B"/>
    <w:rsid w:val="007B28C1"/>
    <w:rsid w:val="007B45BF"/>
    <w:rsid w:val="007B4629"/>
    <w:rsid w:val="007B5194"/>
    <w:rsid w:val="007B51FC"/>
    <w:rsid w:val="007B6789"/>
    <w:rsid w:val="007C0278"/>
    <w:rsid w:val="007C0620"/>
    <w:rsid w:val="007C2938"/>
    <w:rsid w:val="007C2D9D"/>
    <w:rsid w:val="007C44AA"/>
    <w:rsid w:val="007C634C"/>
    <w:rsid w:val="007C6FF5"/>
    <w:rsid w:val="007C77FB"/>
    <w:rsid w:val="007D2C9A"/>
    <w:rsid w:val="007D3C29"/>
    <w:rsid w:val="007E00D5"/>
    <w:rsid w:val="007E066D"/>
    <w:rsid w:val="007E3C17"/>
    <w:rsid w:val="007E634B"/>
    <w:rsid w:val="007F0149"/>
    <w:rsid w:val="007F39B2"/>
    <w:rsid w:val="007F3A9C"/>
    <w:rsid w:val="007F42B8"/>
    <w:rsid w:val="007F47F7"/>
    <w:rsid w:val="007F5195"/>
    <w:rsid w:val="007F5AC1"/>
    <w:rsid w:val="00800F97"/>
    <w:rsid w:val="008017AB"/>
    <w:rsid w:val="00801DF4"/>
    <w:rsid w:val="00804AF5"/>
    <w:rsid w:val="00806BD7"/>
    <w:rsid w:val="008133C4"/>
    <w:rsid w:val="008139D8"/>
    <w:rsid w:val="008149E0"/>
    <w:rsid w:val="00815297"/>
    <w:rsid w:val="00822B6A"/>
    <w:rsid w:val="00824F3A"/>
    <w:rsid w:val="00826F54"/>
    <w:rsid w:val="00827069"/>
    <w:rsid w:val="00827C7D"/>
    <w:rsid w:val="0083094D"/>
    <w:rsid w:val="00831218"/>
    <w:rsid w:val="008335BA"/>
    <w:rsid w:val="00834752"/>
    <w:rsid w:val="0083628D"/>
    <w:rsid w:val="00836415"/>
    <w:rsid w:val="00836C8A"/>
    <w:rsid w:val="00842C70"/>
    <w:rsid w:val="0084421B"/>
    <w:rsid w:val="008455EF"/>
    <w:rsid w:val="00850B2D"/>
    <w:rsid w:val="00851654"/>
    <w:rsid w:val="00853116"/>
    <w:rsid w:val="008535CE"/>
    <w:rsid w:val="008540D8"/>
    <w:rsid w:val="00854EC5"/>
    <w:rsid w:val="00856A92"/>
    <w:rsid w:val="008614BB"/>
    <w:rsid w:val="00863E2A"/>
    <w:rsid w:val="008652B8"/>
    <w:rsid w:val="008655B6"/>
    <w:rsid w:val="00867530"/>
    <w:rsid w:val="00867883"/>
    <w:rsid w:val="00867CC5"/>
    <w:rsid w:val="0087011F"/>
    <w:rsid w:val="008701AD"/>
    <w:rsid w:val="00871189"/>
    <w:rsid w:val="008731AB"/>
    <w:rsid w:val="008736E5"/>
    <w:rsid w:val="0087592E"/>
    <w:rsid w:val="0087602D"/>
    <w:rsid w:val="008767D3"/>
    <w:rsid w:val="00877468"/>
    <w:rsid w:val="008824A7"/>
    <w:rsid w:val="008830E9"/>
    <w:rsid w:val="008855B8"/>
    <w:rsid w:val="008858BC"/>
    <w:rsid w:val="00886381"/>
    <w:rsid w:val="0088785F"/>
    <w:rsid w:val="008914BD"/>
    <w:rsid w:val="00893242"/>
    <w:rsid w:val="00893966"/>
    <w:rsid w:val="0089592F"/>
    <w:rsid w:val="0089617A"/>
    <w:rsid w:val="0089629F"/>
    <w:rsid w:val="0089638F"/>
    <w:rsid w:val="008A0BCE"/>
    <w:rsid w:val="008A11E3"/>
    <w:rsid w:val="008A25CD"/>
    <w:rsid w:val="008A268B"/>
    <w:rsid w:val="008A2EFC"/>
    <w:rsid w:val="008A302B"/>
    <w:rsid w:val="008A324D"/>
    <w:rsid w:val="008A3BFD"/>
    <w:rsid w:val="008A5EE1"/>
    <w:rsid w:val="008A7BDA"/>
    <w:rsid w:val="008B06DD"/>
    <w:rsid w:val="008B1AC7"/>
    <w:rsid w:val="008B51D2"/>
    <w:rsid w:val="008C3628"/>
    <w:rsid w:val="008C474E"/>
    <w:rsid w:val="008C567D"/>
    <w:rsid w:val="008C57A3"/>
    <w:rsid w:val="008C675D"/>
    <w:rsid w:val="008C7FED"/>
    <w:rsid w:val="008D0CC3"/>
    <w:rsid w:val="008D2C66"/>
    <w:rsid w:val="008D39A7"/>
    <w:rsid w:val="008D5295"/>
    <w:rsid w:val="008D544E"/>
    <w:rsid w:val="008D54E9"/>
    <w:rsid w:val="008E09F2"/>
    <w:rsid w:val="008E0A51"/>
    <w:rsid w:val="008E35DF"/>
    <w:rsid w:val="008E5B2C"/>
    <w:rsid w:val="008F1525"/>
    <w:rsid w:val="008F1D08"/>
    <w:rsid w:val="008F26CD"/>
    <w:rsid w:val="008F54E7"/>
    <w:rsid w:val="008F6BCF"/>
    <w:rsid w:val="00902968"/>
    <w:rsid w:val="00904FE8"/>
    <w:rsid w:val="009060CB"/>
    <w:rsid w:val="00906395"/>
    <w:rsid w:val="0091092D"/>
    <w:rsid w:val="00910ACB"/>
    <w:rsid w:val="009117FD"/>
    <w:rsid w:val="00911B5A"/>
    <w:rsid w:val="00913B58"/>
    <w:rsid w:val="00915B46"/>
    <w:rsid w:val="00920FE9"/>
    <w:rsid w:val="00921416"/>
    <w:rsid w:val="009226E0"/>
    <w:rsid w:val="0092399F"/>
    <w:rsid w:val="0092496C"/>
    <w:rsid w:val="00924A1B"/>
    <w:rsid w:val="00924A66"/>
    <w:rsid w:val="0092595C"/>
    <w:rsid w:val="0092613C"/>
    <w:rsid w:val="009264E3"/>
    <w:rsid w:val="00931A9E"/>
    <w:rsid w:val="00931D23"/>
    <w:rsid w:val="009320B0"/>
    <w:rsid w:val="00932AF7"/>
    <w:rsid w:val="00932B32"/>
    <w:rsid w:val="00933335"/>
    <w:rsid w:val="0093341C"/>
    <w:rsid w:val="009334DA"/>
    <w:rsid w:val="00933BF0"/>
    <w:rsid w:val="00933F53"/>
    <w:rsid w:val="0093620E"/>
    <w:rsid w:val="0093649C"/>
    <w:rsid w:val="0093731C"/>
    <w:rsid w:val="0093753D"/>
    <w:rsid w:val="00940C01"/>
    <w:rsid w:val="00941277"/>
    <w:rsid w:val="009417CA"/>
    <w:rsid w:val="00941874"/>
    <w:rsid w:val="00942273"/>
    <w:rsid w:val="00944683"/>
    <w:rsid w:val="00947D8E"/>
    <w:rsid w:val="00950B28"/>
    <w:rsid w:val="00951C12"/>
    <w:rsid w:val="0095496B"/>
    <w:rsid w:val="00956370"/>
    <w:rsid w:val="00956802"/>
    <w:rsid w:val="00957CEB"/>
    <w:rsid w:val="00960450"/>
    <w:rsid w:val="00961806"/>
    <w:rsid w:val="00961F25"/>
    <w:rsid w:val="00962CB3"/>
    <w:rsid w:val="00962FD9"/>
    <w:rsid w:val="00963426"/>
    <w:rsid w:val="009646D7"/>
    <w:rsid w:val="009650E3"/>
    <w:rsid w:val="00965DF4"/>
    <w:rsid w:val="00971C2C"/>
    <w:rsid w:val="00972359"/>
    <w:rsid w:val="00976277"/>
    <w:rsid w:val="00976B2F"/>
    <w:rsid w:val="00980DD8"/>
    <w:rsid w:val="0098131F"/>
    <w:rsid w:val="0098236C"/>
    <w:rsid w:val="009834FA"/>
    <w:rsid w:val="00984520"/>
    <w:rsid w:val="009849EF"/>
    <w:rsid w:val="0098613E"/>
    <w:rsid w:val="00990ED3"/>
    <w:rsid w:val="00991E1C"/>
    <w:rsid w:val="009921DB"/>
    <w:rsid w:val="00993C33"/>
    <w:rsid w:val="00993F92"/>
    <w:rsid w:val="0099408D"/>
    <w:rsid w:val="00996300"/>
    <w:rsid w:val="009966E7"/>
    <w:rsid w:val="00996C11"/>
    <w:rsid w:val="0099782D"/>
    <w:rsid w:val="009A0248"/>
    <w:rsid w:val="009A69D5"/>
    <w:rsid w:val="009B0043"/>
    <w:rsid w:val="009B07AC"/>
    <w:rsid w:val="009B3FCD"/>
    <w:rsid w:val="009B7563"/>
    <w:rsid w:val="009B7757"/>
    <w:rsid w:val="009C0BDF"/>
    <w:rsid w:val="009C171A"/>
    <w:rsid w:val="009C1D80"/>
    <w:rsid w:val="009C359C"/>
    <w:rsid w:val="009C5518"/>
    <w:rsid w:val="009D2927"/>
    <w:rsid w:val="009D3CB7"/>
    <w:rsid w:val="009D4387"/>
    <w:rsid w:val="009D5651"/>
    <w:rsid w:val="009D5F8E"/>
    <w:rsid w:val="009D64E5"/>
    <w:rsid w:val="009D79E5"/>
    <w:rsid w:val="009E2273"/>
    <w:rsid w:val="009E4063"/>
    <w:rsid w:val="009E5AAF"/>
    <w:rsid w:val="009E60B3"/>
    <w:rsid w:val="009E7D18"/>
    <w:rsid w:val="009F01F4"/>
    <w:rsid w:val="009F3291"/>
    <w:rsid w:val="009F43B0"/>
    <w:rsid w:val="009F617B"/>
    <w:rsid w:val="009F6845"/>
    <w:rsid w:val="009F6D7D"/>
    <w:rsid w:val="009F6F47"/>
    <w:rsid w:val="00A009C5"/>
    <w:rsid w:val="00A010B1"/>
    <w:rsid w:val="00A03799"/>
    <w:rsid w:val="00A03DE5"/>
    <w:rsid w:val="00A102FE"/>
    <w:rsid w:val="00A11D83"/>
    <w:rsid w:val="00A16689"/>
    <w:rsid w:val="00A16BD5"/>
    <w:rsid w:val="00A220D5"/>
    <w:rsid w:val="00A2228E"/>
    <w:rsid w:val="00A22582"/>
    <w:rsid w:val="00A22835"/>
    <w:rsid w:val="00A24575"/>
    <w:rsid w:val="00A26613"/>
    <w:rsid w:val="00A367C4"/>
    <w:rsid w:val="00A37F25"/>
    <w:rsid w:val="00A405E8"/>
    <w:rsid w:val="00A44D89"/>
    <w:rsid w:val="00A46EFE"/>
    <w:rsid w:val="00A52A83"/>
    <w:rsid w:val="00A52E6D"/>
    <w:rsid w:val="00A54615"/>
    <w:rsid w:val="00A55064"/>
    <w:rsid w:val="00A566C3"/>
    <w:rsid w:val="00A56DF1"/>
    <w:rsid w:val="00A600A2"/>
    <w:rsid w:val="00A60866"/>
    <w:rsid w:val="00A60F77"/>
    <w:rsid w:val="00A65CC2"/>
    <w:rsid w:val="00A676B8"/>
    <w:rsid w:val="00A7089E"/>
    <w:rsid w:val="00A70A46"/>
    <w:rsid w:val="00A70A4A"/>
    <w:rsid w:val="00A71160"/>
    <w:rsid w:val="00A72579"/>
    <w:rsid w:val="00A7303E"/>
    <w:rsid w:val="00A73041"/>
    <w:rsid w:val="00A73095"/>
    <w:rsid w:val="00A73938"/>
    <w:rsid w:val="00A73965"/>
    <w:rsid w:val="00A74DDD"/>
    <w:rsid w:val="00A80E74"/>
    <w:rsid w:val="00A9079A"/>
    <w:rsid w:val="00A91163"/>
    <w:rsid w:val="00A914FC"/>
    <w:rsid w:val="00A916A7"/>
    <w:rsid w:val="00A916AB"/>
    <w:rsid w:val="00A93C9D"/>
    <w:rsid w:val="00A95C4B"/>
    <w:rsid w:val="00A9622C"/>
    <w:rsid w:val="00A97FA3"/>
    <w:rsid w:val="00AA09BF"/>
    <w:rsid w:val="00AA1E14"/>
    <w:rsid w:val="00AA27EC"/>
    <w:rsid w:val="00AA380D"/>
    <w:rsid w:val="00AA4766"/>
    <w:rsid w:val="00AA4C48"/>
    <w:rsid w:val="00AA5D9C"/>
    <w:rsid w:val="00AB13D0"/>
    <w:rsid w:val="00AB20F7"/>
    <w:rsid w:val="00AB4627"/>
    <w:rsid w:val="00AB7F8A"/>
    <w:rsid w:val="00AC02D8"/>
    <w:rsid w:val="00AC04F9"/>
    <w:rsid w:val="00AC105D"/>
    <w:rsid w:val="00AC2125"/>
    <w:rsid w:val="00AC2F32"/>
    <w:rsid w:val="00AC408B"/>
    <w:rsid w:val="00AC4350"/>
    <w:rsid w:val="00AC48AF"/>
    <w:rsid w:val="00AC6138"/>
    <w:rsid w:val="00AC6B26"/>
    <w:rsid w:val="00AD4413"/>
    <w:rsid w:val="00AD5DDF"/>
    <w:rsid w:val="00AD7099"/>
    <w:rsid w:val="00AD7588"/>
    <w:rsid w:val="00AE0139"/>
    <w:rsid w:val="00AE03FD"/>
    <w:rsid w:val="00AE0E71"/>
    <w:rsid w:val="00AE1183"/>
    <w:rsid w:val="00AE1B48"/>
    <w:rsid w:val="00AE38F9"/>
    <w:rsid w:val="00AE3B1C"/>
    <w:rsid w:val="00AE411A"/>
    <w:rsid w:val="00AE52E2"/>
    <w:rsid w:val="00AF10B0"/>
    <w:rsid w:val="00AF1C79"/>
    <w:rsid w:val="00AF1DF4"/>
    <w:rsid w:val="00AF33CC"/>
    <w:rsid w:val="00AF4CC8"/>
    <w:rsid w:val="00AF64A3"/>
    <w:rsid w:val="00AF68F9"/>
    <w:rsid w:val="00B000FB"/>
    <w:rsid w:val="00B01F1B"/>
    <w:rsid w:val="00B02F53"/>
    <w:rsid w:val="00B02F8C"/>
    <w:rsid w:val="00B059E9"/>
    <w:rsid w:val="00B05A23"/>
    <w:rsid w:val="00B0699B"/>
    <w:rsid w:val="00B11E98"/>
    <w:rsid w:val="00B14854"/>
    <w:rsid w:val="00B1652E"/>
    <w:rsid w:val="00B1693D"/>
    <w:rsid w:val="00B16F9F"/>
    <w:rsid w:val="00B172BE"/>
    <w:rsid w:val="00B20279"/>
    <w:rsid w:val="00B20C11"/>
    <w:rsid w:val="00B21C55"/>
    <w:rsid w:val="00B22803"/>
    <w:rsid w:val="00B23A65"/>
    <w:rsid w:val="00B24FF5"/>
    <w:rsid w:val="00B254C7"/>
    <w:rsid w:val="00B30391"/>
    <w:rsid w:val="00B31DFD"/>
    <w:rsid w:val="00B323F7"/>
    <w:rsid w:val="00B3568A"/>
    <w:rsid w:val="00B36D6C"/>
    <w:rsid w:val="00B420B8"/>
    <w:rsid w:val="00B42A94"/>
    <w:rsid w:val="00B42F01"/>
    <w:rsid w:val="00B472EE"/>
    <w:rsid w:val="00B4775A"/>
    <w:rsid w:val="00B47AD6"/>
    <w:rsid w:val="00B501EE"/>
    <w:rsid w:val="00B50692"/>
    <w:rsid w:val="00B516A4"/>
    <w:rsid w:val="00B534A1"/>
    <w:rsid w:val="00B56289"/>
    <w:rsid w:val="00B57502"/>
    <w:rsid w:val="00B607DE"/>
    <w:rsid w:val="00B61531"/>
    <w:rsid w:val="00B615B1"/>
    <w:rsid w:val="00B62CD1"/>
    <w:rsid w:val="00B65B24"/>
    <w:rsid w:val="00B66BD9"/>
    <w:rsid w:val="00B67370"/>
    <w:rsid w:val="00B72767"/>
    <w:rsid w:val="00B72BE3"/>
    <w:rsid w:val="00B72F7A"/>
    <w:rsid w:val="00B8070F"/>
    <w:rsid w:val="00B80A3D"/>
    <w:rsid w:val="00B81B35"/>
    <w:rsid w:val="00B81F92"/>
    <w:rsid w:val="00B833EA"/>
    <w:rsid w:val="00B839E1"/>
    <w:rsid w:val="00B83C0B"/>
    <w:rsid w:val="00B84F7B"/>
    <w:rsid w:val="00B87DA2"/>
    <w:rsid w:val="00B91BA3"/>
    <w:rsid w:val="00B922B5"/>
    <w:rsid w:val="00B93FAD"/>
    <w:rsid w:val="00B94ACA"/>
    <w:rsid w:val="00B961E8"/>
    <w:rsid w:val="00BA066D"/>
    <w:rsid w:val="00BA0C99"/>
    <w:rsid w:val="00BA26E4"/>
    <w:rsid w:val="00BA4E12"/>
    <w:rsid w:val="00BA7AB5"/>
    <w:rsid w:val="00BB2230"/>
    <w:rsid w:val="00BB43AD"/>
    <w:rsid w:val="00BB6ED8"/>
    <w:rsid w:val="00BB7477"/>
    <w:rsid w:val="00BB7819"/>
    <w:rsid w:val="00BC2EAF"/>
    <w:rsid w:val="00BC3A20"/>
    <w:rsid w:val="00BC6351"/>
    <w:rsid w:val="00BD0C52"/>
    <w:rsid w:val="00BD3924"/>
    <w:rsid w:val="00BD4287"/>
    <w:rsid w:val="00BD4618"/>
    <w:rsid w:val="00BD4DDF"/>
    <w:rsid w:val="00BD4F8F"/>
    <w:rsid w:val="00BD5205"/>
    <w:rsid w:val="00BD55F0"/>
    <w:rsid w:val="00BD5D1D"/>
    <w:rsid w:val="00BD6653"/>
    <w:rsid w:val="00BD6E06"/>
    <w:rsid w:val="00BD7213"/>
    <w:rsid w:val="00BE00E8"/>
    <w:rsid w:val="00BF2272"/>
    <w:rsid w:val="00BF23D0"/>
    <w:rsid w:val="00BF2B36"/>
    <w:rsid w:val="00BF3C42"/>
    <w:rsid w:val="00BF637C"/>
    <w:rsid w:val="00BF7F1B"/>
    <w:rsid w:val="00C000E4"/>
    <w:rsid w:val="00C0025F"/>
    <w:rsid w:val="00C00DDF"/>
    <w:rsid w:val="00C01E28"/>
    <w:rsid w:val="00C022DA"/>
    <w:rsid w:val="00C0319D"/>
    <w:rsid w:val="00C12318"/>
    <w:rsid w:val="00C12EB8"/>
    <w:rsid w:val="00C145FA"/>
    <w:rsid w:val="00C14E17"/>
    <w:rsid w:val="00C16332"/>
    <w:rsid w:val="00C220FE"/>
    <w:rsid w:val="00C239DB"/>
    <w:rsid w:val="00C24CD1"/>
    <w:rsid w:val="00C26073"/>
    <w:rsid w:val="00C321A6"/>
    <w:rsid w:val="00C35E2F"/>
    <w:rsid w:val="00C376C1"/>
    <w:rsid w:val="00C37898"/>
    <w:rsid w:val="00C41403"/>
    <w:rsid w:val="00C41B5F"/>
    <w:rsid w:val="00C42394"/>
    <w:rsid w:val="00C43294"/>
    <w:rsid w:val="00C438A0"/>
    <w:rsid w:val="00C467EC"/>
    <w:rsid w:val="00C5084A"/>
    <w:rsid w:val="00C51FBE"/>
    <w:rsid w:val="00C52181"/>
    <w:rsid w:val="00C52329"/>
    <w:rsid w:val="00C5295E"/>
    <w:rsid w:val="00C531CF"/>
    <w:rsid w:val="00C5336B"/>
    <w:rsid w:val="00C55EC5"/>
    <w:rsid w:val="00C570D9"/>
    <w:rsid w:val="00C616F5"/>
    <w:rsid w:val="00C62D4D"/>
    <w:rsid w:val="00C64637"/>
    <w:rsid w:val="00C6510A"/>
    <w:rsid w:val="00C67C04"/>
    <w:rsid w:val="00C7009B"/>
    <w:rsid w:val="00C70C78"/>
    <w:rsid w:val="00C71D87"/>
    <w:rsid w:val="00C740D8"/>
    <w:rsid w:val="00C75323"/>
    <w:rsid w:val="00C7554E"/>
    <w:rsid w:val="00C77492"/>
    <w:rsid w:val="00C80FDA"/>
    <w:rsid w:val="00C83561"/>
    <w:rsid w:val="00C835A9"/>
    <w:rsid w:val="00C925B2"/>
    <w:rsid w:val="00C92B4A"/>
    <w:rsid w:val="00C92C33"/>
    <w:rsid w:val="00C93DC6"/>
    <w:rsid w:val="00C94ED0"/>
    <w:rsid w:val="00C94F4F"/>
    <w:rsid w:val="00C97A5E"/>
    <w:rsid w:val="00CA0174"/>
    <w:rsid w:val="00CA32BE"/>
    <w:rsid w:val="00CA40C2"/>
    <w:rsid w:val="00CA4172"/>
    <w:rsid w:val="00CA5DE9"/>
    <w:rsid w:val="00CA6117"/>
    <w:rsid w:val="00CA7D93"/>
    <w:rsid w:val="00CB0B2C"/>
    <w:rsid w:val="00CB0D6D"/>
    <w:rsid w:val="00CB1597"/>
    <w:rsid w:val="00CB5229"/>
    <w:rsid w:val="00CB733E"/>
    <w:rsid w:val="00CC011C"/>
    <w:rsid w:val="00CC0E51"/>
    <w:rsid w:val="00CC0E98"/>
    <w:rsid w:val="00CC2DA7"/>
    <w:rsid w:val="00CC45AA"/>
    <w:rsid w:val="00CC76FA"/>
    <w:rsid w:val="00CD46B5"/>
    <w:rsid w:val="00CD5D2B"/>
    <w:rsid w:val="00CD6AC8"/>
    <w:rsid w:val="00CD6B3B"/>
    <w:rsid w:val="00CE2F8B"/>
    <w:rsid w:val="00CE3538"/>
    <w:rsid w:val="00CE356C"/>
    <w:rsid w:val="00CE4F88"/>
    <w:rsid w:val="00CE5105"/>
    <w:rsid w:val="00CE543D"/>
    <w:rsid w:val="00CE73A8"/>
    <w:rsid w:val="00CE79B1"/>
    <w:rsid w:val="00CF2DDE"/>
    <w:rsid w:val="00CF312D"/>
    <w:rsid w:val="00CF3E3D"/>
    <w:rsid w:val="00CF40A9"/>
    <w:rsid w:val="00CF4C61"/>
    <w:rsid w:val="00CF4F8B"/>
    <w:rsid w:val="00CF5353"/>
    <w:rsid w:val="00CF7396"/>
    <w:rsid w:val="00D0032E"/>
    <w:rsid w:val="00D00B45"/>
    <w:rsid w:val="00D01048"/>
    <w:rsid w:val="00D02E7C"/>
    <w:rsid w:val="00D04E94"/>
    <w:rsid w:val="00D0642B"/>
    <w:rsid w:val="00D07F5F"/>
    <w:rsid w:val="00D10148"/>
    <w:rsid w:val="00D11FB1"/>
    <w:rsid w:val="00D13B82"/>
    <w:rsid w:val="00D145E9"/>
    <w:rsid w:val="00D14EC4"/>
    <w:rsid w:val="00D1632F"/>
    <w:rsid w:val="00D200E9"/>
    <w:rsid w:val="00D20217"/>
    <w:rsid w:val="00D234D6"/>
    <w:rsid w:val="00D23979"/>
    <w:rsid w:val="00D24AF7"/>
    <w:rsid w:val="00D268A8"/>
    <w:rsid w:val="00D275BA"/>
    <w:rsid w:val="00D27A03"/>
    <w:rsid w:val="00D27CF4"/>
    <w:rsid w:val="00D33723"/>
    <w:rsid w:val="00D34CD9"/>
    <w:rsid w:val="00D35385"/>
    <w:rsid w:val="00D35AC7"/>
    <w:rsid w:val="00D40D72"/>
    <w:rsid w:val="00D40DAF"/>
    <w:rsid w:val="00D40F3C"/>
    <w:rsid w:val="00D40F4D"/>
    <w:rsid w:val="00D41677"/>
    <w:rsid w:val="00D4268A"/>
    <w:rsid w:val="00D447D7"/>
    <w:rsid w:val="00D44926"/>
    <w:rsid w:val="00D44B41"/>
    <w:rsid w:val="00D47F04"/>
    <w:rsid w:val="00D509F5"/>
    <w:rsid w:val="00D50A69"/>
    <w:rsid w:val="00D50ECB"/>
    <w:rsid w:val="00D52A1A"/>
    <w:rsid w:val="00D53368"/>
    <w:rsid w:val="00D5359B"/>
    <w:rsid w:val="00D53ABC"/>
    <w:rsid w:val="00D541FB"/>
    <w:rsid w:val="00D542A3"/>
    <w:rsid w:val="00D543D5"/>
    <w:rsid w:val="00D5543C"/>
    <w:rsid w:val="00D55B34"/>
    <w:rsid w:val="00D55C5E"/>
    <w:rsid w:val="00D55F2C"/>
    <w:rsid w:val="00D56666"/>
    <w:rsid w:val="00D57AF5"/>
    <w:rsid w:val="00D627C7"/>
    <w:rsid w:val="00D658E2"/>
    <w:rsid w:val="00D65DEA"/>
    <w:rsid w:val="00D670F6"/>
    <w:rsid w:val="00D71309"/>
    <w:rsid w:val="00D7301B"/>
    <w:rsid w:val="00D76791"/>
    <w:rsid w:val="00D84981"/>
    <w:rsid w:val="00D8550E"/>
    <w:rsid w:val="00D90167"/>
    <w:rsid w:val="00D91C90"/>
    <w:rsid w:val="00D921E4"/>
    <w:rsid w:val="00D92705"/>
    <w:rsid w:val="00D92D80"/>
    <w:rsid w:val="00D92EAC"/>
    <w:rsid w:val="00D931A3"/>
    <w:rsid w:val="00D94182"/>
    <w:rsid w:val="00D96F76"/>
    <w:rsid w:val="00DA50B9"/>
    <w:rsid w:val="00DA5E5E"/>
    <w:rsid w:val="00DB029D"/>
    <w:rsid w:val="00DB0AE1"/>
    <w:rsid w:val="00DB2190"/>
    <w:rsid w:val="00DB2E8C"/>
    <w:rsid w:val="00DB43D9"/>
    <w:rsid w:val="00DB5BAA"/>
    <w:rsid w:val="00DC0510"/>
    <w:rsid w:val="00DC219A"/>
    <w:rsid w:val="00DC283A"/>
    <w:rsid w:val="00DC2EF7"/>
    <w:rsid w:val="00DC4429"/>
    <w:rsid w:val="00DC4F29"/>
    <w:rsid w:val="00DD0ED7"/>
    <w:rsid w:val="00DD23A4"/>
    <w:rsid w:val="00DD256E"/>
    <w:rsid w:val="00DD2C10"/>
    <w:rsid w:val="00DD5F7B"/>
    <w:rsid w:val="00DD75A7"/>
    <w:rsid w:val="00DE18FB"/>
    <w:rsid w:val="00DE1C7E"/>
    <w:rsid w:val="00DE1DEA"/>
    <w:rsid w:val="00DE2142"/>
    <w:rsid w:val="00DE4032"/>
    <w:rsid w:val="00DE42D7"/>
    <w:rsid w:val="00DE4BC6"/>
    <w:rsid w:val="00DE61C3"/>
    <w:rsid w:val="00DE7C27"/>
    <w:rsid w:val="00DF045C"/>
    <w:rsid w:val="00DF05EC"/>
    <w:rsid w:val="00DF20AF"/>
    <w:rsid w:val="00DF2703"/>
    <w:rsid w:val="00DF2F90"/>
    <w:rsid w:val="00DF4BC4"/>
    <w:rsid w:val="00DF550A"/>
    <w:rsid w:val="00DF70EB"/>
    <w:rsid w:val="00E00ACC"/>
    <w:rsid w:val="00E028DC"/>
    <w:rsid w:val="00E033A0"/>
    <w:rsid w:val="00E039A6"/>
    <w:rsid w:val="00E041BA"/>
    <w:rsid w:val="00E04ED9"/>
    <w:rsid w:val="00E06A1E"/>
    <w:rsid w:val="00E07451"/>
    <w:rsid w:val="00E104CE"/>
    <w:rsid w:val="00E12962"/>
    <w:rsid w:val="00E176F9"/>
    <w:rsid w:val="00E17980"/>
    <w:rsid w:val="00E209FC"/>
    <w:rsid w:val="00E26134"/>
    <w:rsid w:val="00E2679F"/>
    <w:rsid w:val="00E273CA"/>
    <w:rsid w:val="00E30DA2"/>
    <w:rsid w:val="00E329A8"/>
    <w:rsid w:val="00E3459F"/>
    <w:rsid w:val="00E34A24"/>
    <w:rsid w:val="00E37595"/>
    <w:rsid w:val="00E41F07"/>
    <w:rsid w:val="00E422B7"/>
    <w:rsid w:val="00E465E3"/>
    <w:rsid w:val="00E46FBE"/>
    <w:rsid w:val="00E510A8"/>
    <w:rsid w:val="00E51127"/>
    <w:rsid w:val="00E5166E"/>
    <w:rsid w:val="00E5263C"/>
    <w:rsid w:val="00E53953"/>
    <w:rsid w:val="00E53C0F"/>
    <w:rsid w:val="00E55FC6"/>
    <w:rsid w:val="00E562E3"/>
    <w:rsid w:val="00E56B7D"/>
    <w:rsid w:val="00E57A86"/>
    <w:rsid w:val="00E611BB"/>
    <w:rsid w:val="00E61371"/>
    <w:rsid w:val="00E61C90"/>
    <w:rsid w:val="00E639A8"/>
    <w:rsid w:val="00E6483A"/>
    <w:rsid w:val="00E653A1"/>
    <w:rsid w:val="00E6578A"/>
    <w:rsid w:val="00E70706"/>
    <w:rsid w:val="00E711A9"/>
    <w:rsid w:val="00E713E4"/>
    <w:rsid w:val="00E72D49"/>
    <w:rsid w:val="00E73351"/>
    <w:rsid w:val="00E737C5"/>
    <w:rsid w:val="00E75CF6"/>
    <w:rsid w:val="00E76AC4"/>
    <w:rsid w:val="00E779A7"/>
    <w:rsid w:val="00E82D22"/>
    <w:rsid w:val="00E83D13"/>
    <w:rsid w:val="00E8505B"/>
    <w:rsid w:val="00E854B8"/>
    <w:rsid w:val="00E870DA"/>
    <w:rsid w:val="00E8713C"/>
    <w:rsid w:val="00E94799"/>
    <w:rsid w:val="00E96A58"/>
    <w:rsid w:val="00EA3EBA"/>
    <w:rsid w:val="00EA4005"/>
    <w:rsid w:val="00EA4B6A"/>
    <w:rsid w:val="00EA5026"/>
    <w:rsid w:val="00EB19B1"/>
    <w:rsid w:val="00EB1E51"/>
    <w:rsid w:val="00EB20B2"/>
    <w:rsid w:val="00EB3E50"/>
    <w:rsid w:val="00EB48BA"/>
    <w:rsid w:val="00EB4D65"/>
    <w:rsid w:val="00EB638B"/>
    <w:rsid w:val="00EB6EAB"/>
    <w:rsid w:val="00EC1ED4"/>
    <w:rsid w:val="00EC3246"/>
    <w:rsid w:val="00EC3D9D"/>
    <w:rsid w:val="00EC4119"/>
    <w:rsid w:val="00EC53EF"/>
    <w:rsid w:val="00EC5CB2"/>
    <w:rsid w:val="00EC778C"/>
    <w:rsid w:val="00EC78E3"/>
    <w:rsid w:val="00ED0920"/>
    <w:rsid w:val="00ED1E46"/>
    <w:rsid w:val="00ED437E"/>
    <w:rsid w:val="00ED4BC2"/>
    <w:rsid w:val="00ED78E9"/>
    <w:rsid w:val="00EE006B"/>
    <w:rsid w:val="00EE0D6E"/>
    <w:rsid w:val="00EE43D1"/>
    <w:rsid w:val="00EE4F12"/>
    <w:rsid w:val="00EF0B86"/>
    <w:rsid w:val="00EF0C11"/>
    <w:rsid w:val="00F00DBC"/>
    <w:rsid w:val="00F02777"/>
    <w:rsid w:val="00F034F6"/>
    <w:rsid w:val="00F05214"/>
    <w:rsid w:val="00F05523"/>
    <w:rsid w:val="00F05C04"/>
    <w:rsid w:val="00F05C27"/>
    <w:rsid w:val="00F112C1"/>
    <w:rsid w:val="00F20F65"/>
    <w:rsid w:val="00F226E9"/>
    <w:rsid w:val="00F22F8D"/>
    <w:rsid w:val="00F237D5"/>
    <w:rsid w:val="00F23DD5"/>
    <w:rsid w:val="00F248F6"/>
    <w:rsid w:val="00F268EB"/>
    <w:rsid w:val="00F312AF"/>
    <w:rsid w:val="00F312DA"/>
    <w:rsid w:val="00F346B5"/>
    <w:rsid w:val="00F36CB6"/>
    <w:rsid w:val="00F40852"/>
    <w:rsid w:val="00F40CE8"/>
    <w:rsid w:val="00F40D75"/>
    <w:rsid w:val="00F40E31"/>
    <w:rsid w:val="00F4154B"/>
    <w:rsid w:val="00F426D4"/>
    <w:rsid w:val="00F443B8"/>
    <w:rsid w:val="00F463E6"/>
    <w:rsid w:val="00F466AF"/>
    <w:rsid w:val="00F472F9"/>
    <w:rsid w:val="00F51E49"/>
    <w:rsid w:val="00F51EE5"/>
    <w:rsid w:val="00F52A28"/>
    <w:rsid w:val="00F5301E"/>
    <w:rsid w:val="00F53056"/>
    <w:rsid w:val="00F54352"/>
    <w:rsid w:val="00F54652"/>
    <w:rsid w:val="00F54CD2"/>
    <w:rsid w:val="00F55C0E"/>
    <w:rsid w:val="00F56E3C"/>
    <w:rsid w:val="00F602B6"/>
    <w:rsid w:val="00F60783"/>
    <w:rsid w:val="00F640E1"/>
    <w:rsid w:val="00F65DE2"/>
    <w:rsid w:val="00F66C66"/>
    <w:rsid w:val="00F676D5"/>
    <w:rsid w:val="00F706B9"/>
    <w:rsid w:val="00F736DF"/>
    <w:rsid w:val="00F73CE0"/>
    <w:rsid w:val="00F759E9"/>
    <w:rsid w:val="00F77715"/>
    <w:rsid w:val="00F8022A"/>
    <w:rsid w:val="00F80388"/>
    <w:rsid w:val="00F80781"/>
    <w:rsid w:val="00F83178"/>
    <w:rsid w:val="00F83AD5"/>
    <w:rsid w:val="00F84586"/>
    <w:rsid w:val="00F85D23"/>
    <w:rsid w:val="00F8786D"/>
    <w:rsid w:val="00F879CC"/>
    <w:rsid w:val="00F87A5E"/>
    <w:rsid w:val="00F90539"/>
    <w:rsid w:val="00F93ACC"/>
    <w:rsid w:val="00F93F0A"/>
    <w:rsid w:val="00F95B90"/>
    <w:rsid w:val="00F95E99"/>
    <w:rsid w:val="00F9742A"/>
    <w:rsid w:val="00FA0F38"/>
    <w:rsid w:val="00FA147D"/>
    <w:rsid w:val="00FA7BE8"/>
    <w:rsid w:val="00FA7F5A"/>
    <w:rsid w:val="00FA7F62"/>
    <w:rsid w:val="00FB0C77"/>
    <w:rsid w:val="00FB0E27"/>
    <w:rsid w:val="00FB1640"/>
    <w:rsid w:val="00FB2465"/>
    <w:rsid w:val="00FB66F1"/>
    <w:rsid w:val="00FB6F62"/>
    <w:rsid w:val="00FC0699"/>
    <w:rsid w:val="00FC179D"/>
    <w:rsid w:val="00FC28AB"/>
    <w:rsid w:val="00FC2E2D"/>
    <w:rsid w:val="00FC4E15"/>
    <w:rsid w:val="00FC5279"/>
    <w:rsid w:val="00FC5897"/>
    <w:rsid w:val="00FC5A5F"/>
    <w:rsid w:val="00FC5AA9"/>
    <w:rsid w:val="00FC5BFD"/>
    <w:rsid w:val="00FC5DCF"/>
    <w:rsid w:val="00FC6889"/>
    <w:rsid w:val="00FC6F6A"/>
    <w:rsid w:val="00FD06A0"/>
    <w:rsid w:val="00FD0E85"/>
    <w:rsid w:val="00FD0FEF"/>
    <w:rsid w:val="00FD17A0"/>
    <w:rsid w:val="00FD1B8A"/>
    <w:rsid w:val="00FD2F04"/>
    <w:rsid w:val="00FD3586"/>
    <w:rsid w:val="00FD3F96"/>
    <w:rsid w:val="00FD52B7"/>
    <w:rsid w:val="00FD57F3"/>
    <w:rsid w:val="00FD5BC4"/>
    <w:rsid w:val="00FD5D13"/>
    <w:rsid w:val="00FD77F1"/>
    <w:rsid w:val="00FE08AB"/>
    <w:rsid w:val="00FE444C"/>
    <w:rsid w:val="00FE4520"/>
    <w:rsid w:val="00FE4DB5"/>
    <w:rsid w:val="00FF02CE"/>
    <w:rsid w:val="00FF0ECE"/>
    <w:rsid w:val="00FF1270"/>
    <w:rsid w:val="00FF3069"/>
    <w:rsid w:val="00FF3475"/>
    <w:rsid w:val="00FF5F7D"/>
    <w:rsid w:val="00FF690B"/>
    <w:rsid w:val="00FF6F2F"/>
    <w:rsid w:val="00FF75B3"/>
    <w:rsid w:val="00FF7B89"/>
    <w:rsid w:val="01644A2B"/>
    <w:rsid w:val="01D93E07"/>
    <w:rsid w:val="01FFCD9C"/>
    <w:rsid w:val="0241242E"/>
    <w:rsid w:val="033B018D"/>
    <w:rsid w:val="034B11BF"/>
    <w:rsid w:val="0365BA8B"/>
    <w:rsid w:val="03822F17"/>
    <w:rsid w:val="03CD7B31"/>
    <w:rsid w:val="03DB63D5"/>
    <w:rsid w:val="03DC04B7"/>
    <w:rsid w:val="03FA6D38"/>
    <w:rsid w:val="044E2BE0"/>
    <w:rsid w:val="04FE5C30"/>
    <w:rsid w:val="056A1C9B"/>
    <w:rsid w:val="05760640"/>
    <w:rsid w:val="05CC47F9"/>
    <w:rsid w:val="068E3887"/>
    <w:rsid w:val="07863477"/>
    <w:rsid w:val="07CFC98A"/>
    <w:rsid w:val="07FC4DCA"/>
    <w:rsid w:val="07FCEC4C"/>
    <w:rsid w:val="07FF909A"/>
    <w:rsid w:val="08364485"/>
    <w:rsid w:val="08544082"/>
    <w:rsid w:val="088167A9"/>
    <w:rsid w:val="08A96637"/>
    <w:rsid w:val="08AE6B9D"/>
    <w:rsid w:val="093FA7BC"/>
    <w:rsid w:val="095F8042"/>
    <w:rsid w:val="0B3BB15A"/>
    <w:rsid w:val="0B48C0B8"/>
    <w:rsid w:val="0BE96679"/>
    <w:rsid w:val="0BED9F31"/>
    <w:rsid w:val="0C7EDAB7"/>
    <w:rsid w:val="0C8B73F2"/>
    <w:rsid w:val="0CD356AE"/>
    <w:rsid w:val="0CFA23B6"/>
    <w:rsid w:val="0D3FCD55"/>
    <w:rsid w:val="0D7F5835"/>
    <w:rsid w:val="0DFB2E72"/>
    <w:rsid w:val="0DFF2555"/>
    <w:rsid w:val="0E187D7C"/>
    <w:rsid w:val="0E3D1777"/>
    <w:rsid w:val="0EBFA238"/>
    <w:rsid w:val="0ECDABF7"/>
    <w:rsid w:val="0F7C02D8"/>
    <w:rsid w:val="0F8F169F"/>
    <w:rsid w:val="0FA64A22"/>
    <w:rsid w:val="0FAF7819"/>
    <w:rsid w:val="0FB3C363"/>
    <w:rsid w:val="0FB70FFA"/>
    <w:rsid w:val="0FBE4C00"/>
    <w:rsid w:val="0FDDD5F7"/>
    <w:rsid w:val="0FDF542D"/>
    <w:rsid w:val="0FEBF1F6"/>
    <w:rsid w:val="0FF1A97D"/>
    <w:rsid w:val="0FF30B4D"/>
    <w:rsid w:val="0FF7504E"/>
    <w:rsid w:val="0FFF2605"/>
    <w:rsid w:val="100D29D6"/>
    <w:rsid w:val="10577868"/>
    <w:rsid w:val="10AD1A32"/>
    <w:rsid w:val="116320A5"/>
    <w:rsid w:val="11E903EC"/>
    <w:rsid w:val="12064A54"/>
    <w:rsid w:val="121F8E76"/>
    <w:rsid w:val="12943FDF"/>
    <w:rsid w:val="12D20E80"/>
    <w:rsid w:val="12DF4851"/>
    <w:rsid w:val="12FD414F"/>
    <w:rsid w:val="132D7312"/>
    <w:rsid w:val="1361511B"/>
    <w:rsid w:val="13664A17"/>
    <w:rsid w:val="138654A1"/>
    <w:rsid w:val="138C7281"/>
    <w:rsid w:val="13B42790"/>
    <w:rsid w:val="13B7B2FB"/>
    <w:rsid w:val="13BF89B9"/>
    <w:rsid w:val="13ED8786"/>
    <w:rsid w:val="13F7917E"/>
    <w:rsid w:val="143F2C4D"/>
    <w:rsid w:val="145612DD"/>
    <w:rsid w:val="15FCBA01"/>
    <w:rsid w:val="161D4AF5"/>
    <w:rsid w:val="161F397D"/>
    <w:rsid w:val="163E0CA3"/>
    <w:rsid w:val="16814839"/>
    <w:rsid w:val="169A7F07"/>
    <w:rsid w:val="16BBE69F"/>
    <w:rsid w:val="16EE227E"/>
    <w:rsid w:val="16FC3A36"/>
    <w:rsid w:val="171F8E51"/>
    <w:rsid w:val="173723B9"/>
    <w:rsid w:val="173F5BD5"/>
    <w:rsid w:val="177F3AB5"/>
    <w:rsid w:val="177F57A4"/>
    <w:rsid w:val="177FFE75"/>
    <w:rsid w:val="178E23EB"/>
    <w:rsid w:val="17BF030F"/>
    <w:rsid w:val="17BFA315"/>
    <w:rsid w:val="17D77BCB"/>
    <w:rsid w:val="17DF9B6F"/>
    <w:rsid w:val="17ED545F"/>
    <w:rsid w:val="17EED69F"/>
    <w:rsid w:val="17FDA245"/>
    <w:rsid w:val="18DC38A2"/>
    <w:rsid w:val="19BEE7CB"/>
    <w:rsid w:val="19BFF2FB"/>
    <w:rsid w:val="19FCBABF"/>
    <w:rsid w:val="19FCF105"/>
    <w:rsid w:val="1A147B04"/>
    <w:rsid w:val="1A5A6226"/>
    <w:rsid w:val="1A6D5FE4"/>
    <w:rsid w:val="1AA40A9C"/>
    <w:rsid w:val="1ABF1A0D"/>
    <w:rsid w:val="1ACD08AB"/>
    <w:rsid w:val="1AF324D1"/>
    <w:rsid w:val="1B2FCC3C"/>
    <w:rsid w:val="1B5F5C07"/>
    <w:rsid w:val="1B70283A"/>
    <w:rsid w:val="1B77473B"/>
    <w:rsid w:val="1B9590C2"/>
    <w:rsid w:val="1BAE6658"/>
    <w:rsid w:val="1BBAC9CB"/>
    <w:rsid w:val="1BC383A6"/>
    <w:rsid w:val="1BDD5EA6"/>
    <w:rsid w:val="1BDFDA99"/>
    <w:rsid w:val="1BEBA102"/>
    <w:rsid w:val="1BEBFFD7"/>
    <w:rsid w:val="1BEF41A5"/>
    <w:rsid w:val="1BF6ED94"/>
    <w:rsid w:val="1BFF3123"/>
    <w:rsid w:val="1BFFA53C"/>
    <w:rsid w:val="1C3B5CE8"/>
    <w:rsid w:val="1C5C97F7"/>
    <w:rsid w:val="1CDFAFCE"/>
    <w:rsid w:val="1CEBA0BF"/>
    <w:rsid w:val="1CF75AD8"/>
    <w:rsid w:val="1D0EDD65"/>
    <w:rsid w:val="1D6731D8"/>
    <w:rsid w:val="1DBBCDDD"/>
    <w:rsid w:val="1DBD95DF"/>
    <w:rsid w:val="1DD96733"/>
    <w:rsid w:val="1DFF012C"/>
    <w:rsid w:val="1DFF32F4"/>
    <w:rsid w:val="1E205195"/>
    <w:rsid w:val="1E224F32"/>
    <w:rsid w:val="1E3719AB"/>
    <w:rsid w:val="1E5B6DAA"/>
    <w:rsid w:val="1E7FD4B7"/>
    <w:rsid w:val="1E970CC6"/>
    <w:rsid w:val="1EBD2859"/>
    <w:rsid w:val="1EDE0DB9"/>
    <w:rsid w:val="1EE04D22"/>
    <w:rsid w:val="1EE74165"/>
    <w:rsid w:val="1EF7E096"/>
    <w:rsid w:val="1EFCA7D8"/>
    <w:rsid w:val="1EFFC23A"/>
    <w:rsid w:val="1F220A99"/>
    <w:rsid w:val="1F3E433C"/>
    <w:rsid w:val="1F3F5F1B"/>
    <w:rsid w:val="1F667A7F"/>
    <w:rsid w:val="1F75815A"/>
    <w:rsid w:val="1F792752"/>
    <w:rsid w:val="1F7DB156"/>
    <w:rsid w:val="1F9FDA7E"/>
    <w:rsid w:val="1FAB4C57"/>
    <w:rsid w:val="1FABAC1E"/>
    <w:rsid w:val="1FAEBD6D"/>
    <w:rsid w:val="1FB73BA1"/>
    <w:rsid w:val="1FB7E9D4"/>
    <w:rsid w:val="1FB93592"/>
    <w:rsid w:val="1FBE341A"/>
    <w:rsid w:val="1FDCCD01"/>
    <w:rsid w:val="1FDF115E"/>
    <w:rsid w:val="1FDFB105"/>
    <w:rsid w:val="1FE5BCE6"/>
    <w:rsid w:val="1FE7B8DC"/>
    <w:rsid w:val="1FEF6864"/>
    <w:rsid w:val="1FEF7FEA"/>
    <w:rsid w:val="1FEFED85"/>
    <w:rsid w:val="1FF13C9D"/>
    <w:rsid w:val="1FFB6BCA"/>
    <w:rsid w:val="1FFD5BF8"/>
    <w:rsid w:val="1FFD989B"/>
    <w:rsid w:val="1FFE7BD8"/>
    <w:rsid w:val="1FFE8958"/>
    <w:rsid w:val="1FFF0B90"/>
    <w:rsid w:val="1FFF0E82"/>
    <w:rsid w:val="1FFF1BED"/>
    <w:rsid w:val="1FFF6E4D"/>
    <w:rsid w:val="1FFFCF0F"/>
    <w:rsid w:val="1FFFFE09"/>
    <w:rsid w:val="20614D65"/>
    <w:rsid w:val="207059B2"/>
    <w:rsid w:val="21BFFC26"/>
    <w:rsid w:val="2205092A"/>
    <w:rsid w:val="2283724B"/>
    <w:rsid w:val="22E45AB2"/>
    <w:rsid w:val="23B7C04C"/>
    <w:rsid w:val="23CD744D"/>
    <w:rsid w:val="23FDDF83"/>
    <w:rsid w:val="23FFDAA0"/>
    <w:rsid w:val="2415017C"/>
    <w:rsid w:val="242100AB"/>
    <w:rsid w:val="2452671D"/>
    <w:rsid w:val="24FB3F96"/>
    <w:rsid w:val="251008AD"/>
    <w:rsid w:val="251D242F"/>
    <w:rsid w:val="252E454D"/>
    <w:rsid w:val="257F04EC"/>
    <w:rsid w:val="25C76E3C"/>
    <w:rsid w:val="25EF2B07"/>
    <w:rsid w:val="26D235DD"/>
    <w:rsid w:val="26DC72B1"/>
    <w:rsid w:val="26F9C4DC"/>
    <w:rsid w:val="27136CE7"/>
    <w:rsid w:val="271FCAB3"/>
    <w:rsid w:val="2727529D"/>
    <w:rsid w:val="27575C25"/>
    <w:rsid w:val="275D4D64"/>
    <w:rsid w:val="2763421B"/>
    <w:rsid w:val="277DDE30"/>
    <w:rsid w:val="27AF65DF"/>
    <w:rsid w:val="27D768DA"/>
    <w:rsid w:val="27D952A1"/>
    <w:rsid w:val="27DD4A2D"/>
    <w:rsid w:val="27DF3640"/>
    <w:rsid w:val="27E7543F"/>
    <w:rsid w:val="27EF32EC"/>
    <w:rsid w:val="27F7BD1F"/>
    <w:rsid w:val="27F7DC99"/>
    <w:rsid w:val="27FB87C3"/>
    <w:rsid w:val="27FEF1D6"/>
    <w:rsid w:val="27FF547A"/>
    <w:rsid w:val="28096C9A"/>
    <w:rsid w:val="281DA0EB"/>
    <w:rsid w:val="297E0F44"/>
    <w:rsid w:val="29D6DADA"/>
    <w:rsid w:val="29F34139"/>
    <w:rsid w:val="29FF9A5C"/>
    <w:rsid w:val="29FFB7E2"/>
    <w:rsid w:val="2A6E51FA"/>
    <w:rsid w:val="2A7D8F6D"/>
    <w:rsid w:val="2A9ED322"/>
    <w:rsid w:val="2AEEE651"/>
    <w:rsid w:val="2B1B3AB3"/>
    <w:rsid w:val="2B85261A"/>
    <w:rsid w:val="2BA7865C"/>
    <w:rsid w:val="2BAF255A"/>
    <w:rsid w:val="2BBB7BE4"/>
    <w:rsid w:val="2BD749F5"/>
    <w:rsid w:val="2BDBCD06"/>
    <w:rsid w:val="2BE76F02"/>
    <w:rsid w:val="2BED6A56"/>
    <w:rsid w:val="2BF3DCA3"/>
    <w:rsid w:val="2BF76243"/>
    <w:rsid w:val="2BFB0C34"/>
    <w:rsid w:val="2BFE54CA"/>
    <w:rsid w:val="2BFF832E"/>
    <w:rsid w:val="2BFFA039"/>
    <w:rsid w:val="2C77764A"/>
    <w:rsid w:val="2CDBC66E"/>
    <w:rsid w:val="2CF990C8"/>
    <w:rsid w:val="2D683875"/>
    <w:rsid w:val="2D6CCEAB"/>
    <w:rsid w:val="2D6F09C5"/>
    <w:rsid w:val="2D8F10CC"/>
    <w:rsid w:val="2D8F8317"/>
    <w:rsid w:val="2DEF06D2"/>
    <w:rsid w:val="2DF33F33"/>
    <w:rsid w:val="2DFBA5E8"/>
    <w:rsid w:val="2DFBF23A"/>
    <w:rsid w:val="2DFF4BDE"/>
    <w:rsid w:val="2E5462D8"/>
    <w:rsid w:val="2E7E8326"/>
    <w:rsid w:val="2EBF18C0"/>
    <w:rsid w:val="2EC83059"/>
    <w:rsid w:val="2ED73567"/>
    <w:rsid w:val="2EDF16FD"/>
    <w:rsid w:val="2EE601DF"/>
    <w:rsid w:val="2EE73A31"/>
    <w:rsid w:val="2EEAD2F3"/>
    <w:rsid w:val="2EEEC686"/>
    <w:rsid w:val="2EEF18B8"/>
    <w:rsid w:val="2EFBB0CB"/>
    <w:rsid w:val="2EFF1643"/>
    <w:rsid w:val="2F1946E0"/>
    <w:rsid w:val="2F1A796B"/>
    <w:rsid w:val="2F1D8E68"/>
    <w:rsid w:val="2F323952"/>
    <w:rsid w:val="2F57BA23"/>
    <w:rsid w:val="2F73A06A"/>
    <w:rsid w:val="2F7DEA84"/>
    <w:rsid w:val="2F7F0E23"/>
    <w:rsid w:val="2F7F244C"/>
    <w:rsid w:val="2FA8D291"/>
    <w:rsid w:val="2FA9DC51"/>
    <w:rsid w:val="2FAB0637"/>
    <w:rsid w:val="2FAEDFB5"/>
    <w:rsid w:val="2FB7CBF8"/>
    <w:rsid w:val="2FBFA52C"/>
    <w:rsid w:val="2FC020FB"/>
    <w:rsid w:val="2FDFECF6"/>
    <w:rsid w:val="2FEA48D0"/>
    <w:rsid w:val="2FEF11F7"/>
    <w:rsid w:val="2FEF558A"/>
    <w:rsid w:val="2FF63BE4"/>
    <w:rsid w:val="2FF6EB5A"/>
    <w:rsid w:val="2FF83218"/>
    <w:rsid w:val="2FF9371F"/>
    <w:rsid w:val="2FFD78A2"/>
    <w:rsid w:val="2FFD938A"/>
    <w:rsid w:val="2FFE589E"/>
    <w:rsid w:val="2FFE67BF"/>
    <w:rsid w:val="2FFF41BC"/>
    <w:rsid w:val="303F1C8A"/>
    <w:rsid w:val="30AD9DE6"/>
    <w:rsid w:val="31521536"/>
    <w:rsid w:val="317D8AD9"/>
    <w:rsid w:val="318F8561"/>
    <w:rsid w:val="31FF94BF"/>
    <w:rsid w:val="32221084"/>
    <w:rsid w:val="329FF9CA"/>
    <w:rsid w:val="32E73E31"/>
    <w:rsid w:val="32F7DD51"/>
    <w:rsid w:val="32FE7AF9"/>
    <w:rsid w:val="3355E3D0"/>
    <w:rsid w:val="339B1A28"/>
    <w:rsid w:val="33DBBFEB"/>
    <w:rsid w:val="33DDCAC7"/>
    <w:rsid w:val="33DF16F2"/>
    <w:rsid w:val="33EEF14A"/>
    <w:rsid w:val="33FC73C0"/>
    <w:rsid w:val="33FEE937"/>
    <w:rsid w:val="33FFA133"/>
    <w:rsid w:val="33FFEB4B"/>
    <w:rsid w:val="34751AA0"/>
    <w:rsid w:val="34BF8863"/>
    <w:rsid w:val="34CBF327"/>
    <w:rsid w:val="34EB7B40"/>
    <w:rsid w:val="34FAAA7D"/>
    <w:rsid w:val="34FE0EB3"/>
    <w:rsid w:val="35378E20"/>
    <w:rsid w:val="3573950A"/>
    <w:rsid w:val="357FCB64"/>
    <w:rsid w:val="35B1499E"/>
    <w:rsid w:val="35BDD562"/>
    <w:rsid w:val="35C16E06"/>
    <w:rsid w:val="35D169AB"/>
    <w:rsid w:val="35EF2CBE"/>
    <w:rsid w:val="35F72235"/>
    <w:rsid w:val="35FA80F0"/>
    <w:rsid w:val="35FD1C77"/>
    <w:rsid w:val="35FD2C11"/>
    <w:rsid w:val="35FF5F3D"/>
    <w:rsid w:val="363EBF05"/>
    <w:rsid w:val="36496F62"/>
    <w:rsid w:val="364C1F3A"/>
    <w:rsid w:val="366E5C5B"/>
    <w:rsid w:val="3684544E"/>
    <w:rsid w:val="369E1C13"/>
    <w:rsid w:val="36D583E4"/>
    <w:rsid w:val="36DF5A4B"/>
    <w:rsid w:val="36F150EE"/>
    <w:rsid w:val="36F34A1D"/>
    <w:rsid w:val="36F3E11A"/>
    <w:rsid w:val="36F7F5D7"/>
    <w:rsid w:val="36FE6B8D"/>
    <w:rsid w:val="36FF2CA1"/>
    <w:rsid w:val="36FF3048"/>
    <w:rsid w:val="372C6501"/>
    <w:rsid w:val="372F8172"/>
    <w:rsid w:val="373FCB5B"/>
    <w:rsid w:val="376BC625"/>
    <w:rsid w:val="376BD6B1"/>
    <w:rsid w:val="377FBAF2"/>
    <w:rsid w:val="37981156"/>
    <w:rsid w:val="379D9BF6"/>
    <w:rsid w:val="37AA0240"/>
    <w:rsid w:val="37AF2577"/>
    <w:rsid w:val="37B7931F"/>
    <w:rsid w:val="37BB47A0"/>
    <w:rsid w:val="37BF8739"/>
    <w:rsid w:val="37BF90D6"/>
    <w:rsid w:val="37D78DB8"/>
    <w:rsid w:val="37DB70C4"/>
    <w:rsid w:val="37DD551A"/>
    <w:rsid w:val="37DDE9D9"/>
    <w:rsid w:val="37DF377C"/>
    <w:rsid w:val="37E52CB5"/>
    <w:rsid w:val="37F094F5"/>
    <w:rsid w:val="37F51D71"/>
    <w:rsid w:val="37F5344B"/>
    <w:rsid w:val="37FBFE8B"/>
    <w:rsid w:val="37FC84A0"/>
    <w:rsid w:val="37FCC0AB"/>
    <w:rsid w:val="37FD23C4"/>
    <w:rsid w:val="37FD2FE8"/>
    <w:rsid w:val="37FD39BB"/>
    <w:rsid w:val="37FE1606"/>
    <w:rsid w:val="37FE6013"/>
    <w:rsid w:val="37FEA792"/>
    <w:rsid w:val="37FF55C8"/>
    <w:rsid w:val="37FF7BA8"/>
    <w:rsid w:val="37FF8269"/>
    <w:rsid w:val="37FFC208"/>
    <w:rsid w:val="37FFC2DE"/>
    <w:rsid w:val="387EA693"/>
    <w:rsid w:val="38CE521A"/>
    <w:rsid w:val="38DDF44B"/>
    <w:rsid w:val="38E76F73"/>
    <w:rsid w:val="3921472D"/>
    <w:rsid w:val="395B7717"/>
    <w:rsid w:val="397B5026"/>
    <w:rsid w:val="397E914B"/>
    <w:rsid w:val="39D3A590"/>
    <w:rsid w:val="39D46A1F"/>
    <w:rsid w:val="39DBFEF7"/>
    <w:rsid w:val="39FC7DE2"/>
    <w:rsid w:val="39FD4FEF"/>
    <w:rsid w:val="39FDABF2"/>
    <w:rsid w:val="39FF8CD6"/>
    <w:rsid w:val="3A2F64AC"/>
    <w:rsid w:val="3A7D6781"/>
    <w:rsid w:val="3ABF7B3B"/>
    <w:rsid w:val="3ACBDE87"/>
    <w:rsid w:val="3AD1A50A"/>
    <w:rsid w:val="3AD54DD3"/>
    <w:rsid w:val="3AD68E2D"/>
    <w:rsid w:val="3ADF2874"/>
    <w:rsid w:val="3AE5CDC0"/>
    <w:rsid w:val="3AEB769C"/>
    <w:rsid w:val="3AEFDD53"/>
    <w:rsid w:val="3AF362B9"/>
    <w:rsid w:val="3AFB3A77"/>
    <w:rsid w:val="3AFB9DB5"/>
    <w:rsid w:val="3AFBC6C3"/>
    <w:rsid w:val="3AFE8576"/>
    <w:rsid w:val="3AFFFC31"/>
    <w:rsid w:val="3B0DD404"/>
    <w:rsid w:val="3B0E1FAD"/>
    <w:rsid w:val="3B131C0C"/>
    <w:rsid w:val="3B26EC98"/>
    <w:rsid w:val="3B3B2F76"/>
    <w:rsid w:val="3B3E2B7B"/>
    <w:rsid w:val="3B3E870E"/>
    <w:rsid w:val="3B581738"/>
    <w:rsid w:val="3B5D10B8"/>
    <w:rsid w:val="3B615B40"/>
    <w:rsid w:val="3B6F852F"/>
    <w:rsid w:val="3B6F9D9D"/>
    <w:rsid w:val="3B7B59CD"/>
    <w:rsid w:val="3B7ECAB3"/>
    <w:rsid w:val="3BACDE58"/>
    <w:rsid w:val="3BADC935"/>
    <w:rsid w:val="3BB112FC"/>
    <w:rsid w:val="3BB7FDF5"/>
    <w:rsid w:val="3BBA232E"/>
    <w:rsid w:val="3BBBD0C4"/>
    <w:rsid w:val="3BBEB5EB"/>
    <w:rsid w:val="3BCE2AB2"/>
    <w:rsid w:val="3BD27561"/>
    <w:rsid w:val="3BD58068"/>
    <w:rsid w:val="3BDF1D96"/>
    <w:rsid w:val="3BDF8F41"/>
    <w:rsid w:val="3BEF4B0C"/>
    <w:rsid w:val="3BF68452"/>
    <w:rsid w:val="3BF70148"/>
    <w:rsid w:val="3BF7F2BA"/>
    <w:rsid w:val="3BF9D29A"/>
    <w:rsid w:val="3BFB8A04"/>
    <w:rsid w:val="3BFBE853"/>
    <w:rsid w:val="3BFD90FA"/>
    <w:rsid w:val="3BFDF03E"/>
    <w:rsid w:val="3BFE8033"/>
    <w:rsid w:val="3BFF069A"/>
    <w:rsid w:val="3BFF4F66"/>
    <w:rsid w:val="3BFFA3D6"/>
    <w:rsid w:val="3BFFA534"/>
    <w:rsid w:val="3BFFAA74"/>
    <w:rsid w:val="3BFFC605"/>
    <w:rsid w:val="3BFFD7A3"/>
    <w:rsid w:val="3C7AFE9A"/>
    <w:rsid w:val="3C7E4BBE"/>
    <w:rsid w:val="3C9BFFDE"/>
    <w:rsid w:val="3CA408E8"/>
    <w:rsid w:val="3CB00A83"/>
    <w:rsid w:val="3CB294F2"/>
    <w:rsid w:val="3CB71D02"/>
    <w:rsid w:val="3CDE660D"/>
    <w:rsid w:val="3CEF2021"/>
    <w:rsid w:val="3CEFC418"/>
    <w:rsid w:val="3CF30CA9"/>
    <w:rsid w:val="3CFB4551"/>
    <w:rsid w:val="3CFB5525"/>
    <w:rsid w:val="3CFE57BB"/>
    <w:rsid w:val="3CFF1A7C"/>
    <w:rsid w:val="3D0313B1"/>
    <w:rsid w:val="3D375862"/>
    <w:rsid w:val="3D4DEA59"/>
    <w:rsid w:val="3D5B8757"/>
    <w:rsid w:val="3D730A23"/>
    <w:rsid w:val="3D7750EE"/>
    <w:rsid w:val="3D77D44E"/>
    <w:rsid w:val="3D7E87DF"/>
    <w:rsid w:val="3D7FADFF"/>
    <w:rsid w:val="3DAF961E"/>
    <w:rsid w:val="3DBB869C"/>
    <w:rsid w:val="3DBF0555"/>
    <w:rsid w:val="3DC26E41"/>
    <w:rsid w:val="3DCF346E"/>
    <w:rsid w:val="3DCF8424"/>
    <w:rsid w:val="3DDD0976"/>
    <w:rsid w:val="3DEF55DE"/>
    <w:rsid w:val="3DFB03F6"/>
    <w:rsid w:val="3DFBDA5D"/>
    <w:rsid w:val="3DFC0106"/>
    <w:rsid w:val="3DFF2E54"/>
    <w:rsid w:val="3DFF2FA0"/>
    <w:rsid w:val="3DFF4AE9"/>
    <w:rsid w:val="3DFF577C"/>
    <w:rsid w:val="3E163771"/>
    <w:rsid w:val="3E3D3515"/>
    <w:rsid w:val="3E3FB5CC"/>
    <w:rsid w:val="3E59DCF5"/>
    <w:rsid w:val="3E5FBC79"/>
    <w:rsid w:val="3E5FD589"/>
    <w:rsid w:val="3E636902"/>
    <w:rsid w:val="3E6AF6E5"/>
    <w:rsid w:val="3E6DE650"/>
    <w:rsid w:val="3E77C94C"/>
    <w:rsid w:val="3E7DF276"/>
    <w:rsid w:val="3E7F8604"/>
    <w:rsid w:val="3EAF5A47"/>
    <w:rsid w:val="3EBD8F6A"/>
    <w:rsid w:val="3EDE065B"/>
    <w:rsid w:val="3EDF2BCB"/>
    <w:rsid w:val="3EDF7337"/>
    <w:rsid w:val="3EDF92A4"/>
    <w:rsid w:val="3EDFC910"/>
    <w:rsid w:val="3EEB474D"/>
    <w:rsid w:val="3EEE0634"/>
    <w:rsid w:val="3EF3821E"/>
    <w:rsid w:val="3EF4F2CA"/>
    <w:rsid w:val="3EF9E70B"/>
    <w:rsid w:val="3EFEC63A"/>
    <w:rsid w:val="3EFF5A77"/>
    <w:rsid w:val="3EFF85BB"/>
    <w:rsid w:val="3EFFFDD4"/>
    <w:rsid w:val="3F19A7EF"/>
    <w:rsid w:val="3F36A442"/>
    <w:rsid w:val="3F3AA5F5"/>
    <w:rsid w:val="3F3DD558"/>
    <w:rsid w:val="3F3FBB88"/>
    <w:rsid w:val="3F437676"/>
    <w:rsid w:val="3F465622"/>
    <w:rsid w:val="3F47BFA6"/>
    <w:rsid w:val="3F4B0B6B"/>
    <w:rsid w:val="3F52C99B"/>
    <w:rsid w:val="3F565BF0"/>
    <w:rsid w:val="3F56EB74"/>
    <w:rsid w:val="3F5F3ED6"/>
    <w:rsid w:val="3F5F7154"/>
    <w:rsid w:val="3F5FCFE4"/>
    <w:rsid w:val="3F634075"/>
    <w:rsid w:val="3F6B701A"/>
    <w:rsid w:val="3F6B7C49"/>
    <w:rsid w:val="3F755ED2"/>
    <w:rsid w:val="3F7ACA31"/>
    <w:rsid w:val="3F7B439B"/>
    <w:rsid w:val="3F7DD9AC"/>
    <w:rsid w:val="3F7F5C57"/>
    <w:rsid w:val="3F7F695D"/>
    <w:rsid w:val="3F7FB7B5"/>
    <w:rsid w:val="3F8A7AC6"/>
    <w:rsid w:val="3F960239"/>
    <w:rsid w:val="3F9EA35E"/>
    <w:rsid w:val="3F9F732D"/>
    <w:rsid w:val="3FA6AD1F"/>
    <w:rsid w:val="3FADDD2B"/>
    <w:rsid w:val="3FAE8283"/>
    <w:rsid w:val="3FAF1A7E"/>
    <w:rsid w:val="3FBB2177"/>
    <w:rsid w:val="3FBBAB08"/>
    <w:rsid w:val="3FBFCC51"/>
    <w:rsid w:val="3FBFE93E"/>
    <w:rsid w:val="3FCF3CC2"/>
    <w:rsid w:val="3FCF5362"/>
    <w:rsid w:val="3FCF9DB5"/>
    <w:rsid w:val="3FD3084B"/>
    <w:rsid w:val="3FD72BA8"/>
    <w:rsid w:val="3FD7CBFA"/>
    <w:rsid w:val="3FD8DE88"/>
    <w:rsid w:val="3FDB2EE1"/>
    <w:rsid w:val="3FDD80A4"/>
    <w:rsid w:val="3FDF7E20"/>
    <w:rsid w:val="3FDF7EBB"/>
    <w:rsid w:val="3FDFA2E4"/>
    <w:rsid w:val="3FDFC131"/>
    <w:rsid w:val="3FDFE322"/>
    <w:rsid w:val="3FDFF0ED"/>
    <w:rsid w:val="3FE3CCA5"/>
    <w:rsid w:val="3FE4B542"/>
    <w:rsid w:val="3FE68B50"/>
    <w:rsid w:val="3FEA911A"/>
    <w:rsid w:val="3FED18E4"/>
    <w:rsid w:val="3FEDB5EB"/>
    <w:rsid w:val="3FEE1440"/>
    <w:rsid w:val="3FEF052C"/>
    <w:rsid w:val="3FEF2199"/>
    <w:rsid w:val="3FEF6A77"/>
    <w:rsid w:val="3FEFEA5F"/>
    <w:rsid w:val="3FF33319"/>
    <w:rsid w:val="3FF3A9F9"/>
    <w:rsid w:val="3FF51C7D"/>
    <w:rsid w:val="3FF5CDD2"/>
    <w:rsid w:val="3FF693A5"/>
    <w:rsid w:val="3FF7B7EB"/>
    <w:rsid w:val="3FFAAA88"/>
    <w:rsid w:val="3FFB4F84"/>
    <w:rsid w:val="3FFB60CC"/>
    <w:rsid w:val="3FFB7EF4"/>
    <w:rsid w:val="3FFBE074"/>
    <w:rsid w:val="3FFCF8A1"/>
    <w:rsid w:val="3FFD4777"/>
    <w:rsid w:val="3FFD4A15"/>
    <w:rsid w:val="3FFDEB19"/>
    <w:rsid w:val="3FFDFD1F"/>
    <w:rsid w:val="3FFDFEB0"/>
    <w:rsid w:val="3FFE5B42"/>
    <w:rsid w:val="3FFF1114"/>
    <w:rsid w:val="3FFF2D0C"/>
    <w:rsid w:val="3FFF834A"/>
    <w:rsid w:val="3FFF8FCE"/>
    <w:rsid w:val="3FFF9950"/>
    <w:rsid w:val="3FFFB3B1"/>
    <w:rsid w:val="3FFFBF0E"/>
    <w:rsid w:val="3FFFE111"/>
    <w:rsid w:val="41362456"/>
    <w:rsid w:val="413E90C8"/>
    <w:rsid w:val="414B3EB2"/>
    <w:rsid w:val="41E1658D"/>
    <w:rsid w:val="425B5D4E"/>
    <w:rsid w:val="42AFA2E2"/>
    <w:rsid w:val="42E27D6B"/>
    <w:rsid w:val="433AC4F0"/>
    <w:rsid w:val="439AE489"/>
    <w:rsid w:val="43DB014A"/>
    <w:rsid w:val="43F58A98"/>
    <w:rsid w:val="43FF15D5"/>
    <w:rsid w:val="44BBD662"/>
    <w:rsid w:val="454D1469"/>
    <w:rsid w:val="457C1ACB"/>
    <w:rsid w:val="45B646C4"/>
    <w:rsid w:val="45B7787C"/>
    <w:rsid w:val="45BEE0BF"/>
    <w:rsid w:val="45D363A4"/>
    <w:rsid w:val="45FD42D4"/>
    <w:rsid w:val="45FE554B"/>
    <w:rsid w:val="46156162"/>
    <w:rsid w:val="46326F64"/>
    <w:rsid w:val="467B1487"/>
    <w:rsid w:val="46976B59"/>
    <w:rsid w:val="46B87087"/>
    <w:rsid w:val="46FBD38B"/>
    <w:rsid w:val="46FF3859"/>
    <w:rsid w:val="47370CD6"/>
    <w:rsid w:val="474F9DDB"/>
    <w:rsid w:val="4761346E"/>
    <w:rsid w:val="476D6E8F"/>
    <w:rsid w:val="47EC7157"/>
    <w:rsid w:val="47F7DB42"/>
    <w:rsid w:val="47FAFCFD"/>
    <w:rsid w:val="47FEFF36"/>
    <w:rsid w:val="47FF5348"/>
    <w:rsid w:val="4827D161"/>
    <w:rsid w:val="486DDECA"/>
    <w:rsid w:val="48794596"/>
    <w:rsid w:val="487E0F64"/>
    <w:rsid w:val="48AF621F"/>
    <w:rsid w:val="493EACE7"/>
    <w:rsid w:val="495161E4"/>
    <w:rsid w:val="4979CB2F"/>
    <w:rsid w:val="49E8096E"/>
    <w:rsid w:val="49EEE948"/>
    <w:rsid w:val="49FD3A62"/>
    <w:rsid w:val="4ABB37FC"/>
    <w:rsid w:val="4ACDA865"/>
    <w:rsid w:val="4AE901F5"/>
    <w:rsid w:val="4AFBB4D8"/>
    <w:rsid w:val="4B7B3A27"/>
    <w:rsid w:val="4B7EF168"/>
    <w:rsid w:val="4BBEE92D"/>
    <w:rsid w:val="4BEF139A"/>
    <w:rsid w:val="4BF79225"/>
    <w:rsid w:val="4BFDB055"/>
    <w:rsid w:val="4BFFEA14"/>
    <w:rsid w:val="4BFFECB3"/>
    <w:rsid w:val="4CE9EC99"/>
    <w:rsid w:val="4CF65480"/>
    <w:rsid w:val="4CF7782F"/>
    <w:rsid w:val="4D4F5A95"/>
    <w:rsid w:val="4DF316BC"/>
    <w:rsid w:val="4DFBEFDE"/>
    <w:rsid w:val="4DFDEA68"/>
    <w:rsid w:val="4DFE036B"/>
    <w:rsid w:val="4E1F956E"/>
    <w:rsid w:val="4E7FE14D"/>
    <w:rsid w:val="4E87AE44"/>
    <w:rsid w:val="4E9BC76A"/>
    <w:rsid w:val="4EB540F0"/>
    <w:rsid w:val="4ECF4A3A"/>
    <w:rsid w:val="4ECFF958"/>
    <w:rsid w:val="4EE14DDF"/>
    <w:rsid w:val="4EF24B4E"/>
    <w:rsid w:val="4EF5AE71"/>
    <w:rsid w:val="4EF97BF7"/>
    <w:rsid w:val="4EFD1A66"/>
    <w:rsid w:val="4EFF4FC4"/>
    <w:rsid w:val="4EFFDED2"/>
    <w:rsid w:val="4F1FF2DC"/>
    <w:rsid w:val="4F2D3D48"/>
    <w:rsid w:val="4F37BEFE"/>
    <w:rsid w:val="4F3FCC1C"/>
    <w:rsid w:val="4F57964C"/>
    <w:rsid w:val="4F5D929E"/>
    <w:rsid w:val="4F5FA5E6"/>
    <w:rsid w:val="4F7B4D63"/>
    <w:rsid w:val="4F7C7A66"/>
    <w:rsid w:val="4F7CAC4E"/>
    <w:rsid w:val="4F7F841B"/>
    <w:rsid w:val="4F824AB9"/>
    <w:rsid w:val="4F9FC60C"/>
    <w:rsid w:val="4F9FF3AD"/>
    <w:rsid w:val="4FADE228"/>
    <w:rsid w:val="4FB2C3CC"/>
    <w:rsid w:val="4FB35371"/>
    <w:rsid w:val="4FB7882D"/>
    <w:rsid w:val="4FB85119"/>
    <w:rsid w:val="4FBBE561"/>
    <w:rsid w:val="4FBCA298"/>
    <w:rsid w:val="4FBD13F7"/>
    <w:rsid w:val="4FBD518A"/>
    <w:rsid w:val="4FC339DA"/>
    <w:rsid w:val="4FCB2904"/>
    <w:rsid w:val="4FCD7F78"/>
    <w:rsid w:val="4FD3F5DC"/>
    <w:rsid w:val="4FDCDDFC"/>
    <w:rsid w:val="4FDD27E7"/>
    <w:rsid w:val="4FDEC390"/>
    <w:rsid w:val="4FDF43C7"/>
    <w:rsid w:val="4FDFAB6A"/>
    <w:rsid w:val="4FEAC5D2"/>
    <w:rsid w:val="4FEB4CAF"/>
    <w:rsid w:val="4FEE621F"/>
    <w:rsid w:val="4FF6F528"/>
    <w:rsid w:val="4FF72DAE"/>
    <w:rsid w:val="4FF7D669"/>
    <w:rsid w:val="4FF9162A"/>
    <w:rsid w:val="4FFAA5E1"/>
    <w:rsid w:val="4FFCC80D"/>
    <w:rsid w:val="4FFE0740"/>
    <w:rsid w:val="4FFF1C6D"/>
    <w:rsid w:val="4FFF53F6"/>
    <w:rsid w:val="50572D06"/>
    <w:rsid w:val="50F5006D"/>
    <w:rsid w:val="510F4049"/>
    <w:rsid w:val="51200931"/>
    <w:rsid w:val="5139377B"/>
    <w:rsid w:val="51B5E2EB"/>
    <w:rsid w:val="51B5E555"/>
    <w:rsid w:val="51BBC926"/>
    <w:rsid w:val="51BD627C"/>
    <w:rsid w:val="51FE2AAD"/>
    <w:rsid w:val="523B530B"/>
    <w:rsid w:val="52B79707"/>
    <w:rsid w:val="52BFEB98"/>
    <w:rsid w:val="52E53CDC"/>
    <w:rsid w:val="52FF303F"/>
    <w:rsid w:val="52FF89FE"/>
    <w:rsid w:val="52FF9F95"/>
    <w:rsid w:val="536D0E97"/>
    <w:rsid w:val="537B7F2A"/>
    <w:rsid w:val="537CED3F"/>
    <w:rsid w:val="539A366D"/>
    <w:rsid w:val="53ABDFE3"/>
    <w:rsid w:val="53D855EF"/>
    <w:rsid w:val="53DEBD97"/>
    <w:rsid w:val="53DF0540"/>
    <w:rsid w:val="53E4320A"/>
    <w:rsid w:val="53EBE235"/>
    <w:rsid w:val="53EEEF7F"/>
    <w:rsid w:val="53FCD409"/>
    <w:rsid w:val="53FECBA6"/>
    <w:rsid w:val="53FF1AD4"/>
    <w:rsid w:val="53FF8A76"/>
    <w:rsid w:val="53FFDB0C"/>
    <w:rsid w:val="54D952F5"/>
    <w:rsid w:val="54DBE8D2"/>
    <w:rsid w:val="54E13239"/>
    <w:rsid w:val="550409BE"/>
    <w:rsid w:val="553415F5"/>
    <w:rsid w:val="553F8229"/>
    <w:rsid w:val="556ECF26"/>
    <w:rsid w:val="557CE7BD"/>
    <w:rsid w:val="557F2D7F"/>
    <w:rsid w:val="559F15CB"/>
    <w:rsid w:val="559F4ED0"/>
    <w:rsid w:val="55BF6A67"/>
    <w:rsid w:val="55D01E9E"/>
    <w:rsid w:val="55D322BF"/>
    <w:rsid w:val="55EDB6AF"/>
    <w:rsid w:val="55F911C0"/>
    <w:rsid w:val="55FF9ADD"/>
    <w:rsid w:val="55FFB66E"/>
    <w:rsid w:val="56552F27"/>
    <w:rsid w:val="56748FD2"/>
    <w:rsid w:val="569BE9CA"/>
    <w:rsid w:val="56B74002"/>
    <w:rsid w:val="56B758B9"/>
    <w:rsid w:val="56BFF933"/>
    <w:rsid w:val="56D3CFAF"/>
    <w:rsid w:val="56DED6BE"/>
    <w:rsid w:val="56F3A78C"/>
    <w:rsid w:val="56F3F4A4"/>
    <w:rsid w:val="56F54A1D"/>
    <w:rsid w:val="56F748B1"/>
    <w:rsid w:val="56F7946F"/>
    <w:rsid w:val="56F7BE53"/>
    <w:rsid w:val="56FE26A1"/>
    <w:rsid w:val="5743730F"/>
    <w:rsid w:val="576F0E5D"/>
    <w:rsid w:val="5777577B"/>
    <w:rsid w:val="577F3603"/>
    <w:rsid w:val="579B177D"/>
    <w:rsid w:val="579B56EB"/>
    <w:rsid w:val="57AE7076"/>
    <w:rsid w:val="57AF2EF2"/>
    <w:rsid w:val="57B708BA"/>
    <w:rsid w:val="57BF2ACE"/>
    <w:rsid w:val="57CE9C63"/>
    <w:rsid w:val="57CF8106"/>
    <w:rsid w:val="57D8AD4C"/>
    <w:rsid w:val="57DA617B"/>
    <w:rsid w:val="57DB8BFD"/>
    <w:rsid w:val="57EF670C"/>
    <w:rsid w:val="57F3B026"/>
    <w:rsid w:val="57F55D48"/>
    <w:rsid w:val="57F5FAB9"/>
    <w:rsid w:val="57F76BF0"/>
    <w:rsid w:val="57F9B225"/>
    <w:rsid w:val="57FED2D2"/>
    <w:rsid w:val="57FF3364"/>
    <w:rsid w:val="57FF3519"/>
    <w:rsid w:val="57FF6DE8"/>
    <w:rsid w:val="58312509"/>
    <w:rsid w:val="58407472"/>
    <w:rsid w:val="58651EFB"/>
    <w:rsid w:val="58827E2E"/>
    <w:rsid w:val="58C628D5"/>
    <w:rsid w:val="58E97877"/>
    <w:rsid w:val="58FDDC53"/>
    <w:rsid w:val="59170A0C"/>
    <w:rsid w:val="59172503"/>
    <w:rsid w:val="5932292C"/>
    <w:rsid w:val="5934EEB0"/>
    <w:rsid w:val="59593BD0"/>
    <w:rsid w:val="597F3C5D"/>
    <w:rsid w:val="59974DB1"/>
    <w:rsid w:val="59BF9F8B"/>
    <w:rsid w:val="59BFC9B4"/>
    <w:rsid w:val="59CBAC5E"/>
    <w:rsid w:val="59CD6A8D"/>
    <w:rsid w:val="59D78401"/>
    <w:rsid w:val="59DE9EA7"/>
    <w:rsid w:val="59EB5A85"/>
    <w:rsid w:val="59F5A220"/>
    <w:rsid w:val="59FF0129"/>
    <w:rsid w:val="59FF6D73"/>
    <w:rsid w:val="59FF760D"/>
    <w:rsid w:val="5A6FEEDF"/>
    <w:rsid w:val="5A7D56BA"/>
    <w:rsid w:val="5A7F5D85"/>
    <w:rsid w:val="5A8D4A5D"/>
    <w:rsid w:val="5AAF6ADB"/>
    <w:rsid w:val="5ABF9E55"/>
    <w:rsid w:val="5ADFAF58"/>
    <w:rsid w:val="5AE79982"/>
    <w:rsid w:val="5AEF02D8"/>
    <w:rsid w:val="5AFE6C7C"/>
    <w:rsid w:val="5B1F30EA"/>
    <w:rsid w:val="5B3F5F0E"/>
    <w:rsid w:val="5B53064A"/>
    <w:rsid w:val="5B7765C4"/>
    <w:rsid w:val="5B7FF79F"/>
    <w:rsid w:val="5B9BDC74"/>
    <w:rsid w:val="5B9D9A04"/>
    <w:rsid w:val="5BA3AF8F"/>
    <w:rsid w:val="5BBD4FF6"/>
    <w:rsid w:val="5BBF1E6F"/>
    <w:rsid w:val="5BBFB271"/>
    <w:rsid w:val="5BBFF11E"/>
    <w:rsid w:val="5BC381E7"/>
    <w:rsid w:val="5BDB0403"/>
    <w:rsid w:val="5BDBD546"/>
    <w:rsid w:val="5BDD201C"/>
    <w:rsid w:val="5BDFBA66"/>
    <w:rsid w:val="5BDFD13F"/>
    <w:rsid w:val="5BE58BEF"/>
    <w:rsid w:val="5BEE4045"/>
    <w:rsid w:val="5BEF12C8"/>
    <w:rsid w:val="5BEFD89B"/>
    <w:rsid w:val="5BEFEA85"/>
    <w:rsid w:val="5BF34132"/>
    <w:rsid w:val="5BFB7B93"/>
    <w:rsid w:val="5BFBB999"/>
    <w:rsid w:val="5BFD0602"/>
    <w:rsid w:val="5BFD574B"/>
    <w:rsid w:val="5BFEF6EA"/>
    <w:rsid w:val="5BFF0DC4"/>
    <w:rsid w:val="5BFFAE27"/>
    <w:rsid w:val="5C1715AD"/>
    <w:rsid w:val="5C1E8788"/>
    <w:rsid w:val="5C3D74A1"/>
    <w:rsid w:val="5C5372C4"/>
    <w:rsid w:val="5C7F2C32"/>
    <w:rsid w:val="5C9FEC18"/>
    <w:rsid w:val="5CBEFF38"/>
    <w:rsid w:val="5CBFDB8F"/>
    <w:rsid w:val="5CD85420"/>
    <w:rsid w:val="5CDE86AE"/>
    <w:rsid w:val="5CDE96E3"/>
    <w:rsid w:val="5CEAC308"/>
    <w:rsid w:val="5CECB20A"/>
    <w:rsid w:val="5CEF29BF"/>
    <w:rsid w:val="5CEF45BB"/>
    <w:rsid w:val="5CFF07BB"/>
    <w:rsid w:val="5CFF8440"/>
    <w:rsid w:val="5CFF9FAB"/>
    <w:rsid w:val="5D259F6A"/>
    <w:rsid w:val="5D2F4364"/>
    <w:rsid w:val="5D3A2B53"/>
    <w:rsid w:val="5D3B0171"/>
    <w:rsid w:val="5D3B9041"/>
    <w:rsid w:val="5D3D747D"/>
    <w:rsid w:val="5D4F0426"/>
    <w:rsid w:val="5D5FECC0"/>
    <w:rsid w:val="5D7AA30C"/>
    <w:rsid w:val="5D7E78A9"/>
    <w:rsid w:val="5D7F0AB7"/>
    <w:rsid w:val="5D7FABA4"/>
    <w:rsid w:val="5D8A7F81"/>
    <w:rsid w:val="5D9BAF43"/>
    <w:rsid w:val="5DBAF995"/>
    <w:rsid w:val="5DBC4071"/>
    <w:rsid w:val="5DBD0A0B"/>
    <w:rsid w:val="5DC76300"/>
    <w:rsid w:val="5DCF0219"/>
    <w:rsid w:val="5DDB4147"/>
    <w:rsid w:val="5DDD48E9"/>
    <w:rsid w:val="5DE5C266"/>
    <w:rsid w:val="5DE5FECB"/>
    <w:rsid w:val="5DEAA47F"/>
    <w:rsid w:val="5DEE1590"/>
    <w:rsid w:val="5DF1439B"/>
    <w:rsid w:val="5DFEBC24"/>
    <w:rsid w:val="5DFF0664"/>
    <w:rsid w:val="5DFF157D"/>
    <w:rsid w:val="5DFF7CB5"/>
    <w:rsid w:val="5DFFCD72"/>
    <w:rsid w:val="5E1E30D0"/>
    <w:rsid w:val="5E28EEAD"/>
    <w:rsid w:val="5E39172A"/>
    <w:rsid w:val="5E3C3433"/>
    <w:rsid w:val="5E3E654D"/>
    <w:rsid w:val="5E572284"/>
    <w:rsid w:val="5E5D388A"/>
    <w:rsid w:val="5E676B70"/>
    <w:rsid w:val="5E6D626C"/>
    <w:rsid w:val="5E6F962A"/>
    <w:rsid w:val="5E7599B6"/>
    <w:rsid w:val="5E7BE5C7"/>
    <w:rsid w:val="5E7E138F"/>
    <w:rsid w:val="5E7F1F2F"/>
    <w:rsid w:val="5E7F2D24"/>
    <w:rsid w:val="5E8EC498"/>
    <w:rsid w:val="5E9F1221"/>
    <w:rsid w:val="5E9F15F6"/>
    <w:rsid w:val="5EA79BEA"/>
    <w:rsid w:val="5EB733E1"/>
    <w:rsid w:val="5EBD8A83"/>
    <w:rsid w:val="5EBF8814"/>
    <w:rsid w:val="5EBF8A0A"/>
    <w:rsid w:val="5EDED49E"/>
    <w:rsid w:val="5EDF5E34"/>
    <w:rsid w:val="5EE3243A"/>
    <w:rsid w:val="5EE724F2"/>
    <w:rsid w:val="5EEBF0E0"/>
    <w:rsid w:val="5EEFBB22"/>
    <w:rsid w:val="5EEFD917"/>
    <w:rsid w:val="5EF7B394"/>
    <w:rsid w:val="5EF7CE58"/>
    <w:rsid w:val="5EF9FADD"/>
    <w:rsid w:val="5EFA6162"/>
    <w:rsid w:val="5EFA78FD"/>
    <w:rsid w:val="5EFED2EC"/>
    <w:rsid w:val="5EFF1A88"/>
    <w:rsid w:val="5EFFE9F8"/>
    <w:rsid w:val="5F0FED19"/>
    <w:rsid w:val="5F275592"/>
    <w:rsid w:val="5F2855F1"/>
    <w:rsid w:val="5F388649"/>
    <w:rsid w:val="5F39E0B8"/>
    <w:rsid w:val="5F5B6F08"/>
    <w:rsid w:val="5F5BE16C"/>
    <w:rsid w:val="5F5E9C83"/>
    <w:rsid w:val="5F5FD098"/>
    <w:rsid w:val="5F5FF007"/>
    <w:rsid w:val="5F6E6E08"/>
    <w:rsid w:val="5F6F133A"/>
    <w:rsid w:val="5F7A12AE"/>
    <w:rsid w:val="5F7C9DE4"/>
    <w:rsid w:val="5F7E3850"/>
    <w:rsid w:val="5F7F071A"/>
    <w:rsid w:val="5F7F81B8"/>
    <w:rsid w:val="5F8AB6DC"/>
    <w:rsid w:val="5F8C1EE8"/>
    <w:rsid w:val="5F96C902"/>
    <w:rsid w:val="5F99595D"/>
    <w:rsid w:val="5F9B0FB6"/>
    <w:rsid w:val="5F9FE892"/>
    <w:rsid w:val="5FA3D96F"/>
    <w:rsid w:val="5FA78A3A"/>
    <w:rsid w:val="5FB1EC30"/>
    <w:rsid w:val="5FB396B4"/>
    <w:rsid w:val="5FB6BA05"/>
    <w:rsid w:val="5FBA793F"/>
    <w:rsid w:val="5FBB69A4"/>
    <w:rsid w:val="5FBE0A6F"/>
    <w:rsid w:val="5FBE429B"/>
    <w:rsid w:val="5FBE9A45"/>
    <w:rsid w:val="5FBED0A6"/>
    <w:rsid w:val="5FBF4FD5"/>
    <w:rsid w:val="5FBF5B57"/>
    <w:rsid w:val="5FBFFA2C"/>
    <w:rsid w:val="5FC46D97"/>
    <w:rsid w:val="5FD39856"/>
    <w:rsid w:val="5FD794EC"/>
    <w:rsid w:val="5FD916DA"/>
    <w:rsid w:val="5FDB6229"/>
    <w:rsid w:val="5FDBFDA8"/>
    <w:rsid w:val="5FDE892B"/>
    <w:rsid w:val="5FDFBE34"/>
    <w:rsid w:val="5FDFD134"/>
    <w:rsid w:val="5FDFD97D"/>
    <w:rsid w:val="5FE11E0D"/>
    <w:rsid w:val="5FE2EA19"/>
    <w:rsid w:val="5FE706AF"/>
    <w:rsid w:val="5FE7777B"/>
    <w:rsid w:val="5FE7AA88"/>
    <w:rsid w:val="5FE7BF80"/>
    <w:rsid w:val="5FE8425A"/>
    <w:rsid w:val="5FEB5E0D"/>
    <w:rsid w:val="5FEBCA2D"/>
    <w:rsid w:val="5FED197E"/>
    <w:rsid w:val="5FED93B1"/>
    <w:rsid w:val="5FEEBA0B"/>
    <w:rsid w:val="5FEF4C21"/>
    <w:rsid w:val="5FEFB556"/>
    <w:rsid w:val="5FEFC5C3"/>
    <w:rsid w:val="5FF22F53"/>
    <w:rsid w:val="5FF25A7C"/>
    <w:rsid w:val="5FF40E5C"/>
    <w:rsid w:val="5FF5537F"/>
    <w:rsid w:val="5FF70076"/>
    <w:rsid w:val="5FF750BC"/>
    <w:rsid w:val="5FF794EA"/>
    <w:rsid w:val="5FF7CA76"/>
    <w:rsid w:val="5FF8D44A"/>
    <w:rsid w:val="5FFA32CD"/>
    <w:rsid w:val="5FFB4438"/>
    <w:rsid w:val="5FFC1211"/>
    <w:rsid w:val="5FFC99DE"/>
    <w:rsid w:val="5FFC9F78"/>
    <w:rsid w:val="5FFD1D3E"/>
    <w:rsid w:val="5FFD6B14"/>
    <w:rsid w:val="5FFD6EB0"/>
    <w:rsid w:val="5FFDE5EF"/>
    <w:rsid w:val="5FFE449A"/>
    <w:rsid w:val="5FFEF97F"/>
    <w:rsid w:val="5FFF40E2"/>
    <w:rsid w:val="5FFF47B2"/>
    <w:rsid w:val="5FFF79CB"/>
    <w:rsid w:val="5FFFA4C5"/>
    <w:rsid w:val="5FFFBF7A"/>
    <w:rsid w:val="5FFFD417"/>
    <w:rsid w:val="600B7CE5"/>
    <w:rsid w:val="60D3CF17"/>
    <w:rsid w:val="61AFFD38"/>
    <w:rsid w:val="61CFB7A3"/>
    <w:rsid w:val="61FB6B99"/>
    <w:rsid w:val="61FFC1DB"/>
    <w:rsid w:val="623FC718"/>
    <w:rsid w:val="627666FF"/>
    <w:rsid w:val="628F754C"/>
    <w:rsid w:val="62B59DD1"/>
    <w:rsid w:val="62B7A6B8"/>
    <w:rsid w:val="62DE006D"/>
    <w:rsid w:val="62F49ADB"/>
    <w:rsid w:val="62FE56AD"/>
    <w:rsid w:val="635D5F27"/>
    <w:rsid w:val="63832472"/>
    <w:rsid w:val="6393508F"/>
    <w:rsid w:val="63B53A3C"/>
    <w:rsid w:val="63BC2892"/>
    <w:rsid w:val="63BF1A28"/>
    <w:rsid w:val="63CA1738"/>
    <w:rsid w:val="63F93A95"/>
    <w:rsid w:val="63FE1747"/>
    <w:rsid w:val="63FF687E"/>
    <w:rsid w:val="63FFA9DD"/>
    <w:rsid w:val="63FFB913"/>
    <w:rsid w:val="646FD555"/>
    <w:rsid w:val="647F0AD0"/>
    <w:rsid w:val="649CB232"/>
    <w:rsid w:val="64B1EB79"/>
    <w:rsid w:val="64FEC52F"/>
    <w:rsid w:val="64FF71CF"/>
    <w:rsid w:val="64FFADF2"/>
    <w:rsid w:val="650B1F01"/>
    <w:rsid w:val="653150ED"/>
    <w:rsid w:val="6576762F"/>
    <w:rsid w:val="657BA4A7"/>
    <w:rsid w:val="657F3D3D"/>
    <w:rsid w:val="658121D5"/>
    <w:rsid w:val="658B5BB7"/>
    <w:rsid w:val="65DFBE34"/>
    <w:rsid w:val="65E7857B"/>
    <w:rsid w:val="65EF1384"/>
    <w:rsid w:val="65EF35BE"/>
    <w:rsid w:val="65F6ECE1"/>
    <w:rsid w:val="65F78175"/>
    <w:rsid w:val="66145279"/>
    <w:rsid w:val="663732E0"/>
    <w:rsid w:val="66471D28"/>
    <w:rsid w:val="665E772A"/>
    <w:rsid w:val="667926FF"/>
    <w:rsid w:val="667CD2A1"/>
    <w:rsid w:val="669424A2"/>
    <w:rsid w:val="66C34BF6"/>
    <w:rsid w:val="66D7934C"/>
    <w:rsid w:val="66DF388E"/>
    <w:rsid w:val="66ED0336"/>
    <w:rsid w:val="66ED7AD1"/>
    <w:rsid w:val="66EEF1D1"/>
    <w:rsid w:val="66EFCD2A"/>
    <w:rsid w:val="66F668BD"/>
    <w:rsid w:val="66FD5DD9"/>
    <w:rsid w:val="66FFBA88"/>
    <w:rsid w:val="673A5C51"/>
    <w:rsid w:val="674DAC5D"/>
    <w:rsid w:val="674F0C26"/>
    <w:rsid w:val="6759CDA8"/>
    <w:rsid w:val="675A04FC"/>
    <w:rsid w:val="6767533A"/>
    <w:rsid w:val="67724E7B"/>
    <w:rsid w:val="677FB82E"/>
    <w:rsid w:val="678E17FC"/>
    <w:rsid w:val="67B6A982"/>
    <w:rsid w:val="67B7055E"/>
    <w:rsid w:val="67BB981C"/>
    <w:rsid w:val="67BFA303"/>
    <w:rsid w:val="67CE10F8"/>
    <w:rsid w:val="67DA2C09"/>
    <w:rsid w:val="67DC84AC"/>
    <w:rsid w:val="67DD8AD6"/>
    <w:rsid w:val="67DFD5C1"/>
    <w:rsid w:val="67E3A1E1"/>
    <w:rsid w:val="67EB551D"/>
    <w:rsid w:val="67ED4C99"/>
    <w:rsid w:val="67EF0758"/>
    <w:rsid w:val="67EF6315"/>
    <w:rsid w:val="67F48E92"/>
    <w:rsid w:val="67F4BF59"/>
    <w:rsid w:val="67F584FA"/>
    <w:rsid w:val="67F5DD0E"/>
    <w:rsid w:val="67F713A5"/>
    <w:rsid w:val="67F74733"/>
    <w:rsid w:val="67F7A2D6"/>
    <w:rsid w:val="67F7E653"/>
    <w:rsid w:val="67FA163C"/>
    <w:rsid w:val="67FBF5E8"/>
    <w:rsid w:val="67FD6A51"/>
    <w:rsid w:val="67FD7699"/>
    <w:rsid w:val="67FE8215"/>
    <w:rsid w:val="67FF02AA"/>
    <w:rsid w:val="67FF15B9"/>
    <w:rsid w:val="67FF2B98"/>
    <w:rsid w:val="67FF4080"/>
    <w:rsid w:val="67FF4F3B"/>
    <w:rsid w:val="67FFB91A"/>
    <w:rsid w:val="67FFC014"/>
    <w:rsid w:val="68060A84"/>
    <w:rsid w:val="685B729C"/>
    <w:rsid w:val="68821CC5"/>
    <w:rsid w:val="68B03FED"/>
    <w:rsid w:val="68BCDCE7"/>
    <w:rsid w:val="68D025EA"/>
    <w:rsid w:val="68F71864"/>
    <w:rsid w:val="68F781DD"/>
    <w:rsid w:val="68F7AABC"/>
    <w:rsid w:val="692D7CF0"/>
    <w:rsid w:val="692E7D33"/>
    <w:rsid w:val="69434E61"/>
    <w:rsid w:val="69633188"/>
    <w:rsid w:val="697C5C45"/>
    <w:rsid w:val="697D0D89"/>
    <w:rsid w:val="69AE3088"/>
    <w:rsid w:val="69BE64AC"/>
    <w:rsid w:val="69EFBE27"/>
    <w:rsid w:val="69F71F55"/>
    <w:rsid w:val="69FBE16D"/>
    <w:rsid w:val="6A1B00BC"/>
    <w:rsid w:val="6A6D6E3A"/>
    <w:rsid w:val="6A7BEECA"/>
    <w:rsid w:val="6AA5F9AA"/>
    <w:rsid w:val="6AB9187F"/>
    <w:rsid w:val="6ABE479C"/>
    <w:rsid w:val="6ABF73FE"/>
    <w:rsid w:val="6ABF747F"/>
    <w:rsid w:val="6AC6CC0C"/>
    <w:rsid w:val="6AD504E1"/>
    <w:rsid w:val="6ADAACAD"/>
    <w:rsid w:val="6AEF5774"/>
    <w:rsid w:val="6AEF8BE8"/>
    <w:rsid w:val="6AF769B4"/>
    <w:rsid w:val="6AFB42E9"/>
    <w:rsid w:val="6B0D2011"/>
    <w:rsid w:val="6B427BDE"/>
    <w:rsid w:val="6B5B0CBF"/>
    <w:rsid w:val="6B6A96AB"/>
    <w:rsid w:val="6B7F51D6"/>
    <w:rsid w:val="6B932947"/>
    <w:rsid w:val="6B976F93"/>
    <w:rsid w:val="6B9D69DC"/>
    <w:rsid w:val="6BA62BAA"/>
    <w:rsid w:val="6BB5D453"/>
    <w:rsid w:val="6BBF5425"/>
    <w:rsid w:val="6BCFA14C"/>
    <w:rsid w:val="6BDE5BF7"/>
    <w:rsid w:val="6BDF529B"/>
    <w:rsid w:val="6BE414E6"/>
    <w:rsid w:val="6BE94545"/>
    <w:rsid w:val="6BEC5596"/>
    <w:rsid w:val="6BED9EAD"/>
    <w:rsid w:val="6BEE393C"/>
    <w:rsid w:val="6BEE395E"/>
    <w:rsid w:val="6BEF3C5B"/>
    <w:rsid w:val="6BF5838E"/>
    <w:rsid w:val="6BF778CB"/>
    <w:rsid w:val="6BF7F53B"/>
    <w:rsid w:val="6BF87D91"/>
    <w:rsid w:val="6BF93EBD"/>
    <w:rsid w:val="6BF957EB"/>
    <w:rsid w:val="6BF9868F"/>
    <w:rsid w:val="6BFDDC98"/>
    <w:rsid w:val="6BFE464E"/>
    <w:rsid w:val="6BFF02EF"/>
    <w:rsid w:val="6BFF3D31"/>
    <w:rsid w:val="6BFF8398"/>
    <w:rsid w:val="6BFF8432"/>
    <w:rsid w:val="6C376162"/>
    <w:rsid w:val="6C38F65C"/>
    <w:rsid w:val="6C997852"/>
    <w:rsid w:val="6CDB7778"/>
    <w:rsid w:val="6CFF0208"/>
    <w:rsid w:val="6D15CBA9"/>
    <w:rsid w:val="6D34343E"/>
    <w:rsid w:val="6D3EA110"/>
    <w:rsid w:val="6D4810F1"/>
    <w:rsid w:val="6D5D34E1"/>
    <w:rsid w:val="6D670700"/>
    <w:rsid w:val="6D7378CA"/>
    <w:rsid w:val="6D7BFFF4"/>
    <w:rsid w:val="6D9C1B1D"/>
    <w:rsid w:val="6D9F879D"/>
    <w:rsid w:val="6DA6A2E3"/>
    <w:rsid w:val="6DA6EC92"/>
    <w:rsid w:val="6DA7A027"/>
    <w:rsid w:val="6DA9B25E"/>
    <w:rsid w:val="6DAE0376"/>
    <w:rsid w:val="6DAF6EE9"/>
    <w:rsid w:val="6DBFF9FF"/>
    <w:rsid w:val="6DDC5115"/>
    <w:rsid w:val="6DDF2C73"/>
    <w:rsid w:val="6DE58D8B"/>
    <w:rsid w:val="6DEF34D0"/>
    <w:rsid w:val="6DF76C2C"/>
    <w:rsid w:val="6DF9B814"/>
    <w:rsid w:val="6DFD07EC"/>
    <w:rsid w:val="6DFD6115"/>
    <w:rsid w:val="6DFDC8A7"/>
    <w:rsid w:val="6DFDFC49"/>
    <w:rsid w:val="6DFE1A89"/>
    <w:rsid w:val="6DFF3072"/>
    <w:rsid w:val="6DFF5BF3"/>
    <w:rsid w:val="6DFFEFFA"/>
    <w:rsid w:val="6DFFFF97"/>
    <w:rsid w:val="6E294481"/>
    <w:rsid w:val="6E3D4401"/>
    <w:rsid w:val="6E3F97F8"/>
    <w:rsid w:val="6E6EB4CC"/>
    <w:rsid w:val="6E7D702C"/>
    <w:rsid w:val="6E7D7E15"/>
    <w:rsid w:val="6E7F3ABA"/>
    <w:rsid w:val="6E7F49C5"/>
    <w:rsid w:val="6E7F807E"/>
    <w:rsid w:val="6E7FD626"/>
    <w:rsid w:val="6E8FB0E2"/>
    <w:rsid w:val="6E978405"/>
    <w:rsid w:val="6E9B1AE5"/>
    <w:rsid w:val="6E9F82E3"/>
    <w:rsid w:val="6EA77C81"/>
    <w:rsid w:val="6EBF4F16"/>
    <w:rsid w:val="6EC71547"/>
    <w:rsid w:val="6ECEC822"/>
    <w:rsid w:val="6ECF864D"/>
    <w:rsid w:val="6ECFAA44"/>
    <w:rsid w:val="6ED3DF6F"/>
    <w:rsid w:val="6ED60D83"/>
    <w:rsid w:val="6ED9D968"/>
    <w:rsid w:val="6EDB6DBF"/>
    <w:rsid w:val="6EDE285A"/>
    <w:rsid w:val="6EDF2F8F"/>
    <w:rsid w:val="6EDFA9A7"/>
    <w:rsid w:val="6EE74E1F"/>
    <w:rsid w:val="6EEB1680"/>
    <w:rsid w:val="6EED21D1"/>
    <w:rsid w:val="6EEE1068"/>
    <w:rsid w:val="6EEE3CC8"/>
    <w:rsid w:val="6EEFD787"/>
    <w:rsid w:val="6EF6308E"/>
    <w:rsid w:val="6EF76F33"/>
    <w:rsid w:val="6EFC1EA5"/>
    <w:rsid w:val="6EFCEBED"/>
    <w:rsid w:val="6EFDD8A9"/>
    <w:rsid w:val="6EFE60D7"/>
    <w:rsid w:val="6EFE6EBD"/>
    <w:rsid w:val="6EFFBD9D"/>
    <w:rsid w:val="6F0137F4"/>
    <w:rsid w:val="6F1E6764"/>
    <w:rsid w:val="6F34BD2C"/>
    <w:rsid w:val="6F3B1290"/>
    <w:rsid w:val="6F3F32F2"/>
    <w:rsid w:val="6F4D83EF"/>
    <w:rsid w:val="6F572B9B"/>
    <w:rsid w:val="6F5B1FEB"/>
    <w:rsid w:val="6F5F718B"/>
    <w:rsid w:val="6F6771B6"/>
    <w:rsid w:val="6F67AFFF"/>
    <w:rsid w:val="6F6F12B7"/>
    <w:rsid w:val="6F71B379"/>
    <w:rsid w:val="6F75076E"/>
    <w:rsid w:val="6F79AD95"/>
    <w:rsid w:val="6F7B6E7E"/>
    <w:rsid w:val="6F7B873A"/>
    <w:rsid w:val="6F7E7E7B"/>
    <w:rsid w:val="6F7F185B"/>
    <w:rsid w:val="6F7F2507"/>
    <w:rsid w:val="6F7F3DE6"/>
    <w:rsid w:val="6F7F7B53"/>
    <w:rsid w:val="6F7FC5D2"/>
    <w:rsid w:val="6F7FE394"/>
    <w:rsid w:val="6F868746"/>
    <w:rsid w:val="6F8F1EAE"/>
    <w:rsid w:val="6F9BC4F3"/>
    <w:rsid w:val="6F9C33FD"/>
    <w:rsid w:val="6F9E8520"/>
    <w:rsid w:val="6F9EA9A9"/>
    <w:rsid w:val="6FA78199"/>
    <w:rsid w:val="6FAB40B5"/>
    <w:rsid w:val="6FABE59F"/>
    <w:rsid w:val="6FAFA369"/>
    <w:rsid w:val="6FB550C8"/>
    <w:rsid w:val="6FB5FA4F"/>
    <w:rsid w:val="6FB7AEA3"/>
    <w:rsid w:val="6FB94424"/>
    <w:rsid w:val="6FBBB48E"/>
    <w:rsid w:val="6FBBE8D6"/>
    <w:rsid w:val="6FBF2EA6"/>
    <w:rsid w:val="6FC6C7A7"/>
    <w:rsid w:val="6FC7C25B"/>
    <w:rsid w:val="6FCBD34C"/>
    <w:rsid w:val="6FCED326"/>
    <w:rsid w:val="6FD59676"/>
    <w:rsid w:val="6FD752D2"/>
    <w:rsid w:val="6FD96684"/>
    <w:rsid w:val="6FD9D4BC"/>
    <w:rsid w:val="6FDC0453"/>
    <w:rsid w:val="6FDD146F"/>
    <w:rsid w:val="6FDD2061"/>
    <w:rsid w:val="6FDF530A"/>
    <w:rsid w:val="6FDFBAB4"/>
    <w:rsid w:val="6FDFDBFC"/>
    <w:rsid w:val="6FDFF96B"/>
    <w:rsid w:val="6FE30CE1"/>
    <w:rsid w:val="6FE36308"/>
    <w:rsid w:val="6FE76869"/>
    <w:rsid w:val="6FED3959"/>
    <w:rsid w:val="6FEDEE2A"/>
    <w:rsid w:val="6FEDF44C"/>
    <w:rsid w:val="6FEECA84"/>
    <w:rsid w:val="6FEF1A76"/>
    <w:rsid w:val="6FEF5118"/>
    <w:rsid w:val="6FEF7872"/>
    <w:rsid w:val="6FEF8496"/>
    <w:rsid w:val="6FEFA043"/>
    <w:rsid w:val="6FEFF4F5"/>
    <w:rsid w:val="6FF1C291"/>
    <w:rsid w:val="6FF3218C"/>
    <w:rsid w:val="6FF3300E"/>
    <w:rsid w:val="6FF398DD"/>
    <w:rsid w:val="6FF58525"/>
    <w:rsid w:val="6FF65C36"/>
    <w:rsid w:val="6FF77B3D"/>
    <w:rsid w:val="6FF7B5FD"/>
    <w:rsid w:val="6FF7FBA4"/>
    <w:rsid w:val="6FF90679"/>
    <w:rsid w:val="6FF9E61A"/>
    <w:rsid w:val="6FFA5786"/>
    <w:rsid w:val="6FFAEF1B"/>
    <w:rsid w:val="6FFB3309"/>
    <w:rsid w:val="6FFB4FBF"/>
    <w:rsid w:val="6FFBC2CE"/>
    <w:rsid w:val="6FFBCE1C"/>
    <w:rsid w:val="6FFBD4C7"/>
    <w:rsid w:val="6FFBEF4D"/>
    <w:rsid w:val="6FFC562B"/>
    <w:rsid w:val="6FFE75D6"/>
    <w:rsid w:val="6FFEC983"/>
    <w:rsid w:val="6FFF37AA"/>
    <w:rsid w:val="6FFF37D8"/>
    <w:rsid w:val="6FFF72A2"/>
    <w:rsid w:val="6FFFFC69"/>
    <w:rsid w:val="70BB61C7"/>
    <w:rsid w:val="70BFC6A2"/>
    <w:rsid w:val="70DDC104"/>
    <w:rsid w:val="70FF9CD7"/>
    <w:rsid w:val="713C8BE5"/>
    <w:rsid w:val="716D7F61"/>
    <w:rsid w:val="71AFDDD0"/>
    <w:rsid w:val="71B710F3"/>
    <w:rsid w:val="71BF1540"/>
    <w:rsid w:val="71C34883"/>
    <w:rsid w:val="71D6B9F7"/>
    <w:rsid w:val="71DB5059"/>
    <w:rsid w:val="71DF134F"/>
    <w:rsid w:val="71EF0E98"/>
    <w:rsid w:val="71FF5342"/>
    <w:rsid w:val="71FFA7F1"/>
    <w:rsid w:val="72384163"/>
    <w:rsid w:val="72486C09"/>
    <w:rsid w:val="726F6D91"/>
    <w:rsid w:val="72785963"/>
    <w:rsid w:val="727D281C"/>
    <w:rsid w:val="727F0E53"/>
    <w:rsid w:val="72ADFEAE"/>
    <w:rsid w:val="72BA8E28"/>
    <w:rsid w:val="72BB9AD9"/>
    <w:rsid w:val="72BC2B0F"/>
    <w:rsid w:val="72BD8462"/>
    <w:rsid w:val="72BECE2A"/>
    <w:rsid w:val="72C48485"/>
    <w:rsid w:val="72D7426A"/>
    <w:rsid w:val="72DB5199"/>
    <w:rsid w:val="72DE391C"/>
    <w:rsid w:val="72EF3189"/>
    <w:rsid w:val="72F05E9F"/>
    <w:rsid w:val="732FA267"/>
    <w:rsid w:val="7339629D"/>
    <w:rsid w:val="734F5E3F"/>
    <w:rsid w:val="7357505F"/>
    <w:rsid w:val="735BF0ED"/>
    <w:rsid w:val="73765EC0"/>
    <w:rsid w:val="7377E716"/>
    <w:rsid w:val="7379BF17"/>
    <w:rsid w:val="737EBE3D"/>
    <w:rsid w:val="737F5D14"/>
    <w:rsid w:val="7395371F"/>
    <w:rsid w:val="73AF5F30"/>
    <w:rsid w:val="73BB6B47"/>
    <w:rsid w:val="73CF3955"/>
    <w:rsid w:val="73D7054B"/>
    <w:rsid w:val="73DADBB0"/>
    <w:rsid w:val="73DB001A"/>
    <w:rsid w:val="73DB9FFD"/>
    <w:rsid w:val="73DBB862"/>
    <w:rsid w:val="73E7CF7B"/>
    <w:rsid w:val="73E9D8A3"/>
    <w:rsid w:val="73EB0FF1"/>
    <w:rsid w:val="73EBCCD3"/>
    <w:rsid w:val="73EBE240"/>
    <w:rsid w:val="73ED6E7A"/>
    <w:rsid w:val="73FD855C"/>
    <w:rsid w:val="73FDE7C4"/>
    <w:rsid w:val="73FEF4DF"/>
    <w:rsid w:val="73FF2F61"/>
    <w:rsid w:val="73FFDDE3"/>
    <w:rsid w:val="747FE066"/>
    <w:rsid w:val="74A78916"/>
    <w:rsid w:val="74B406AE"/>
    <w:rsid w:val="74D7203B"/>
    <w:rsid w:val="74DA0D6F"/>
    <w:rsid w:val="74DD8EC3"/>
    <w:rsid w:val="74EBAA07"/>
    <w:rsid w:val="74EBEF5F"/>
    <w:rsid w:val="74EF3A55"/>
    <w:rsid w:val="74FB05E4"/>
    <w:rsid w:val="74FF1C9A"/>
    <w:rsid w:val="75347D60"/>
    <w:rsid w:val="753F61D5"/>
    <w:rsid w:val="75575F1C"/>
    <w:rsid w:val="7577BDA8"/>
    <w:rsid w:val="757F3855"/>
    <w:rsid w:val="75891FC6"/>
    <w:rsid w:val="759C4852"/>
    <w:rsid w:val="75B45151"/>
    <w:rsid w:val="75BBA549"/>
    <w:rsid w:val="75CF3DA6"/>
    <w:rsid w:val="75D71095"/>
    <w:rsid w:val="75D78442"/>
    <w:rsid w:val="75DEBBCD"/>
    <w:rsid w:val="75ED4E3D"/>
    <w:rsid w:val="75F75282"/>
    <w:rsid w:val="75F7EC6D"/>
    <w:rsid w:val="75FAB870"/>
    <w:rsid w:val="75FCE1A5"/>
    <w:rsid w:val="75FD0326"/>
    <w:rsid w:val="75FF07AD"/>
    <w:rsid w:val="75FF15F4"/>
    <w:rsid w:val="75FF38EC"/>
    <w:rsid w:val="76026FD9"/>
    <w:rsid w:val="76398371"/>
    <w:rsid w:val="765F5E9D"/>
    <w:rsid w:val="76678BD6"/>
    <w:rsid w:val="76754373"/>
    <w:rsid w:val="767D3132"/>
    <w:rsid w:val="767F158C"/>
    <w:rsid w:val="76934AC7"/>
    <w:rsid w:val="76AF482B"/>
    <w:rsid w:val="76B48A8E"/>
    <w:rsid w:val="76B7696F"/>
    <w:rsid w:val="76B90975"/>
    <w:rsid w:val="76BA4D4C"/>
    <w:rsid w:val="76BD5FA6"/>
    <w:rsid w:val="76BDA1D9"/>
    <w:rsid w:val="76BF2702"/>
    <w:rsid w:val="76C3357D"/>
    <w:rsid w:val="76CF1C42"/>
    <w:rsid w:val="76CF783E"/>
    <w:rsid w:val="76DBCB1D"/>
    <w:rsid w:val="76DDF45B"/>
    <w:rsid w:val="76DF111A"/>
    <w:rsid w:val="76E53228"/>
    <w:rsid w:val="76EB45B5"/>
    <w:rsid w:val="76EBFDE0"/>
    <w:rsid w:val="76EEE0BA"/>
    <w:rsid w:val="76EF077D"/>
    <w:rsid w:val="76F638F6"/>
    <w:rsid w:val="76F7E9DD"/>
    <w:rsid w:val="76F88CCE"/>
    <w:rsid w:val="76FB79FB"/>
    <w:rsid w:val="76FD0774"/>
    <w:rsid w:val="76FD501A"/>
    <w:rsid w:val="76FD5668"/>
    <w:rsid w:val="76FDB207"/>
    <w:rsid w:val="76FFDE3F"/>
    <w:rsid w:val="77036712"/>
    <w:rsid w:val="770D3AAC"/>
    <w:rsid w:val="770E76D2"/>
    <w:rsid w:val="7713E817"/>
    <w:rsid w:val="772763B2"/>
    <w:rsid w:val="77366857"/>
    <w:rsid w:val="773A77A9"/>
    <w:rsid w:val="773DCB52"/>
    <w:rsid w:val="773F1D23"/>
    <w:rsid w:val="77440BE7"/>
    <w:rsid w:val="774D8E36"/>
    <w:rsid w:val="774F6FA9"/>
    <w:rsid w:val="775B251C"/>
    <w:rsid w:val="775D5212"/>
    <w:rsid w:val="775E186C"/>
    <w:rsid w:val="775F4F31"/>
    <w:rsid w:val="775FA5F5"/>
    <w:rsid w:val="776C1DBA"/>
    <w:rsid w:val="776EAA16"/>
    <w:rsid w:val="77721590"/>
    <w:rsid w:val="77733564"/>
    <w:rsid w:val="777660D3"/>
    <w:rsid w:val="7776D722"/>
    <w:rsid w:val="777B328D"/>
    <w:rsid w:val="777B9251"/>
    <w:rsid w:val="777D1FDC"/>
    <w:rsid w:val="777D838F"/>
    <w:rsid w:val="777F046D"/>
    <w:rsid w:val="777F0BC5"/>
    <w:rsid w:val="777F88B0"/>
    <w:rsid w:val="777FB36A"/>
    <w:rsid w:val="77925931"/>
    <w:rsid w:val="77970613"/>
    <w:rsid w:val="77975AA7"/>
    <w:rsid w:val="779F627B"/>
    <w:rsid w:val="77A261B6"/>
    <w:rsid w:val="77A7011F"/>
    <w:rsid w:val="77AD4087"/>
    <w:rsid w:val="77B6BF30"/>
    <w:rsid w:val="77B7F498"/>
    <w:rsid w:val="77BB8F64"/>
    <w:rsid w:val="77BEC57A"/>
    <w:rsid w:val="77BEE8B8"/>
    <w:rsid w:val="77BF09A2"/>
    <w:rsid w:val="77BFC61D"/>
    <w:rsid w:val="77CFA295"/>
    <w:rsid w:val="77D3B815"/>
    <w:rsid w:val="77D442B4"/>
    <w:rsid w:val="77D73E9D"/>
    <w:rsid w:val="77D9AB59"/>
    <w:rsid w:val="77D9D376"/>
    <w:rsid w:val="77DA9D64"/>
    <w:rsid w:val="77DF56BF"/>
    <w:rsid w:val="77DF7DE7"/>
    <w:rsid w:val="77DF81D3"/>
    <w:rsid w:val="77DFAEB1"/>
    <w:rsid w:val="77DFB72E"/>
    <w:rsid w:val="77DFE4A8"/>
    <w:rsid w:val="77E061EE"/>
    <w:rsid w:val="77E33D95"/>
    <w:rsid w:val="77E5FA87"/>
    <w:rsid w:val="77E60105"/>
    <w:rsid w:val="77E668A1"/>
    <w:rsid w:val="77E9A955"/>
    <w:rsid w:val="77EA82E5"/>
    <w:rsid w:val="77EDB1F2"/>
    <w:rsid w:val="77F38210"/>
    <w:rsid w:val="77F3F998"/>
    <w:rsid w:val="77F71A10"/>
    <w:rsid w:val="77F7350E"/>
    <w:rsid w:val="77F78D82"/>
    <w:rsid w:val="77F79900"/>
    <w:rsid w:val="77F7A801"/>
    <w:rsid w:val="77F7CE17"/>
    <w:rsid w:val="77F7EE90"/>
    <w:rsid w:val="77FA5A73"/>
    <w:rsid w:val="77FD99E9"/>
    <w:rsid w:val="77FD9A23"/>
    <w:rsid w:val="77FD9FD7"/>
    <w:rsid w:val="77FDA0A2"/>
    <w:rsid w:val="77FDB464"/>
    <w:rsid w:val="77FE2CEC"/>
    <w:rsid w:val="77FE3395"/>
    <w:rsid w:val="77FE513D"/>
    <w:rsid w:val="77FE546C"/>
    <w:rsid w:val="77FEE144"/>
    <w:rsid w:val="77FF023E"/>
    <w:rsid w:val="77FF0DAB"/>
    <w:rsid w:val="77FF1E49"/>
    <w:rsid w:val="77FF220C"/>
    <w:rsid w:val="77FF2378"/>
    <w:rsid w:val="77FF23D1"/>
    <w:rsid w:val="77FF26A8"/>
    <w:rsid w:val="77FF2817"/>
    <w:rsid w:val="77FF3428"/>
    <w:rsid w:val="77FF5BC6"/>
    <w:rsid w:val="77FF5CD6"/>
    <w:rsid w:val="77FF679D"/>
    <w:rsid w:val="77FF681B"/>
    <w:rsid w:val="77FF8EE2"/>
    <w:rsid w:val="77FFAA69"/>
    <w:rsid w:val="77FFBF44"/>
    <w:rsid w:val="77FFD3F1"/>
    <w:rsid w:val="77FFF544"/>
    <w:rsid w:val="7875643B"/>
    <w:rsid w:val="78BE7769"/>
    <w:rsid w:val="78CA9424"/>
    <w:rsid w:val="78EA0617"/>
    <w:rsid w:val="78ED9699"/>
    <w:rsid w:val="78EFB10B"/>
    <w:rsid w:val="78FDC05A"/>
    <w:rsid w:val="79375B09"/>
    <w:rsid w:val="7937D837"/>
    <w:rsid w:val="793F342C"/>
    <w:rsid w:val="794C087F"/>
    <w:rsid w:val="796F74FC"/>
    <w:rsid w:val="797365F2"/>
    <w:rsid w:val="797E5E0A"/>
    <w:rsid w:val="797F0A9F"/>
    <w:rsid w:val="797FA69A"/>
    <w:rsid w:val="799527F4"/>
    <w:rsid w:val="79ABEA99"/>
    <w:rsid w:val="79AE9B13"/>
    <w:rsid w:val="79B7EC36"/>
    <w:rsid w:val="79BA2B7C"/>
    <w:rsid w:val="79C6CA99"/>
    <w:rsid w:val="79DB9A43"/>
    <w:rsid w:val="79DD5CEB"/>
    <w:rsid w:val="79DE011B"/>
    <w:rsid w:val="79EBA60E"/>
    <w:rsid w:val="79F70DC2"/>
    <w:rsid w:val="79FB718A"/>
    <w:rsid w:val="79FBDE35"/>
    <w:rsid w:val="79FD2317"/>
    <w:rsid w:val="79FD6749"/>
    <w:rsid w:val="79FDD8DB"/>
    <w:rsid w:val="79FE1117"/>
    <w:rsid w:val="79FF2A2C"/>
    <w:rsid w:val="79FFA743"/>
    <w:rsid w:val="7A062D39"/>
    <w:rsid w:val="7A246228"/>
    <w:rsid w:val="7A67D118"/>
    <w:rsid w:val="7A6B28CC"/>
    <w:rsid w:val="7A6FF0BC"/>
    <w:rsid w:val="7A7B019D"/>
    <w:rsid w:val="7A8A5311"/>
    <w:rsid w:val="7A934D6F"/>
    <w:rsid w:val="7A9F37FE"/>
    <w:rsid w:val="7AA0AF22"/>
    <w:rsid w:val="7AAF89F5"/>
    <w:rsid w:val="7AB3ED17"/>
    <w:rsid w:val="7ABFFCF2"/>
    <w:rsid w:val="7AD9DB5B"/>
    <w:rsid w:val="7AE73D61"/>
    <w:rsid w:val="7AEC944A"/>
    <w:rsid w:val="7AEEC23D"/>
    <w:rsid w:val="7AEF3FA9"/>
    <w:rsid w:val="7AEFF6F3"/>
    <w:rsid w:val="7AF3ECEB"/>
    <w:rsid w:val="7AF70CCA"/>
    <w:rsid w:val="7AFB23EC"/>
    <w:rsid w:val="7AFBB62D"/>
    <w:rsid w:val="7AFF237A"/>
    <w:rsid w:val="7AFFE375"/>
    <w:rsid w:val="7B07131A"/>
    <w:rsid w:val="7B1EC475"/>
    <w:rsid w:val="7B1F97DE"/>
    <w:rsid w:val="7B265A7D"/>
    <w:rsid w:val="7B36B228"/>
    <w:rsid w:val="7B3F8F11"/>
    <w:rsid w:val="7B3FB9A2"/>
    <w:rsid w:val="7B4832D8"/>
    <w:rsid w:val="7B50682D"/>
    <w:rsid w:val="7B5700A6"/>
    <w:rsid w:val="7B599FA5"/>
    <w:rsid w:val="7B6D53B4"/>
    <w:rsid w:val="7B6E9081"/>
    <w:rsid w:val="7B73279A"/>
    <w:rsid w:val="7B75935E"/>
    <w:rsid w:val="7B75D57E"/>
    <w:rsid w:val="7B7BF17C"/>
    <w:rsid w:val="7B7D5B33"/>
    <w:rsid w:val="7B7EEB57"/>
    <w:rsid w:val="7B7F2074"/>
    <w:rsid w:val="7B7F49CF"/>
    <w:rsid w:val="7B7FDE15"/>
    <w:rsid w:val="7B97D020"/>
    <w:rsid w:val="7B9BEB88"/>
    <w:rsid w:val="7B9C56AC"/>
    <w:rsid w:val="7BAD0CB3"/>
    <w:rsid w:val="7BAEFF24"/>
    <w:rsid w:val="7BB7827F"/>
    <w:rsid w:val="7BB7D273"/>
    <w:rsid w:val="7BB93E51"/>
    <w:rsid w:val="7BBE1341"/>
    <w:rsid w:val="7BBE389F"/>
    <w:rsid w:val="7BBED04B"/>
    <w:rsid w:val="7BBFD7FB"/>
    <w:rsid w:val="7BBFE5CE"/>
    <w:rsid w:val="7BCB83A6"/>
    <w:rsid w:val="7BCF94D7"/>
    <w:rsid w:val="7BD4640E"/>
    <w:rsid w:val="7BD71D21"/>
    <w:rsid w:val="7BD7B0F1"/>
    <w:rsid w:val="7BD7BD35"/>
    <w:rsid w:val="7BD90823"/>
    <w:rsid w:val="7BDB8201"/>
    <w:rsid w:val="7BDBBF7B"/>
    <w:rsid w:val="7BDCD493"/>
    <w:rsid w:val="7BDED737"/>
    <w:rsid w:val="7BDF583E"/>
    <w:rsid w:val="7BDF5EB6"/>
    <w:rsid w:val="7BDFF3A6"/>
    <w:rsid w:val="7BE0B2F5"/>
    <w:rsid w:val="7BE5195E"/>
    <w:rsid w:val="7BE553B7"/>
    <w:rsid w:val="7BE78F15"/>
    <w:rsid w:val="7BED2D58"/>
    <w:rsid w:val="7BED6424"/>
    <w:rsid w:val="7BED8AFC"/>
    <w:rsid w:val="7BEDBCA0"/>
    <w:rsid w:val="7BEE9DD8"/>
    <w:rsid w:val="7BF742E9"/>
    <w:rsid w:val="7BF77CA6"/>
    <w:rsid w:val="7BF7C622"/>
    <w:rsid w:val="7BF7DE08"/>
    <w:rsid w:val="7BF7E444"/>
    <w:rsid w:val="7BF94D9B"/>
    <w:rsid w:val="7BFA3CBE"/>
    <w:rsid w:val="7BFB1D52"/>
    <w:rsid w:val="7BFB1FCA"/>
    <w:rsid w:val="7BFB2298"/>
    <w:rsid w:val="7BFB2FA1"/>
    <w:rsid w:val="7BFBA731"/>
    <w:rsid w:val="7BFBE97F"/>
    <w:rsid w:val="7BFC8C4A"/>
    <w:rsid w:val="7BFD7247"/>
    <w:rsid w:val="7BFD9060"/>
    <w:rsid w:val="7BFE275C"/>
    <w:rsid w:val="7BFE48EA"/>
    <w:rsid w:val="7BFE985A"/>
    <w:rsid w:val="7BFF0C85"/>
    <w:rsid w:val="7BFF1C8F"/>
    <w:rsid w:val="7BFF1F99"/>
    <w:rsid w:val="7BFF2AD4"/>
    <w:rsid w:val="7BFF81E6"/>
    <w:rsid w:val="7BFFBF1A"/>
    <w:rsid w:val="7BFFC4CD"/>
    <w:rsid w:val="7BFFE651"/>
    <w:rsid w:val="7BFFE925"/>
    <w:rsid w:val="7BFFFBFC"/>
    <w:rsid w:val="7C43188B"/>
    <w:rsid w:val="7C480342"/>
    <w:rsid w:val="7C591206"/>
    <w:rsid w:val="7C5E6F58"/>
    <w:rsid w:val="7C5E9643"/>
    <w:rsid w:val="7C7FE550"/>
    <w:rsid w:val="7C9CAE67"/>
    <w:rsid w:val="7CA54DBF"/>
    <w:rsid w:val="7CBE2E29"/>
    <w:rsid w:val="7CBE2FF2"/>
    <w:rsid w:val="7CBF0092"/>
    <w:rsid w:val="7CC54D34"/>
    <w:rsid w:val="7CC723C1"/>
    <w:rsid w:val="7CD60E12"/>
    <w:rsid w:val="7CDF2049"/>
    <w:rsid w:val="7CEF17D9"/>
    <w:rsid w:val="7CEF277F"/>
    <w:rsid w:val="7CEF925E"/>
    <w:rsid w:val="7CEFD5DC"/>
    <w:rsid w:val="7CF63E1C"/>
    <w:rsid w:val="7CF65728"/>
    <w:rsid w:val="7CF71DA8"/>
    <w:rsid w:val="7CFA2F48"/>
    <w:rsid w:val="7CFAA72A"/>
    <w:rsid w:val="7CFB36BE"/>
    <w:rsid w:val="7CFD304A"/>
    <w:rsid w:val="7CFEDD40"/>
    <w:rsid w:val="7CFEEDDA"/>
    <w:rsid w:val="7CFF3EA7"/>
    <w:rsid w:val="7D15720A"/>
    <w:rsid w:val="7D1E37C3"/>
    <w:rsid w:val="7D3397EB"/>
    <w:rsid w:val="7D36217A"/>
    <w:rsid w:val="7D3D3E54"/>
    <w:rsid w:val="7D3F132C"/>
    <w:rsid w:val="7D3FD551"/>
    <w:rsid w:val="7D4A4FE6"/>
    <w:rsid w:val="7D66F03F"/>
    <w:rsid w:val="7D6AB426"/>
    <w:rsid w:val="7D6C01B8"/>
    <w:rsid w:val="7D6E137B"/>
    <w:rsid w:val="7D6F96E6"/>
    <w:rsid w:val="7D6FC2DE"/>
    <w:rsid w:val="7D70D0DF"/>
    <w:rsid w:val="7D75A3F9"/>
    <w:rsid w:val="7D7600DC"/>
    <w:rsid w:val="7D77DBB4"/>
    <w:rsid w:val="7D7F1ECC"/>
    <w:rsid w:val="7D7F6128"/>
    <w:rsid w:val="7D7FCBB9"/>
    <w:rsid w:val="7D8F8B60"/>
    <w:rsid w:val="7D9DCB67"/>
    <w:rsid w:val="7D9E0894"/>
    <w:rsid w:val="7D9F4690"/>
    <w:rsid w:val="7DA1DFD6"/>
    <w:rsid w:val="7DAB6F0E"/>
    <w:rsid w:val="7DABD271"/>
    <w:rsid w:val="7DB561FE"/>
    <w:rsid w:val="7DB9B9DD"/>
    <w:rsid w:val="7DBAA60E"/>
    <w:rsid w:val="7DBCC8DA"/>
    <w:rsid w:val="7DBE07B9"/>
    <w:rsid w:val="7DBE0F37"/>
    <w:rsid w:val="7DBE8718"/>
    <w:rsid w:val="7DBEB307"/>
    <w:rsid w:val="7DBF147D"/>
    <w:rsid w:val="7DBFCE57"/>
    <w:rsid w:val="7DBFD668"/>
    <w:rsid w:val="7DC3A2C6"/>
    <w:rsid w:val="7DD5139A"/>
    <w:rsid w:val="7DDB335A"/>
    <w:rsid w:val="7DDC0805"/>
    <w:rsid w:val="7DDDF269"/>
    <w:rsid w:val="7DDF33EB"/>
    <w:rsid w:val="7DDF5DD0"/>
    <w:rsid w:val="7DDFE731"/>
    <w:rsid w:val="7DE53FC2"/>
    <w:rsid w:val="7DE70EE5"/>
    <w:rsid w:val="7DE73E3A"/>
    <w:rsid w:val="7DE76DD9"/>
    <w:rsid w:val="7DE7F946"/>
    <w:rsid w:val="7DEB4564"/>
    <w:rsid w:val="7DEB589D"/>
    <w:rsid w:val="7DEBA624"/>
    <w:rsid w:val="7DEDB61E"/>
    <w:rsid w:val="7DEE0214"/>
    <w:rsid w:val="7DEE4739"/>
    <w:rsid w:val="7DEFBA7F"/>
    <w:rsid w:val="7DF33F1A"/>
    <w:rsid w:val="7DF33FC3"/>
    <w:rsid w:val="7DF50E9E"/>
    <w:rsid w:val="7DF59D02"/>
    <w:rsid w:val="7DF6257B"/>
    <w:rsid w:val="7DF70078"/>
    <w:rsid w:val="7DF713B3"/>
    <w:rsid w:val="7DF76240"/>
    <w:rsid w:val="7DF76EC5"/>
    <w:rsid w:val="7DF7DCFC"/>
    <w:rsid w:val="7DF7DEE7"/>
    <w:rsid w:val="7DF7FC9D"/>
    <w:rsid w:val="7DF96BCB"/>
    <w:rsid w:val="7DFB2235"/>
    <w:rsid w:val="7DFC63EC"/>
    <w:rsid w:val="7DFCC554"/>
    <w:rsid w:val="7DFDA2D1"/>
    <w:rsid w:val="7DFDA48D"/>
    <w:rsid w:val="7DFE4028"/>
    <w:rsid w:val="7DFE923D"/>
    <w:rsid w:val="7DFED025"/>
    <w:rsid w:val="7DFEDB10"/>
    <w:rsid w:val="7DFEEAF3"/>
    <w:rsid w:val="7DFF0391"/>
    <w:rsid w:val="7DFF06B9"/>
    <w:rsid w:val="7DFF0D62"/>
    <w:rsid w:val="7DFF30DD"/>
    <w:rsid w:val="7DFF69DB"/>
    <w:rsid w:val="7DFF84FE"/>
    <w:rsid w:val="7DFFD40B"/>
    <w:rsid w:val="7DFFEFFB"/>
    <w:rsid w:val="7E210663"/>
    <w:rsid w:val="7E291C47"/>
    <w:rsid w:val="7E29FC0A"/>
    <w:rsid w:val="7E373364"/>
    <w:rsid w:val="7E3CA62D"/>
    <w:rsid w:val="7E53749D"/>
    <w:rsid w:val="7E57230D"/>
    <w:rsid w:val="7E57C0DD"/>
    <w:rsid w:val="7E5E4F05"/>
    <w:rsid w:val="7E5F2F81"/>
    <w:rsid w:val="7E67FBAB"/>
    <w:rsid w:val="7E6AC073"/>
    <w:rsid w:val="7E6B5A09"/>
    <w:rsid w:val="7E6CDB21"/>
    <w:rsid w:val="7E6D037C"/>
    <w:rsid w:val="7E6F8233"/>
    <w:rsid w:val="7E6F8BF4"/>
    <w:rsid w:val="7E775ACB"/>
    <w:rsid w:val="7E77C20E"/>
    <w:rsid w:val="7E78296E"/>
    <w:rsid w:val="7E79C517"/>
    <w:rsid w:val="7E7ABADA"/>
    <w:rsid w:val="7E7BFE10"/>
    <w:rsid w:val="7E7E74D0"/>
    <w:rsid w:val="7E7EA57D"/>
    <w:rsid w:val="7E7EBFAD"/>
    <w:rsid w:val="7E7EF79D"/>
    <w:rsid w:val="7E7F7C47"/>
    <w:rsid w:val="7E7F90B1"/>
    <w:rsid w:val="7E8BF8B9"/>
    <w:rsid w:val="7E8EC139"/>
    <w:rsid w:val="7E91B1DD"/>
    <w:rsid w:val="7E9737CB"/>
    <w:rsid w:val="7E9B603C"/>
    <w:rsid w:val="7E9D9C4B"/>
    <w:rsid w:val="7E9DD601"/>
    <w:rsid w:val="7EA7AD1A"/>
    <w:rsid w:val="7EA8DB5F"/>
    <w:rsid w:val="7EAE7017"/>
    <w:rsid w:val="7EBA5CDC"/>
    <w:rsid w:val="7EBBCE70"/>
    <w:rsid w:val="7EBCDCA1"/>
    <w:rsid w:val="7EBDD7B0"/>
    <w:rsid w:val="7EBF0A36"/>
    <w:rsid w:val="7EBF2618"/>
    <w:rsid w:val="7EBF2DF4"/>
    <w:rsid w:val="7EBF66A1"/>
    <w:rsid w:val="7EBF691D"/>
    <w:rsid w:val="7EBF78FD"/>
    <w:rsid w:val="7EBFA16F"/>
    <w:rsid w:val="7EBFE46D"/>
    <w:rsid w:val="7EBFF032"/>
    <w:rsid w:val="7EC61DEB"/>
    <w:rsid w:val="7ECA8A69"/>
    <w:rsid w:val="7ED26795"/>
    <w:rsid w:val="7ED68B13"/>
    <w:rsid w:val="7ED6CB9A"/>
    <w:rsid w:val="7ED76F03"/>
    <w:rsid w:val="7ED77F23"/>
    <w:rsid w:val="7ED7CCD5"/>
    <w:rsid w:val="7EDE17FC"/>
    <w:rsid w:val="7EDED5D3"/>
    <w:rsid w:val="7EDF05AC"/>
    <w:rsid w:val="7EDF2A21"/>
    <w:rsid w:val="7EDF4E94"/>
    <w:rsid w:val="7EDFB3FA"/>
    <w:rsid w:val="7EE3CEA8"/>
    <w:rsid w:val="7EE5749B"/>
    <w:rsid w:val="7EE7DF8F"/>
    <w:rsid w:val="7EEBA6D9"/>
    <w:rsid w:val="7EEE9C61"/>
    <w:rsid w:val="7EEEC27C"/>
    <w:rsid w:val="7EEF64F3"/>
    <w:rsid w:val="7EEFED65"/>
    <w:rsid w:val="7EF3BD84"/>
    <w:rsid w:val="7EF3CA1B"/>
    <w:rsid w:val="7EF7871C"/>
    <w:rsid w:val="7EF79A42"/>
    <w:rsid w:val="7EF7CA80"/>
    <w:rsid w:val="7EF9FF15"/>
    <w:rsid w:val="7EFB6A0D"/>
    <w:rsid w:val="7EFC1112"/>
    <w:rsid w:val="7EFCF1FC"/>
    <w:rsid w:val="7EFD3F65"/>
    <w:rsid w:val="7EFDEC79"/>
    <w:rsid w:val="7EFE6E31"/>
    <w:rsid w:val="7EFEA22D"/>
    <w:rsid w:val="7EFECD81"/>
    <w:rsid w:val="7EFF0F36"/>
    <w:rsid w:val="7EFF72CF"/>
    <w:rsid w:val="7EFFBB9B"/>
    <w:rsid w:val="7EFFC8A2"/>
    <w:rsid w:val="7EFFD559"/>
    <w:rsid w:val="7EFFF451"/>
    <w:rsid w:val="7F0D4645"/>
    <w:rsid w:val="7F1306E7"/>
    <w:rsid w:val="7F1D5A2C"/>
    <w:rsid w:val="7F1DAF5E"/>
    <w:rsid w:val="7F244DA7"/>
    <w:rsid w:val="7F275896"/>
    <w:rsid w:val="7F2AC289"/>
    <w:rsid w:val="7F357440"/>
    <w:rsid w:val="7F37C47E"/>
    <w:rsid w:val="7F3BCF86"/>
    <w:rsid w:val="7F3C0C80"/>
    <w:rsid w:val="7F3C1032"/>
    <w:rsid w:val="7F3D28ED"/>
    <w:rsid w:val="7F4F8CDA"/>
    <w:rsid w:val="7F4F976A"/>
    <w:rsid w:val="7F4FFA36"/>
    <w:rsid w:val="7F53408B"/>
    <w:rsid w:val="7F573902"/>
    <w:rsid w:val="7F57C174"/>
    <w:rsid w:val="7F57C50C"/>
    <w:rsid w:val="7F5B6865"/>
    <w:rsid w:val="7F5E137C"/>
    <w:rsid w:val="7F5EBC93"/>
    <w:rsid w:val="7F5ED9CD"/>
    <w:rsid w:val="7F5F8235"/>
    <w:rsid w:val="7F620A4E"/>
    <w:rsid w:val="7F6559FE"/>
    <w:rsid w:val="7F65C1AC"/>
    <w:rsid w:val="7F662169"/>
    <w:rsid w:val="7F66C481"/>
    <w:rsid w:val="7F67E739"/>
    <w:rsid w:val="7F6B0B21"/>
    <w:rsid w:val="7F6D540F"/>
    <w:rsid w:val="7F6F0234"/>
    <w:rsid w:val="7F6F97F2"/>
    <w:rsid w:val="7F6FB92F"/>
    <w:rsid w:val="7F73A8C8"/>
    <w:rsid w:val="7F73FE65"/>
    <w:rsid w:val="7F761E09"/>
    <w:rsid w:val="7F7654E5"/>
    <w:rsid w:val="7F790969"/>
    <w:rsid w:val="7F7B10BC"/>
    <w:rsid w:val="7F7B24C4"/>
    <w:rsid w:val="7F7B5A33"/>
    <w:rsid w:val="7F7B64F2"/>
    <w:rsid w:val="7F7B9C56"/>
    <w:rsid w:val="7F7BE1CC"/>
    <w:rsid w:val="7F7CFC80"/>
    <w:rsid w:val="7F7D0D32"/>
    <w:rsid w:val="7F7D58EC"/>
    <w:rsid w:val="7F7D6A18"/>
    <w:rsid w:val="7F7D89F5"/>
    <w:rsid w:val="7F7D91E6"/>
    <w:rsid w:val="7F7DF01D"/>
    <w:rsid w:val="7F7E525D"/>
    <w:rsid w:val="7F7E9ADC"/>
    <w:rsid w:val="7F7EF076"/>
    <w:rsid w:val="7F7F0531"/>
    <w:rsid w:val="7F7F1A40"/>
    <w:rsid w:val="7F7F3261"/>
    <w:rsid w:val="7F7F4982"/>
    <w:rsid w:val="7F7F571A"/>
    <w:rsid w:val="7F7F5E75"/>
    <w:rsid w:val="7F7F6190"/>
    <w:rsid w:val="7F7F710D"/>
    <w:rsid w:val="7F7F936C"/>
    <w:rsid w:val="7F7F95DA"/>
    <w:rsid w:val="7F7FA813"/>
    <w:rsid w:val="7F7FB65F"/>
    <w:rsid w:val="7F7FC79B"/>
    <w:rsid w:val="7F7FD7A1"/>
    <w:rsid w:val="7F7FF548"/>
    <w:rsid w:val="7F8D078C"/>
    <w:rsid w:val="7F8FBD20"/>
    <w:rsid w:val="7F9306B6"/>
    <w:rsid w:val="7F99ABD6"/>
    <w:rsid w:val="7F9A4DE0"/>
    <w:rsid w:val="7F9DE884"/>
    <w:rsid w:val="7F9E0348"/>
    <w:rsid w:val="7F9E5E85"/>
    <w:rsid w:val="7F9F2226"/>
    <w:rsid w:val="7F9FFE4F"/>
    <w:rsid w:val="7FA16677"/>
    <w:rsid w:val="7FA5747E"/>
    <w:rsid w:val="7FA752C1"/>
    <w:rsid w:val="7FA7DB65"/>
    <w:rsid w:val="7FA93697"/>
    <w:rsid w:val="7FAB585D"/>
    <w:rsid w:val="7FAB7A1B"/>
    <w:rsid w:val="7FAE109E"/>
    <w:rsid w:val="7FAE4575"/>
    <w:rsid w:val="7FAEE83C"/>
    <w:rsid w:val="7FAF0412"/>
    <w:rsid w:val="7FAFB999"/>
    <w:rsid w:val="7FAFF10B"/>
    <w:rsid w:val="7FAFF80E"/>
    <w:rsid w:val="7FB26077"/>
    <w:rsid w:val="7FB5B12E"/>
    <w:rsid w:val="7FB5B78B"/>
    <w:rsid w:val="7FB5CFFA"/>
    <w:rsid w:val="7FBB4656"/>
    <w:rsid w:val="7FBB4B95"/>
    <w:rsid w:val="7FBBB6B9"/>
    <w:rsid w:val="7FBBF61A"/>
    <w:rsid w:val="7FBC03E1"/>
    <w:rsid w:val="7FBCC499"/>
    <w:rsid w:val="7FBD6736"/>
    <w:rsid w:val="7FBD7CC3"/>
    <w:rsid w:val="7FBE0AC2"/>
    <w:rsid w:val="7FBE5D4D"/>
    <w:rsid w:val="7FBEC1AB"/>
    <w:rsid w:val="7FBEC5F2"/>
    <w:rsid w:val="7FBEEA87"/>
    <w:rsid w:val="7FBF0A7C"/>
    <w:rsid w:val="7FBF1893"/>
    <w:rsid w:val="7FBF6C39"/>
    <w:rsid w:val="7FBF70DD"/>
    <w:rsid w:val="7FBF894D"/>
    <w:rsid w:val="7FBF9922"/>
    <w:rsid w:val="7FBFAA8D"/>
    <w:rsid w:val="7FBFC579"/>
    <w:rsid w:val="7FC2D4C6"/>
    <w:rsid w:val="7FC314E3"/>
    <w:rsid w:val="7FC3E42D"/>
    <w:rsid w:val="7FC5EA6A"/>
    <w:rsid w:val="7FC632BF"/>
    <w:rsid w:val="7FC78A6D"/>
    <w:rsid w:val="7FC9B04A"/>
    <w:rsid w:val="7FCB0AD9"/>
    <w:rsid w:val="7FCD82BD"/>
    <w:rsid w:val="7FCE028D"/>
    <w:rsid w:val="7FCF0385"/>
    <w:rsid w:val="7FCF11B7"/>
    <w:rsid w:val="7FCF1416"/>
    <w:rsid w:val="7FD2A216"/>
    <w:rsid w:val="7FD3AE34"/>
    <w:rsid w:val="7FD59995"/>
    <w:rsid w:val="7FD7B257"/>
    <w:rsid w:val="7FD7B74E"/>
    <w:rsid w:val="7FD984FF"/>
    <w:rsid w:val="7FDA1D67"/>
    <w:rsid w:val="7FDB362A"/>
    <w:rsid w:val="7FDB4E7C"/>
    <w:rsid w:val="7FDE088F"/>
    <w:rsid w:val="7FDE360C"/>
    <w:rsid w:val="7FDE644C"/>
    <w:rsid w:val="7FDF31B9"/>
    <w:rsid w:val="7FDF39FE"/>
    <w:rsid w:val="7FDF5FD9"/>
    <w:rsid w:val="7FDF935A"/>
    <w:rsid w:val="7FDF9BF2"/>
    <w:rsid w:val="7FDFB8B6"/>
    <w:rsid w:val="7FDFC671"/>
    <w:rsid w:val="7FDFD723"/>
    <w:rsid w:val="7FE10246"/>
    <w:rsid w:val="7FE33D43"/>
    <w:rsid w:val="7FE53217"/>
    <w:rsid w:val="7FE5513B"/>
    <w:rsid w:val="7FE5FCCF"/>
    <w:rsid w:val="7FE60916"/>
    <w:rsid w:val="7FE65817"/>
    <w:rsid w:val="7FE71268"/>
    <w:rsid w:val="7FE744C8"/>
    <w:rsid w:val="7FE75793"/>
    <w:rsid w:val="7FE7B804"/>
    <w:rsid w:val="7FEA04BE"/>
    <w:rsid w:val="7FEB7373"/>
    <w:rsid w:val="7FEB78A3"/>
    <w:rsid w:val="7FEBF9E1"/>
    <w:rsid w:val="7FECAA75"/>
    <w:rsid w:val="7FEDAF16"/>
    <w:rsid w:val="7FEDBBB0"/>
    <w:rsid w:val="7FEDF3FF"/>
    <w:rsid w:val="7FEE8E9B"/>
    <w:rsid w:val="7FEF155C"/>
    <w:rsid w:val="7FEF1989"/>
    <w:rsid w:val="7FEF1D29"/>
    <w:rsid w:val="7FEF2300"/>
    <w:rsid w:val="7FEF298C"/>
    <w:rsid w:val="7FEF2FED"/>
    <w:rsid w:val="7FEF458A"/>
    <w:rsid w:val="7FEF5D2A"/>
    <w:rsid w:val="7FEF5E58"/>
    <w:rsid w:val="7FEF9563"/>
    <w:rsid w:val="7FEFBDD9"/>
    <w:rsid w:val="7FEFBFB1"/>
    <w:rsid w:val="7FEFE88F"/>
    <w:rsid w:val="7FEFEA88"/>
    <w:rsid w:val="7FEFEBC1"/>
    <w:rsid w:val="7FF103CA"/>
    <w:rsid w:val="7FF12519"/>
    <w:rsid w:val="7FF26978"/>
    <w:rsid w:val="7FF326CB"/>
    <w:rsid w:val="7FF32B88"/>
    <w:rsid w:val="7FF37E5C"/>
    <w:rsid w:val="7FF5DE4E"/>
    <w:rsid w:val="7FF6CDE9"/>
    <w:rsid w:val="7FF6EA3D"/>
    <w:rsid w:val="7FF72053"/>
    <w:rsid w:val="7FF720E2"/>
    <w:rsid w:val="7FF74D07"/>
    <w:rsid w:val="7FF75770"/>
    <w:rsid w:val="7FF790B8"/>
    <w:rsid w:val="7FF7CC25"/>
    <w:rsid w:val="7FF917BB"/>
    <w:rsid w:val="7FF9515A"/>
    <w:rsid w:val="7FF98A77"/>
    <w:rsid w:val="7FFA20EF"/>
    <w:rsid w:val="7FFA78EB"/>
    <w:rsid w:val="7FFAAFDD"/>
    <w:rsid w:val="7FFB2532"/>
    <w:rsid w:val="7FFB2E1B"/>
    <w:rsid w:val="7FFB40FA"/>
    <w:rsid w:val="7FFB5D4A"/>
    <w:rsid w:val="7FFB9ADE"/>
    <w:rsid w:val="7FFBB54C"/>
    <w:rsid w:val="7FFBB858"/>
    <w:rsid w:val="7FFBC5FF"/>
    <w:rsid w:val="7FFBC6E9"/>
    <w:rsid w:val="7FFBD682"/>
    <w:rsid w:val="7FFBDA1A"/>
    <w:rsid w:val="7FFBDD7B"/>
    <w:rsid w:val="7FFBE147"/>
    <w:rsid w:val="7FFBE85A"/>
    <w:rsid w:val="7FFBFF1C"/>
    <w:rsid w:val="7FFC2A80"/>
    <w:rsid w:val="7FFD206E"/>
    <w:rsid w:val="7FFD2E0B"/>
    <w:rsid w:val="7FFD4564"/>
    <w:rsid w:val="7FFD58F7"/>
    <w:rsid w:val="7FFD6DA0"/>
    <w:rsid w:val="7FFD7124"/>
    <w:rsid w:val="7FFD8F94"/>
    <w:rsid w:val="7FFDA080"/>
    <w:rsid w:val="7FFDA359"/>
    <w:rsid w:val="7FFDAC7E"/>
    <w:rsid w:val="7FFE032E"/>
    <w:rsid w:val="7FFE0B87"/>
    <w:rsid w:val="7FFE3267"/>
    <w:rsid w:val="7FFE3EE1"/>
    <w:rsid w:val="7FFE4E0E"/>
    <w:rsid w:val="7FFE60F8"/>
    <w:rsid w:val="7FFE75CA"/>
    <w:rsid w:val="7FFE7701"/>
    <w:rsid w:val="7FFE9041"/>
    <w:rsid w:val="7FFEAF34"/>
    <w:rsid w:val="7FFEB5A0"/>
    <w:rsid w:val="7FFEC949"/>
    <w:rsid w:val="7FFED649"/>
    <w:rsid w:val="7FFF05D9"/>
    <w:rsid w:val="7FFF2B47"/>
    <w:rsid w:val="7FFF2C15"/>
    <w:rsid w:val="7FFF4582"/>
    <w:rsid w:val="7FFF523B"/>
    <w:rsid w:val="7FFF5564"/>
    <w:rsid w:val="7FFF5714"/>
    <w:rsid w:val="7FFF575D"/>
    <w:rsid w:val="7FFF65EC"/>
    <w:rsid w:val="7FFF93A3"/>
    <w:rsid w:val="7FFFA098"/>
    <w:rsid w:val="7FFFB0BF"/>
    <w:rsid w:val="7FFFB587"/>
    <w:rsid w:val="7FFFB945"/>
    <w:rsid w:val="7FFFD3FC"/>
    <w:rsid w:val="7FFFF926"/>
    <w:rsid w:val="83BFDC37"/>
    <w:rsid w:val="861F792F"/>
    <w:rsid w:val="86BFD598"/>
    <w:rsid w:val="86FED92E"/>
    <w:rsid w:val="873F2367"/>
    <w:rsid w:val="87F998D4"/>
    <w:rsid w:val="88ED4FD0"/>
    <w:rsid w:val="8A1B4C1C"/>
    <w:rsid w:val="8A6FF5EC"/>
    <w:rsid w:val="8A7FFD08"/>
    <w:rsid w:val="8B77F6C4"/>
    <w:rsid w:val="8BBE862C"/>
    <w:rsid w:val="8BF40C47"/>
    <w:rsid w:val="8CDD2460"/>
    <w:rsid w:val="8CEF4033"/>
    <w:rsid w:val="8DA7794F"/>
    <w:rsid w:val="8E6D90E2"/>
    <w:rsid w:val="8E70087B"/>
    <w:rsid w:val="8EDB6085"/>
    <w:rsid w:val="8EDE4F03"/>
    <w:rsid w:val="8EF3B4C4"/>
    <w:rsid w:val="8EF64C02"/>
    <w:rsid w:val="8EFDAC97"/>
    <w:rsid w:val="8EFFDC2F"/>
    <w:rsid w:val="8F768D75"/>
    <w:rsid w:val="8F772CD5"/>
    <w:rsid w:val="8F7BEB85"/>
    <w:rsid w:val="8FCDC3BB"/>
    <w:rsid w:val="8FD8066F"/>
    <w:rsid w:val="8FDB72C7"/>
    <w:rsid w:val="8FDBB0F0"/>
    <w:rsid w:val="8FDE95DD"/>
    <w:rsid w:val="8FEFDE44"/>
    <w:rsid w:val="8FF59655"/>
    <w:rsid w:val="8FFE6407"/>
    <w:rsid w:val="8FFF71FB"/>
    <w:rsid w:val="8FFFC30D"/>
    <w:rsid w:val="8FFFD566"/>
    <w:rsid w:val="917FCC15"/>
    <w:rsid w:val="91EB82CC"/>
    <w:rsid w:val="91FE983F"/>
    <w:rsid w:val="937DDDC1"/>
    <w:rsid w:val="938371F0"/>
    <w:rsid w:val="93BFCFF0"/>
    <w:rsid w:val="93FAFAAC"/>
    <w:rsid w:val="950C7861"/>
    <w:rsid w:val="95FD9F7F"/>
    <w:rsid w:val="95FEFB5D"/>
    <w:rsid w:val="96EF4D11"/>
    <w:rsid w:val="96FEA6F4"/>
    <w:rsid w:val="973799A7"/>
    <w:rsid w:val="97672771"/>
    <w:rsid w:val="9777F055"/>
    <w:rsid w:val="977E6121"/>
    <w:rsid w:val="977FAB72"/>
    <w:rsid w:val="979F1C4D"/>
    <w:rsid w:val="97BEDC4E"/>
    <w:rsid w:val="97D8E3BE"/>
    <w:rsid w:val="97F7697D"/>
    <w:rsid w:val="97F76FE3"/>
    <w:rsid w:val="97FFE936"/>
    <w:rsid w:val="98EF5FE4"/>
    <w:rsid w:val="98FFA7EC"/>
    <w:rsid w:val="99AFD92A"/>
    <w:rsid w:val="99B7D738"/>
    <w:rsid w:val="99F1865D"/>
    <w:rsid w:val="99F7E49C"/>
    <w:rsid w:val="99FB1424"/>
    <w:rsid w:val="9A596B9C"/>
    <w:rsid w:val="9A9D28E7"/>
    <w:rsid w:val="9ABE5C0E"/>
    <w:rsid w:val="9ACF9186"/>
    <w:rsid w:val="9AFCB611"/>
    <w:rsid w:val="9AFF3959"/>
    <w:rsid w:val="9B65824C"/>
    <w:rsid w:val="9B763DA3"/>
    <w:rsid w:val="9B7B2FE1"/>
    <w:rsid w:val="9B7FFD32"/>
    <w:rsid w:val="9BC567A9"/>
    <w:rsid w:val="9BF4B1CF"/>
    <w:rsid w:val="9BFBA09C"/>
    <w:rsid w:val="9BFF8EF7"/>
    <w:rsid w:val="9C7B053B"/>
    <w:rsid w:val="9CDD7709"/>
    <w:rsid w:val="9CF2F471"/>
    <w:rsid w:val="9CFBC359"/>
    <w:rsid w:val="9D4B5CFF"/>
    <w:rsid w:val="9D4B9E98"/>
    <w:rsid w:val="9D7F4B4F"/>
    <w:rsid w:val="9D9D1FDB"/>
    <w:rsid w:val="9DB7396B"/>
    <w:rsid w:val="9DC7D7A9"/>
    <w:rsid w:val="9DDDDFEA"/>
    <w:rsid w:val="9DE46580"/>
    <w:rsid w:val="9DFFEDCB"/>
    <w:rsid w:val="9E509540"/>
    <w:rsid w:val="9E56605A"/>
    <w:rsid w:val="9E7B5457"/>
    <w:rsid w:val="9E7B6277"/>
    <w:rsid w:val="9E8F231F"/>
    <w:rsid w:val="9E9A8A00"/>
    <w:rsid w:val="9EAB8F7C"/>
    <w:rsid w:val="9EB6DC24"/>
    <w:rsid w:val="9EDA78B9"/>
    <w:rsid w:val="9EDD79A0"/>
    <w:rsid w:val="9EF02C03"/>
    <w:rsid w:val="9EF5E9FF"/>
    <w:rsid w:val="9EF7198D"/>
    <w:rsid w:val="9EFBF3EF"/>
    <w:rsid w:val="9EFD52E4"/>
    <w:rsid w:val="9EFFC5EB"/>
    <w:rsid w:val="9F1F16A8"/>
    <w:rsid w:val="9F2B059E"/>
    <w:rsid w:val="9F3F6F7B"/>
    <w:rsid w:val="9F77D0A2"/>
    <w:rsid w:val="9F7B77D8"/>
    <w:rsid w:val="9FB705DA"/>
    <w:rsid w:val="9FBC3F7F"/>
    <w:rsid w:val="9FBE57DA"/>
    <w:rsid w:val="9FBF311B"/>
    <w:rsid w:val="9FBF8795"/>
    <w:rsid w:val="9FBFCB11"/>
    <w:rsid w:val="9FCBD363"/>
    <w:rsid w:val="9FCF765E"/>
    <w:rsid w:val="9FD5EE45"/>
    <w:rsid w:val="9FD6EFF3"/>
    <w:rsid w:val="9FDE5592"/>
    <w:rsid w:val="9FE752CD"/>
    <w:rsid w:val="9FE95396"/>
    <w:rsid w:val="9FE9E9B4"/>
    <w:rsid w:val="9FEF0DB2"/>
    <w:rsid w:val="9FF71DA1"/>
    <w:rsid w:val="9FF79D54"/>
    <w:rsid w:val="9FFA568A"/>
    <w:rsid w:val="9FFC2D9A"/>
    <w:rsid w:val="9FFD6D0F"/>
    <w:rsid w:val="9FFD8A36"/>
    <w:rsid w:val="9FFE42AA"/>
    <w:rsid w:val="9FFE8C64"/>
    <w:rsid w:val="9FFF5437"/>
    <w:rsid w:val="9FFF79EA"/>
    <w:rsid w:val="9FFFD4C3"/>
    <w:rsid w:val="9FFFF4B4"/>
    <w:rsid w:val="A1FBB4E0"/>
    <w:rsid w:val="A2BEB282"/>
    <w:rsid w:val="A2DFDB78"/>
    <w:rsid w:val="A2EC1833"/>
    <w:rsid w:val="A36D6754"/>
    <w:rsid w:val="A3CD67B9"/>
    <w:rsid w:val="A3D7F9BA"/>
    <w:rsid w:val="A3F3D7A9"/>
    <w:rsid w:val="A3FB7A33"/>
    <w:rsid w:val="A3FC8096"/>
    <w:rsid w:val="A3FDB821"/>
    <w:rsid w:val="A4DFA3A9"/>
    <w:rsid w:val="A4FE0A2B"/>
    <w:rsid w:val="A5BF729A"/>
    <w:rsid w:val="A5FF5F23"/>
    <w:rsid w:val="A6C75994"/>
    <w:rsid w:val="A77DFA1B"/>
    <w:rsid w:val="A77F988A"/>
    <w:rsid w:val="A77F9FBF"/>
    <w:rsid w:val="A7BB41D6"/>
    <w:rsid w:val="A7BF4995"/>
    <w:rsid w:val="A7C952A4"/>
    <w:rsid w:val="A7DE0627"/>
    <w:rsid w:val="A7E74A04"/>
    <w:rsid w:val="A7EE3D36"/>
    <w:rsid w:val="A7EFB23A"/>
    <w:rsid w:val="A7F307AC"/>
    <w:rsid w:val="A7F7D1C5"/>
    <w:rsid w:val="A7FD3332"/>
    <w:rsid w:val="A7FEA710"/>
    <w:rsid w:val="A7FEE2A7"/>
    <w:rsid w:val="A7FFDA91"/>
    <w:rsid w:val="A97F240E"/>
    <w:rsid w:val="A9BFB2BE"/>
    <w:rsid w:val="A9DBCE95"/>
    <w:rsid w:val="A9FFAB5C"/>
    <w:rsid w:val="AA9075A1"/>
    <w:rsid w:val="AAB72344"/>
    <w:rsid w:val="AABFDDB0"/>
    <w:rsid w:val="AAE34327"/>
    <w:rsid w:val="AB2F021E"/>
    <w:rsid w:val="AB37E9BF"/>
    <w:rsid w:val="AB97ACDD"/>
    <w:rsid w:val="ABAF4901"/>
    <w:rsid w:val="ABB76611"/>
    <w:rsid w:val="ABEE5F52"/>
    <w:rsid w:val="ABF3A13D"/>
    <w:rsid w:val="ABF78D18"/>
    <w:rsid w:val="ABFF9998"/>
    <w:rsid w:val="AC6B1A77"/>
    <w:rsid w:val="AC7D647E"/>
    <w:rsid w:val="AC99B2A1"/>
    <w:rsid w:val="ACEF8747"/>
    <w:rsid w:val="ACF82482"/>
    <w:rsid w:val="ACF90DCD"/>
    <w:rsid w:val="ACF9C93C"/>
    <w:rsid w:val="ACFE2BB6"/>
    <w:rsid w:val="AD6F2B88"/>
    <w:rsid w:val="AD9D78DC"/>
    <w:rsid w:val="ADAF624E"/>
    <w:rsid w:val="ADB8CD9F"/>
    <w:rsid w:val="ADBC62CB"/>
    <w:rsid w:val="ADBDDB5B"/>
    <w:rsid w:val="ADBFD978"/>
    <w:rsid w:val="ADBFDD80"/>
    <w:rsid w:val="ADDD545A"/>
    <w:rsid w:val="ADEF6E4C"/>
    <w:rsid w:val="ADF3C206"/>
    <w:rsid w:val="ADF7B329"/>
    <w:rsid w:val="ADFF6924"/>
    <w:rsid w:val="ADFF8A9A"/>
    <w:rsid w:val="AE37ADC3"/>
    <w:rsid w:val="AE7CCA89"/>
    <w:rsid w:val="AE7CE44C"/>
    <w:rsid w:val="AE7E8614"/>
    <w:rsid w:val="AE7F03B3"/>
    <w:rsid w:val="AE7FACE0"/>
    <w:rsid w:val="AEBDFDF0"/>
    <w:rsid w:val="AEBFC451"/>
    <w:rsid w:val="AEC68FA4"/>
    <w:rsid w:val="AEEAE215"/>
    <w:rsid w:val="AEEE440A"/>
    <w:rsid w:val="AEEFCD3E"/>
    <w:rsid w:val="AEF71A10"/>
    <w:rsid w:val="AEF7C94F"/>
    <w:rsid w:val="AEFB4B16"/>
    <w:rsid w:val="AF175057"/>
    <w:rsid w:val="AF1E104E"/>
    <w:rsid w:val="AF1FCB97"/>
    <w:rsid w:val="AF27D9DB"/>
    <w:rsid w:val="AF66E003"/>
    <w:rsid w:val="AF6F6F4E"/>
    <w:rsid w:val="AF79D42D"/>
    <w:rsid w:val="AF7FD39E"/>
    <w:rsid w:val="AF976C8A"/>
    <w:rsid w:val="AFBC610B"/>
    <w:rsid w:val="AFBD0F6D"/>
    <w:rsid w:val="AFBD8BDE"/>
    <w:rsid w:val="AFBF16A4"/>
    <w:rsid w:val="AFBF3762"/>
    <w:rsid w:val="AFBF8A4E"/>
    <w:rsid w:val="AFD464E2"/>
    <w:rsid w:val="AFD57DFC"/>
    <w:rsid w:val="AFDBE762"/>
    <w:rsid w:val="AFDFCFEF"/>
    <w:rsid w:val="AFDFEC05"/>
    <w:rsid w:val="AFE3C3AC"/>
    <w:rsid w:val="AFE74A76"/>
    <w:rsid w:val="AFEFFACE"/>
    <w:rsid w:val="AFF3C601"/>
    <w:rsid w:val="AFF66D5B"/>
    <w:rsid w:val="AFF72D78"/>
    <w:rsid w:val="AFF7EFC2"/>
    <w:rsid w:val="AFF97096"/>
    <w:rsid w:val="AFF9974A"/>
    <w:rsid w:val="AFFB10CE"/>
    <w:rsid w:val="AFFBBB43"/>
    <w:rsid w:val="AFFC5704"/>
    <w:rsid w:val="AFFDAB5A"/>
    <w:rsid w:val="AFFE39D3"/>
    <w:rsid w:val="AFFEF6D0"/>
    <w:rsid w:val="AFFF32DA"/>
    <w:rsid w:val="B1162714"/>
    <w:rsid w:val="B1765A97"/>
    <w:rsid w:val="B1FB39AB"/>
    <w:rsid w:val="B2F6DA15"/>
    <w:rsid w:val="B2FBADD7"/>
    <w:rsid w:val="B2FF4C52"/>
    <w:rsid w:val="B33F3630"/>
    <w:rsid w:val="B35B0CA2"/>
    <w:rsid w:val="B3799CF5"/>
    <w:rsid w:val="B37DA46E"/>
    <w:rsid w:val="B38DD17C"/>
    <w:rsid w:val="B3BFC9ED"/>
    <w:rsid w:val="B3EFDE50"/>
    <w:rsid w:val="B3F06C7E"/>
    <w:rsid w:val="B3FAAFE6"/>
    <w:rsid w:val="B3FB1A52"/>
    <w:rsid w:val="B3FC6194"/>
    <w:rsid w:val="B3FD49D2"/>
    <w:rsid w:val="B3FF244E"/>
    <w:rsid w:val="B3FF2C93"/>
    <w:rsid w:val="B476BE71"/>
    <w:rsid w:val="B4DDCC1A"/>
    <w:rsid w:val="B559854C"/>
    <w:rsid w:val="B5779998"/>
    <w:rsid w:val="B57C3E5C"/>
    <w:rsid w:val="B5BE0C9D"/>
    <w:rsid w:val="B5BFAD1C"/>
    <w:rsid w:val="B5CF749E"/>
    <w:rsid w:val="B5DFB1AF"/>
    <w:rsid w:val="B5E3152F"/>
    <w:rsid w:val="B5FF763E"/>
    <w:rsid w:val="B5FF823E"/>
    <w:rsid w:val="B62A81B0"/>
    <w:rsid w:val="B639F37B"/>
    <w:rsid w:val="B65F7EFC"/>
    <w:rsid w:val="B67704C7"/>
    <w:rsid w:val="B67E3B50"/>
    <w:rsid w:val="B6AD9CD9"/>
    <w:rsid w:val="B6BA7C7D"/>
    <w:rsid w:val="B6C6734A"/>
    <w:rsid w:val="B6CEDBCE"/>
    <w:rsid w:val="B6F7F448"/>
    <w:rsid w:val="B6FBD13E"/>
    <w:rsid w:val="B6FBEF5C"/>
    <w:rsid w:val="B6FF3D9F"/>
    <w:rsid w:val="B719D597"/>
    <w:rsid w:val="B73DD6F4"/>
    <w:rsid w:val="B73E3EBD"/>
    <w:rsid w:val="B76F5C35"/>
    <w:rsid w:val="B76FF1FA"/>
    <w:rsid w:val="B777615E"/>
    <w:rsid w:val="B77CF898"/>
    <w:rsid w:val="B77D1BEF"/>
    <w:rsid w:val="B799FDF3"/>
    <w:rsid w:val="B7A4F76A"/>
    <w:rsid w:val="B7AB646E"/>
    <w:rsid w:val="B7ABD5F2"/>
    <w:rsid w:val="B7AEBB38"/>
    <w:rsid w:val="B7B2D85D"/>
    <w:rsid w:val="B7BB5876"/>
    <w:rsid w:val="B7BFBC2E"/>
    <w:rsid w:val="B7C3A707"/>
    <w:rsid w:val="B7CFF142"/>
    <w:rsid w:val="B7D6A1E5"/>
    <w:rsid w:val="B7DE7E81"/>
    <w:rsid w:val="B7EF206D"/>
    <w:rsid w:val="B7F7AC90"/>
    <w:rsid w:val="B7FF7E6D"/>
    <w:rsid w:val="B7FF9282"/>
    <w:rsid w:val="B7FFA956"/>
    <w:rsid w:val="B7FFE2E3"/>
    <w:rsid w:val="B87E081F"/>
    <w:rsid w:val="B8F55607"/>
    <w:rsid w:val="B8F7F1F4"/>
    <w:rsid w:val="B91DC5D0"/>
    <w:rsid w:val="B91DFE5B"/>
    <w:rsid w:val="B9332967"/>
    <w:rsid w:val="B93FBCF3"/>
    <w:rsid w:val="B9A748A6"/>
    <w:rsid w:val="B9B5CA77"/>
    <w:rsid w:val="B9B9A309"/>
    <w:rsid w:val="B9CF7F0D"/>
    <w:rsid w:val="B9E6D6A5"/>
    <w:rsid w:val="B9F2E58A"/>
    <w:rsid w:val="B9F507CB"/>
    <w:rsid w:val="B9FBDBE6"/>
    <w:rsid w:val="B9FD3378"/>
    <w:rsid w:val="B9FD6C33"/>
    <w:rsid w:val="B9FE5813"/>
    <w:rsid w:val="BA2DF206"/>
    <w:rsid w:val="BA3A72C7"/>
    <w:rsid w:val="BA676191"/>
    <w:rsid w:val="BA7B23C6"/>
    <w:rsid w:val="BA7F1B70"/>
    <w:rsid w:val="BA8C2B6D"/>
    <w:rsid w:val="BA973B67"/>
    <w:rsid w:val="BAB8A33B"/>
    <w:rsid w:val="BABFC4C2"/>
    <w:rsid w:val="BACD904D"/>
    <w:rsid w:val="BAD27297"/>
    <w:rsid w:val="BADF9CF2"/>
    <w:rsid w:val="BAEDFE25"/>
    <w:rsid w:val="BAEFA27C"/>
    <w:rsid w:val="BAF7BA74"/>
    <w:rsid w:val="BAFD4B6D"/>
    <w:rsid w:val="BAFFDDC1"/>
    <w:rsid w:val="BB0EB0B5"/>
    <w:rsid w:val="BB3F6B52"/>
    <w:rsid w:val="BB3F868B"/>
    <w:rsid w:val="BB3F935D"/>
    <w:rsid w:val="BB6B112E"/>
    <w:rsid w:val="BB7E4CA4"/>
    <w:rsid w:val="BB7F7493"/>
    <w:rsid w:val="BB8E4307"/>
    <w:rsid w:val="BB9506E3"/>
    <w:rsid w:val="BBAF97DE"/>
    <w:rsid w:val="BBB58965"/>
    <w:rsid w:val="BBB6206F"/>
    <w:rsid w:val="BBBA9063"/>
    <w:rsid w:val="BBBB0D8D"/>
    <w:rsid w:val="BBBB1837"/>
    <w:rsid w:val="BBBBDAA0"/>
    <w:rsid w:val="BBBFDCA0"/>
    <w:rsid w:val="BBCFD00C"/>
    <w:rsid w:val="BBD72412"/>
    <w:rsid w:val="BBD7DED7"/>
    <w:rsid w:val="BBDE6E4F"/>
    <w:rsid w:val="BBDF387B"/>
    <w:rsid w:val="BBDFD1D7"/>
    <w:rsid w:val="BBDFDFF2"/>
    <w:rsid w:val="BBED9F49"/>
    <w:rsid w:val="BBEF8B38"/>
    <w:rsid w:val="BBEFB4E4"/>
    <w:rsid w:val="BBF224C2"/>
    <w:rsid w:val="BBF626CA"/>
    <w:rsid w:val="BBF71FBC"/>
    <w:rsid w:val="BBFB376F"/>
    <w:rsid w:val="BBFD02F4"/>
    <w:rsid w:val="BBFF5070"/>
    <w:rsid w:val="BBFF70C4"/>
    <w:rsid w:val="BBFFB619"/>
    <w:rsid w:val="BC6B1C45"/>
    <w:rsid w:val="BC78E516"/>
    <w:rsid w:val="BC7DAF97"/>
    <w:rsid w:val="BCB296A5"/>
    <w:rsid w:val="BCB734DF"/>
    <w:rsid w:val="BCBD6CE6"/>
    <w:rsid w:val="BCBFD70D"/>
    <w:rsid w:val="BCDF7631"/>
    <w:rsid w:val="BCE5B337"/>
    <w:rsid w:val="BCED1A3E"/>
    <w:rsid w:val="BCF53CB1"/>
    <w:rsid w:val="BCF5B3D3"/>
    <w:rsid w:val="BCF6AADF"/>
    <w:rsid w:val="BCF9C833"/>
    <w:rsid w:val="BCFBBD22"/>
    <w:rsid w:val="BCFF3120"/>
    <w:rsid w:val="BD3D4A5C"/>
    <w:rsid w:val="BD3EFF6F"/>
    <w:rsid w:val="BD530184"/>
    <w:rsid w:val="BD6BB0B7"/>
    <w:rsid w:val="BD6FC9BA"/>
    <w:rsid w:val="BD7F149F"/>
    <w:rsid w:val="BD9BF624"/>
    <w:rsid w:val="BDAEE1C3"/>
    <w:rsid w:val="BDB5FED6"/>
    <w:rsid w:val="BDB71C35"/>
    <w:rsid w:val="BDC78D14"/>
    <w:rsid w:val="BDCD54EC"/>
    <w:rsid w:val="BDDB4FED"/>
    <w:rsid w:val="BDDEDC87"/>
    <w:rsid w:val="BDE12227"/>
    <w:rsid w:val="BDE33F2A"/>
    <w:rsid w:val="BDEB2DAC"/>
    <w:rsid w:val="BDEE13A5"/>
    <w:rsid w:val="BDEF36D6"/>
    <w:rsid w:val="BDEF9D42"/>
    <w:rsid w:val="BDF80767"/>
    <w:rsid w:val="BDF93D3D"/>
    <w:rsid w:val="BDFE7752"/>
    <w:rsid w:val="BDFEA36D"/>
    <w:rsid w:val="BDFF893A"/>
    <w:rsid w:val="BDFFB22B"/>
    <w:rsid w:val="BDFFC987"/>
    <w:rsid w:val="BDFFD3C8"/>
    <w:rsid w:val="BDFFFDEA"/>
    <w:rsid w:val="BE1FD875"/>
    <w:rsid w:val="BE3FB629"/>
    <w:rsid w:val="BE4A5537"/>
    <w:rsid w:val="BE5C90F6"/>
    <w:rsid w:val="BE6B3958"/>
    <w:rsid w:val="BE6FCFD8"/>
    <w:rsid w:val="BE776805"/>
    <w:rsid w:val="BE7DC485"/>
    <w:rsid w:val="BE7E5845"/>
    <w:rsid w:val="BE7F1E2F"/>
    <w:rsid w:val="BE95F417"/>
    <w:rsid w:val="BE9FFC5C"/>
    <w:rsid w:val="BEB7437F"/>
    <w:rsid w:val="BEBCCE34"/>
    <w:rsid w:val="BEDF787C"/>
    <w:rsid w:val="BEDFAD75"/>
    <w:rsid w:val="BEDFF387"/>
    <w:rsid w:val="BEEF6470"/>
    <w:rsid w:val="BEF29E2C"/>
    <w:rsid w:val="BEF5272C"/>
    <w:rsid w:val="BEF707D9"/>
    <w:rsid w:val="BEFAB39B"/>
    <w:rsid w:val="BEFB0624"/>
    <w:rsid w:val="BEFBD037"/>
    <w:rsid w:val="BEFC48AD"/>
    <w:rsid w:val="BEFD9C53"/>
    <w:rsid w:val="BEFE4801"/>
    <w:rsid w:val="BEFF1901"/>
    <w:rsid w:val="BF0B54E3"/>
    <w:rsid w:val="BF1BF4E3"/>
    <w:rsid w:val="BF1FBF62"/>
    <w:rsid w:val="BF263AA0"/>
    <w:rsid w:val="BF3BD537"/>
    <w:rsid w:val="BF4B0B8A"/>
    <w:rsid w:val="BF4FAC5E"/>
    <w:rsid w:val="BF54A937"/>
    <w:rsid w:val="BF57407C"/>
    <w:rsid w:val="BF57CE52"/>
    <w:rsid w:val="BF5A8656"/>
    <w:rsid w:val="BF5FE0BE"/>
    <w:rsid w:val="BF68D1BA"/>
    <w:rsid w:val="BF6ED8B6"/>
    <w:rsid w:val="BF72EAAB"/>
    <w:rsid w:val="BF75A534"/>
    <w:rsid w:val="BF76C9E3"/>
    <w:rsid w:val="BF7B3D2E"/>
    <w:rsid w:val="BF7C47DD"/>
    <w:rsid w:val="BF7D40E9"/>
    <w:rsid w:val="BF7DE781"/>
    <w:rsid w:val="BF7F30B2"/>
    <w:rsid w:val="BF7F344A"/>
    <w:rsid w:val="BF7FBA55"/>
    <w:rsid w:val="BF86AFA6"/>
    <w:rsid w:val="BF9E58A3"/>
    <w:rsid w:val="BF9F0945"/>
    <w:rsid w:val="BF9F43DE"/>
    <w:rsid w:val="BFA75770"/>
    <w:rsid w:val="BFAD1A78"/>
    <w:rsid w:val="BFAF4F49"/>
    <w:rsid w:val="BFAF8639"/>
    <w:rsid w:val="BFAFE355"/>
    <w:rsid w:val="BFB2A159"/>
    <w:rsid w:val="BFB3E660"/>
    <w:rsid w:val="BFB7BD9E"/>
    <w:rsid w:val="BFBB8848"/>
    <w:rsid w:val="BFBBF3F0"/>
    <w:rsid w:val="BFBD292B"/>
    <w:rsid w:val="BFBE7819"/>
    <w:rsid w:val="BFBF6189"/>
    <w:rsid w:val="BFBF9429"/>
    <w:rsid w:val="BFBFEFF2"/>
    <w:rsid w:val="BFC71CF2"/>
    <w:rsid w:val="BFCDCDCF"/>
    <w:rsid w:val="BFD13DF5"/>
    <w:rsid w:val="BFD7F622"/>
    <w:rsid w:val="BFDCF316"/>
    <w:rsid w:val="BFDE3B53"/>
    <w:rsid w:val="BFDE83CA"/>
    <w:rsid w:val="BFDF09C9"/>
    <w:rsid w:val="BFDF1962"/>
    <w:rsid w:val="BFDF31F1"/>
    <w:rsid w:val="BFE1620F"/>
    <w:rsid w:val="BFE76A7B"/>
    <w:rsid w:val="BFE76D39"/>
    <w:rsid w:val="BFE7E983"/>
    <w:rsid w:val="BFE91B04"/>
    <w:rsid w:val="BFE96FD5"/>
    <w:rsid w:val="BFEAEB3E"/>
    <w:rsid w:val="BFEB2B96"/>
    <w:rsid w:val="BFEBB1B6"/>
    <w:rsid w:val="BFEDC5CF"/>
    <w:rsid w:val="BFEE601D"/>
    <w:rsid w:val="BFEF0D66"/>
    <w:rsid w:val="BFEF1F06"/>
    <w:rsid w:val="BFEF828A"/>
    <w:rsid w:val="BFEF936F"/>
    <w:rsid w:val="BFEF9A17"/>
    <w:rsid w:val="BFEFCDE4"/>
    <w:rsid w:val="BFEFE53D"/>
    <w:rsid w:val="BFF228A4"/>
    <w:rsid w:val="BFF23947"/>
    <w:rsid w:val="BFF3CA2B"/>
    <w:rsid w:val="BFF577DE"/>
    <w:rsid w:val="BFF5B708"/>
    <w:rsid w:val="BFF718AF"/>
    <w:rsid w:val="BFF75D45"/>
    <w:rsid w:val="BFF76BF9"/>
    <w:rsid w:val="BFF77712"/>
    <w:rsid w:val="BFF786C1"/>
    <w:rsid w:val="BFF7B4F9"/>
    <w:rsid w:val="BFF96135"/>
    <w:rsid w:val="BFF98754"/>
    <w:rsid w:val="BFFB3A2C"/>
    <w:rsid w:val="BFFB3BAF"/>
    <w:rsid w:val="BFFB4BB6"/>
    <w:rsid w:val="BFFB55BE"/>
    <w:rsid w:val="BFFBB28A"/>
    <w:rsid w:val="BFFBDB9C"/>
    <w:rsid w:val="BFFD07E7"/>
    <w:rsid w:val="BFFD157A"/>
    <w:rsid w:val="BFFE0EB5"/>
    <w:rsid w:val="BFFE2EA0"/>
    <w:rsid w:val="BFFE39C1"/>
    <w:rsid w:val="BFFE548B"/>
    <w:rsid w:val="BFFECCF2"/>
    <w:rsid w:val="BFFF300E"/>
    <w:rsid w:val="BFFF3C13"/>
    <w:rsid w:val="BFFF40BE"/>
    <w:rsid w:val="BFFF569A"/>
    <w:rsid w:val="BFFF594D"/>
    <w:rsid w:val="BFFF5DDA"/>
    <w:rsid w:val="BFFF694B"/>
    <w:rsid w:val="BFFF776E"/>
    <w:rsid w:val="BFFF8098"/>
    <w:rsid w:val="BFFF8783"/>
    <w:rsid w:val="BFFFBA42"/>
    <w:rsid w:val="BFFFD6A4"/>
    <w:rsid w:val="BFFFFC50"/>
    <w:rsid w:val="C2DF7F89"/>
    <w:rsid w:val="C33CE604"/>
    <w:rsid w:val="C3AF0DA3"/>
    <w:rsid w:val="C4BFB369"/>
    <w:rsid w:val="C4FF0CE4"/>
    <w:rsid w:val="C579880C"/>
    <w:rsid w:val="C5BFFCE6"/>
    <w:rsid w:val="C5DB5F51"/>
    <w:rsid w:val="C5F73922"/>
    <w:rsid w:val="C66C4ED2"/>
    <w:rsid w:val="C67D5DD5"/>
    <w:rsid w:val="C6DB7F3C"/>
    <w:rsid w:val="C6F7BDD8"/>
    <w:rsid w:val="C6FF181E"/>
    <w:rsid w:val="C77B0C35"/>
    <w:rsid w:val="C7B15E86"/>
    <w:rsid w:val="C7B79A2B"/>
    <w:rsid w:val="C7BF8B45"/>
    <w:rsid w:val="C7BFC767"/>
    <w:rsid w:val="C7FBCCC9"/>
    <w:rsid w:val="C8FF88EE"/>
    <w:rsid w:val="C959B0F8"/>
    <w:rsid w:val="C9B59B47"/>
    <w:rsid w:val="C9FDA2DE"/>
    <w:rsid w:val="C9FE1816"/>
    <w:rsid w:val="CACD8B27"/>
    <w:rsid w:val="CAFD6E41"/>
    <w:rsid w:val="CB5CAFD3"/>
    <w:rsid w:val="CB87E4BE"/>
    <w:rsid w:val="CB8A9995"/>
    <w:rsid w:val="CBBD67F7"/>
    <w:rsid w:val="CBCC1958"/>
    <w:rsid w:val="CBDBDCA0"/>
    <w:rsid w:val="CBDF0312"/>
    <w:rsid w:val="CBDFC864"/>
    <w:rsid w:val="CBF1E638"/>
    <w:rsid w:val="CBF91474"/>
    <w:rsid w:val="CC7D2F76"/>
    <w:rsid w:val="CCEFC354"/>
    <w:rsid w:val="CD3BC165"/>
    <w:rsid w:val="CD7339DC"/>
    <w:rsid w:val="CD971DC9"/>
    <w:rsid w:val="CDBF1759"/>
    <w:rsid w:val="CDEF25D8"/>
    <w:rsid w:val="CDEFC705"/>
    <w:rsid w:val="CDEFFC7B"/>
    <w:rsid w:val="CDF348AA"/>
    <w:rsid w:val="CDF6E25B"/>
    <w:rsid w:val="CDFFFC45"/>
    <w:rsid w:val="CE337B2C"/>
    <w:rsid w:val="CE5C7EAD"/>
    <w:rsid w:val="CE9B73B3"/>
    <w:rsid w:val="CE9E42AB"/>
    <w:rsid w:val="CEDFA300"/>
    <w:rsid w:val="CEEF8996"/>
    <w:rsid w:val="CEEFF0BE"/>
    <w:rsid w:val="CEF3B9BE"/>
    <w:rsid w:val="CEF6CB59"/>
    <w:rsid w:val="CEFB2BD0"/>
    <w:rsid w:val="CEFE5A84"/>
    <w:rsid w:val="CF37E4F5"/>
    <w:rsid w:val="CF4EE5EB"/>
    <w:rsid w:val="CF4F0728"/>
    <w:rsid w:val="CF65E85D"/>
    <w:rsid w:val="CF6B8668"/>
    <w:rsid w:val="CF6ED1E6"/>
    <w:rsid w:val="CF7E951F"/>
    <w:rsid w:val="CF7F63A7"/>
    <w:rsid w:val="CF7FBC24"/>
    <w:rsid w:val="CF8B2134"/>
    <w:rsid w:val="CF9E2995"/>
    <w:rsid w:val="CF9EA2E1"/>
    <w:rsid w:val="CF9F99FE"/>
    <w:rsid w:val="CFA5E8D6"/>
    <w:rsid w:val="CFBB9799"/>
    <w:rsid w:val="CFBD3FEE"/>
    <w:rsid w:val="CFBD68C6"/>
    <w:rsid w:val="CFDEB16F"/>
    <w:rsid w:val="CFDFCBFA"/>
    <w:rsid w:val="CFE988FA"/>
    <w:rsid w:val="CFEDEB86"/>
    <w:rsid w:val="CFEE0217"/>
    <w:rsid w:val="CFEE3EC5"/>
    <w:rsid w:val="CFEF8F14"/>
    <w:rsid w:val="CFF0424B"/>
    <w:rsid w:val="CFF3493E"/>
    <w:rsid w:val="CFF3A34D"/>
    <w:rsid w:val="CFF5B50A"/>
    <w:rsid w:val="CFF7187E"/>
    <w:rsid w:val="CFF95C14"/>
    <w:rsid w:val="CFF9A056"/>
    <w:rsid w:val="CFFA5D45"/>
    <w:rsid w:val="CFFB6DA9"/>
    <w:rsid w:val="CFFB8E5C"/>
    <w:rsid w:val="CFFDAF68"/>
    <w:rsid w:val="CFFDDC31"/>
    <w:rsid w:val="CFFDE93D"/>
    <w:rsid w:val="CFFE1B96"/>
    <w:rsid w:val="CFFE733E"/>
    <w:rsid w:val="CFFF5ECA"/>
    <w:rsid w:val="CFFF6686"/>
    <w:rsid w:val="CFFF8327"/>
    <w:rsid w:val="CFFFA2A3"/>
    <w:rsid w:val="CFFFB449"/>
    <w:rsid w:val="CFFFDFA4"/>
    <w:rsid w:val="CFFFE1FC"/>
    <w:rsid w:val="CFFFE474"/>
    <w:rsid w:val="D19F200C"/>
    <w:rsid w:val="D1F5050E"/>
    <w:rsid w:val="D26F2A66"/>
    <w:rsid w:val="D27F033A"/>
    <w:rsid w:val="D2EFABDE"/>
    <w:rsid w:val="D2F7708C"/>
    <w:rsid w:val="D2FEEF7A"/>
    <w:rsid w:val="D2FFA4DD"/>
    <w:rsid w:val="D32F543B"/>
    <w:rsid w:val="D33F4384"/>
    <w:rsid w:val="D3572405"/>
    <w:rsid w:val="D37D6192"/>
    <w:rsid w:val="D39B0B3E"/>
    <w:rsid w:val="D39F2877"/>
    <w:rsid w:val="D3AF35FE"/>
    <w:rsid w:val="D3AFA391"/>
    <w:rsid w:val="D3BF32E1"/>
    <w:rsid w:val="D3DE0E3D"/>
    <w:rsid w:val="D3DFB877"/>
    <w:rsid w:val="D3EF03BE"/>
    <w:rsid w:val="D3F73912"/>
    <w:rsid w:val="D3FA031A"/>
    <w:rsid w:val="D3FCB4AA"/>
    <w:rsid w:val="D3FF8CA8"/>
    <w:rsid w:val="D51F971A"/>
    <w:rsid w:val="D53FA898"/>
    <w:rsid w:val="D5579B9A"/>
    <w:rsid w:val="D57ED8E0"/>
    <w:rsid w:val="D59BAB66"/>
    <w:rsid w:val="D59E4D8F"/>
    <w:rsid w:val="D5DFD472"/>
    <w:rsid w:val="D5EF5336"/>
    <w:rsid w:val="D5FF8CA5"/>
    <w:rsid w:val="D5FFA8CC"/>
    <w:rsid w:val="D63FD78C"/>
    <w:rsid w:val="D65EDBB4"/>
    <w:rsid w:val="D67F85BA"/>
    <w:rsid w:val="D69139EF"/>
    <w:rsid w:val="D6AC783D"/>
    <w:rsid w:val="D6B7ECA7"/>
    <w:rsid w:val="D6C76265"/>
    <w:rsid w:val="D6CFEDE9"/>
    <w:rsid w:val="D6E2E8D5"/>
    <w:rsid w:val="D6EFAC56"/>
    <w:rsid w:val="D6F14BCC"/>
    <w:rsid w:val="D71FA419"/>
    <w:rsid w:val="D73B0ECA"/>
    <w:rsid w:val="D758B694"/>
    <w:rsid w:val="D75B21F6"/>
    <w:rsid w:val="D77BAA4C"/>
    <w:rsid w:val="D77DD20E"/>
    <w:rsid w:val="D77F13AB"/>
    <w:rsid w:val="D77F94B8"/>
    <w:rsid w:val="D77FC6E8"/>
    <w:rsid w:val="D77FE407"/>
    <w:rsid w:val="D79A7F5A"/>
    <w:rsid w:val="D79E6D61"/>
    <w:rsid w:val="D7B7C192"/>
    <w:rsid w:val="D7BB4FF8"/>
    <w:rsid w:val="D7BDB389"/>
    <w:rsid w:val="D7BEA8C4"/>
    <w:rsid w:val="D7D48270"/>
    <w:rsid w:val="D7D90616"/>
    <w:rsid w:val="D7DB1185"/>
    <w:rsid w:val="D7DBCA27"/>
    <w:rsid w:val="D7DE9044"/>
    <w:rsid w:val="D7EF9111"/>
    <w:rsid w:val="D7F5CB6F"/>
    <w:rsid w:val="D7FA2E60"/>
    <w:rsid w:val="D7FA50F5"/>
    <w:rsid w:val="D7FB0AC1"/>
    <w:rsid w:val="D7FB285D"/>
    <w:rsid w:val="D7FE6022"/>
    <w:rsid w:val="D7FF1D52"/>
    <w:rsid w:val="D7FF2BBD"/>
    <w:rsid w:val="D8B79F70"/>
    <w:rsid w:val="D8F4AFCE"/>
    <w:rsid w:val="D8FF5EB9"/>
    <w:rsid w:val="D93F194D"/>
    <w:rsid w:val="D9BFBCB3"/>
    <w:rsid w:val="D9C54A7D"/>
    <w:rsid w:val="D9DD0879"/>
    <w:rsid w:val="D9DF4BB5"/>
    <w:rsid w:val="D9E9BE1E"/>
    <w:rsid w:val="D9EFAEA8"/>
    <w:rsid w:val="D9F37916"/>
    <w:rsid w:val="D9FE1CB8"/>
    <w:rsid w:val="D9FE3050"/>
    <w:rsid w:val="D9FF81E9"/>
    <w:rsid w:val="D9FFB4B3"/>
    <w:rsid w:val="DA466B66"/>
    <w:rsid w:val="DA9EA84E"/>
    <w:rsid w:val="DAAA8266"/>
    <w:rsid w:val="DAE6FEF8"/>
    <w:rsid w:val="DAE7019F"/>
    <w:rsid w:val="DAEE44CA"/>
    <w:rsid w:val="DAF964FA"/>
    <w:rsid w:val="DAF971A3"/>
    <w:rsid w:val="DAFE9265"/>
    <w:rsid w:val="DAFF042B"/>
    <w:rsid w:val="DB061754"/>
    <w:rsid w:val="DB4E3ACC"/>
    <w:rsid w:val="DB5C9731"/>
    <w:rsid w:val="DB675040"/>
    <w:rsid w:val="DB757437"/>
    <w:rsid w:val="DB77BEE8"/>
    <w:rsid w:val="DB7B224B"/>
    <w:rsid w:val="DB7B84C2"/>
    <w:rsid w:val="DB7E905F"/>
    <w:rsid w:val="DB7FEF2E"/>
    <w:rsid w:val="DB9F6BB1"/>
    <w:rsid w:val="DBA78F5B"/>
    <w:rsid w:val="DBABD3FC"/>
    <w:rsid w:val="DBBA1174"/>
    <w:rsid w:val="DBBA4300"/>
    <w:rsid w:val="DBC95105"/>
    <w:rsid w:val="DBD30499"/>
    <w:rsid w:val="DBD6642A"/>
    <w:rsid w:val="DBD72C69"/>
    <w:rsid w:val="DBDF3D60"/>
    <w:rsid w:val="DBDFEF9A"/>
    <w:rsid w:val="DBE149CA"/>
    <w:rsid w:val="DBE71AE1"/>
    <w:rsid w:val="DBE9EAEB"/>
    <w:rsid w:val="DBF451DA"/>
    <w:rsid w:val="DBF788C9"/>
    <w:rsid w:val="DBFB0A80"/>
    <w:rsid w:val="DBFCA3A6"/>
    <w:rsid w:val="DBFE031E"/>
    <w:rsid w:val="DBFEB0F7"/>
    <w:rsid w:val="DBFFD0DC"/>
    <w:rsid w:val="DC1F41F1"/>
    <w:rsid w:val="DC47BD4C"/>
    <w:rsid w:val="DC499E94"/>
    <w:rsid w:val="DC73E7C0"/>
    <w:rsid w:val="DCCA29BC"/>
    <w:rsid w:val="DCDA81BD"/>
    <w:rsid w:val="DCE7CC34"/>
    <w:rsid w:val="DCF3D667"/>
    <w:rsid w:val="DCF9E0A6"/>
    <w:rsid w:val="DCF9EC74"/>
    <w:rsid w:val="DD3FFA4F"/>
    <w:rsid w:val="DD4E4F89"/>
    <w:rsid w:val="DD5D06F6"/>
    <w:rsid w:val="DD752330"/>
    <w:rsid w:val="DD75AB09"/>
    <w:rsid w:val="DD78F35E"/>
    <w:rsid w:val="DD8E9A36"/>
    <w:rsid w:val="DD9DD68E"/>
    <w:rsid w:val="DD9F269E"/>
    <w:rsid w:val="DDA799E3"/>
    <w:rsid w:val="DDAB7761"/>
    <w:rsid w:val="DDBEAE17"/>
    <w:rsid w:val="DDDB0E81"/>
    <w:rsid w:val="DDDF1EE8"/>
    <w:rsid w:val="DDE9DCF6"/>
    <w:rsid w:val="DDF60D2B"/>
    <w:rsid w:val="DDFA4034"/>
    <w:rsid w:val="DDFA7912"/>
    <w:rsid w:val="DDFD78CB"/>
    <w:rsid w:val="DDFDCC04"/>
    <w:rsid w:val="DDFDE0BE"/>
    <w:rsid w:val="DDFF20B2"/>
    <w:rsid w:val="DDFF3876"/>
    <w:rsid w:val="DDFF6110"/>
    <w:rsid w:val="DDFF860F"/>
    <w:rsid w:val="DE1DB247"/>
    <w:rsid w:val="DE3FFEB3"/>
    <w:rsid w:val="DE5D566F"/>
    <w:rsid w:val="DE6BD8FD"/>
    <w:rsid w:val="DE6F23C9"/>
    <w:rsid w:val="DE73807F"/>
    <w:rsid w:val="DE7BD72B"/>
    <w:rsid w:val="DE7D8EF1"/>
    <w:rsid w:val="DE7E2CEA"/>
    <w:rsid w:val="DEAE24A2"/>
    <w:rsid w:val="DEAE60D6"/>
    <w:rsid w:val="DEB573A2"/>
    <w:rsid w:val="DEBD15B4"/>
    <w:rsid w:val="DED7E6CF"/>
    <w:rsid w:val="DEDF38FC"/>
    <w:rsid w:val="DEDF7026"/>
    <w:rsid w:val="DEDF7B61"/>
    <w:rsid w:val="DEE0F759"/>
    <w:rsid w:val="DEE3242F"/>
    <w:rsid w:val="DEE70327"/>
    <w:rsid w:val="DEE760C6"/>
    <w:rsid w:val="DEE77387"/>
    <w:rsid w:val="DEE97896"/>
    <w:rsid w:val="DEEF64B8"/>
    <w:rsid w:val="DEEFC8AB"/>
    <w:rsid w:val="DEF33277"/>
    <w:rsid w:val="DEF50E27"/>
    <w:rsid w:val="DEF7187E"/>
    <w:rsid w:val="DEF8596B"/>
    <w:rsid w:val="DEFA9CA8"/>
    <w:rsid w:val="DEFB2EB9"/>
    <w:rsid w:val="DEFE032F"/>
    <w:rsid w:val="DEFE99A4"/>
    <w:rsid w:val="DEFEAC11"/>
    <w:rsid w:val="DEFF1207"/>
    <w:rsid w:val="DEFFBA26"/>
    <w:rsid w:val="DEFFC558"/>
    <w:rsid w:val="DEFFD688"/>
    <w:rsid w:val="DF1B002D"/>
    <w:rsid w:val="DF31677A"/>
    <w:rsid w:val="DF37CFB2"/>
    <w:rsid w:val="DF4BACB1"/>
    <w:rsid w:val="DF5F6944"/>
    <w:rsid w:val="DF5FF294"/>
    <w:rsid w:val="DF7356AF"/>
    <w:rsid w:val="DF77E468"/>
    <w:rsid w:val="DF792E85"/>
    <w:rsid w:val="DF79C216"/>
    <w:rsid w:val="DF79F5A5"/>
    <w:rsid w:val="DF7B607A"/>
    <w:rsid w:val="DF7D20EA"/>
    <w:rsid w:val="DF7DDA9F"/>
    <w:rsid w:val="DF7F0174"/>
    <w:rsid w:val="DF7FA107"/>
    <w:rsid w:val="DF7FC031"/>
    <w:rsid w:val="DF7FCC08"/>
    <w:rsid w:val="DF8A99D5"/>
    <w:rsid w:val="DF979AE4"/>
    <w:rsid w:val="DF9D9060"/>
    <w:rsid w:val="DFAF54B2"/>
    <w:rsid w:val="DFB39BBD"/>
    <w:rsid w:val="DFB72104"/>
    <w:rsid w:val="DFB77589"/>
    <w:rsid w:val="DFB7AF05"/>
    <w:rsid w:val="DFB9742C"/>
    <w:rsid w:val="DFBB5AD2"/>
    <w:rsid w:val="DFBF2783"/>
    <w:rsid w:val="DFBF8440"/>
    <w:rsid w:val="DFBFEEF2"/>
    <w:rsid w:val="DFCBBFF0"/>
    <w:rsid w:val="DFCD30BF"/>
    <w:rsid w:val="DFCD33C4"/>
    <w:rsid w:val="DFCDCE45"/>
    <w:rsid w:val="DFCF996B"/>
    <w:rsid w:val="DFD35C03"/>
    <w:rsid w:val="DFD5D0FE"/>
    <w:rsid w:val="DFD70026"/>
    <w:rsid w:val="DFDD06B0"/>
    <w:rsid w:val="DFDD6F0A"/>
    <w:rsid w:val="DFDDF280"/>
    <w:rsid w:val="DFDF2C69"/>
    <w:rsid w:val="DFDF6553"/>
    <w:rsid w:val="DFDF9C42"/>
    <w:rsid w:val="DFE798D5"/>
    <w:rsid w:val="DFEB814C"/>
    <w:rsid w:val="DFEF0399"/>
    <w:rsid w:val="DFEF74B7"/>
    <w:rsid w:val="DFEFD79F"/>
    <w:rsid w:val="DFEFF3EF"/>
    <w:rsid w:val="DFEFF893"/>
    <w:rsid w:val="DFF2AF48"/>
    <w:rsid w:val="DFF3B27A"/>
    <w:rsid w:val="DFF3EFA4"/>
    <w:rsid w:val="DFF417BF"/>
    <w:rsid w:val="DFF71515"/>
    <w:rsid w:val="DFF71680"/>
    <w:rsid w:val="DFF71C97"/>
    <w:rsid w:val="DFF761E3"/>
    <w:rsid w:val="DFF77E98"/>
    <w:rsid w:val="DFF7D60A"/>
    <w:rsid w:val="DFF7E9E8"/>
    <w:rsid w:val="DFF89EEC"/>
    <w:rsid w:val="DFFA6F03"/>
    <w:rsid w:val="DFFAC51A"/>
    <w:rsid w:val="DFFB2A23"/>
    <w:rsid w:val="DFFB536A"/>
    <w:rsid w:val="DFFB6278"/>
    <w:rsid w:val="DFFBB6A0"/>
    <w:rsid w:val="DFFBD85F"/>
    <w:rsid w:val="DFFC4F1A"/>
    <w:rsid w:val="DFFCD492"/>
    <w:rsid w:val="DFFD08B7"/>
    <w:rsid w:val="DFFD7599"/>
    <w:rsid w:val="DFFD826D"/>
    <w:rsid w:val="DFFDD431"/>
    <w:rsid w:val="DFFDECE7"/>
    <w:rsid w:val="DFFDFE4F"/>
    <w:rsid w:val="DFFE44F4"/>
    <w:rsid w:val="DFFE877C"/>
    <w:rsid w:val="DFFF62D3"/>
    <w:rsid w:val="DFFFA8F7"/>
    <w:rsid w:val="DFFFABEC"/>
    <w:rsid w:val="DFFFB4C4"/>
    <w:rsid w:val="DFFFB69B"/>
    <w:rsid w:val="DFFFBB8A"/>
    <w:rsid w:val="DFFFC09C"/>
    <w:rsid w:val="DFFFD5AB"/>
    <w:rsid w:val="DFFFD942"/>
    <w:rsid w:val="DFFFDE2D"/>
    <w:rsid w:val="DFFFF426"/>
    <w:rsid w:val="E0CEE6BB"/>
    <w:rsid w:val="E17F570A"/>
    <w:rsid w:val="E1B7CD3B"/>
    <w:rsid w:val="E1BF1C7D"/>
    <w:rsid w:val="E275DDC3"/>
    <w:rsid w:val="E2E6A0E5"/>
    <w:rsid w:val="E32F122A"/>
    <w:rsid w:val="E339EA7D"/>
    <w:rsid w:val="E35EE64D"/>
    <w:rsid w:val="E37E2D95"/>
    <w:rsid w:val="E3AF0ECB"/>
    <w:rsid w:val="E3CE02A5"/>
    <w:rsid w:val="E3DA3C71"/>
    <w:rsid w:val="E3DB058E"/>
    <w:rsid w:val="E3E96202"/>
    <w:rsid w:val="E3FA4E11"/>
    <w:rsid w:val="E3FB8E58"/>
    <w:rsid w:val="E4F70227"/>
    <w:rsid w:val="E4FF00D3"/>
    <w:rsid w:val="E4FF769D"/>
    <w:rsid w:val="E4FFCA18"/>
    <w:rsid w:val="E553CF8F"/>
    <w:rsid w:val="E5AF50F9"/>
    <w:rsid w:val="E5F76533"/>
    <w:rsid w:val="E5FF4937"/>
    <w:rsid w:val="E67D2243"/>
    <w:rsid w:val="E68FA0FC"/>
    <w:rsid w:val="E69FDF84"/>
    <w:rsid w:val="E6BC9CDA"/>
    <w:rsid w:val="E6D599BB"/>
    <w:rsid w:val="E6D9A9FB"/>
    <w:rsid w:val="E6DF1240"/>
    <w:rsid w:val="E6DF6ED6"/>
    <w:rsid w:val="E6E66025"/>
    <w:rsid w:val="E6FB40F2"/>
    <w:rsid w:val="E6FC0241"/>
    <w:rsid w:val="E6FE22E5"/>
    <w:rsid w:val="E6FE9AD3"/>
    <w:rsid w:val="E6FEA778"/>
    <w:rsid w:val="E6FF466C"/>
    <w:rsid w:val="E6FFE717"/>
    <w:rsid w:val="E71FD0D2"/>
    <w:rsid w:val="E72EC679"/>
    <w:rsid w:val="E7776616"/>
    <w:rsid w:val="E777C568"/>
    <w:rsid w:val="E79B1CF2"/>
    <w:rsid w:val="E7AE1202"/>
    <w:rsid w:val="E7AFA23D"/>
    <w:rsid w:val="E7BA34B9"/>
    <w:rsid w:val="E7BB4C07"/>
    <w:rsid w:val="E7BEF81D"/>
    <w:rsid w:val="E7D956F6"/>
    <w:rsid w:val="E7DAF69C"/>
    <w:rsid w:val="E7DBDFD4"/>
    <w:rsid w:val="E7DC946D"/>
    <w:rsid w:val="E7E74E47"/>
    <w:rsid w:val="E7EF1B19"/>
    <w:rsid w:val="E7EF28A6"/>
    <w:rsid w:val="E7F7DCE1"/>
    <w:rsid w:val="E7F7F05D"/>
    <w:rsid w:val="E7FBA5E5"/>
    <w:rsid w:val="E7FE471A"/>
    <w:rsid w:val="E7FEED23"/>
    <w:rsid w:val="E7FFD2ED"/>
    <w:rsid w:val="E8ADF231"/>
    <w:rsid w:val="E8BFCE1C"/>
    <w:rsid w:val="E8D683EF"/>
    <w:rsid w:val="E8FB32C1"/>
    <w:rsid w:val="E917334A"/>
    <w:rsid w:val="E91FFB18"/>
    <w:rsid w:val="E955461C"/>
    <w:rsid w:val="E979EFE6"/>
    <w:rsid w:val="E97DC07C"/>
    <w:rsid w:val="E9B65611"/>
    <w:rsid w:val="E9BFA0E8"/>
    <w:rsid w:val="E9C3A360"/>
    <w:rsid w:val="E9DDA0AE"/>
    <w:rsid w:val="E9E60176"/>
    <w:rsid w:val="E9F71EFB"/>
    <w:rsid w:val="E9F7D941"/>
    <w:rsid w:val="E9FB136A"/>
    <w:rsid w:val="EA2F33BD"/>
    <w:rsid w:val="EA67D830"/>
    <w:rsid w:val="EA777A8A"/>
    <w:rsid w:val="EA7F9025"/>
    <w:rsid w:val="EAA4B483"/>
    <w:rsid w:val="EAB7E24C"/>
    <w:rsid w:val="EABD9E46"/>
    <w:rsid w:val="EABFB1A1"/>
    <w:rsid w:val="EAC5EB9C"/>
    <w:rsid w:val="EAD698A3"/>
    <w:rsid w:val="EADF7CD1"/>
    <w:rsid w:val="EAF65C2F"/>
    <w:rsid w:val="EAF7C6E3"/>
    <w:rsid w:val="EAFF95F2"/>
    <w:rsid w:val="EB3EBB96"/>
    <w:rsid w:val="EB4FD89B"/>
    <w:rsid w:val="EB57318C"/>
    <w:rsid w:val="EB5B0FB9"/>
    <w:rsid w:val="EB68B018"/>
    <w:rsid w:val="EB6A4A48"/>
    <w:rsid w:val="EB6F515C"/>
    <w:rsid w:val="EB7ADD65"/>
    <w:rsid w:val="EB7FD5E7"/>
    <w:rsid w:val="EB7FD6F4"/>
    <w:rsid w:val="EB9AE122"/>
    <w:rsid w:val="EBBE5695"/>
    <w:rsid w:val="EBBF8CC2"/>
    <w:rsid w:val="EBD756E5"/>
    <w:rsid w:val="EBDB6120"/>
    <w:rsid w:val="EBDF9B0C"/>
    <w:rsid w:val="EBDFF293"/>
    <w:rsid w:val="EBE71684"/>
    <w:rsid w:val="EBEF8DC3"/>
    <w:rsid w:val="EBEFB017"/>
    <w:rsid w:val="EBEFD4AD"/>
    <w:rsid w:val="EBF49539"/>
    <w:rsid w:val="EBFF49DB"/>
    <w:rsid w:val="EBFF679F"/>
    <w:rsid w:val="EBFFDD10"/>
    <w:rsid w:val="EBFFF4BC"/>
    <w:rsid w:val="EC362CCB"/>
    <w:rsid w:val="EC6915C1"/>
    <w:rsid w:val="EC6B9799"/>
    <w:rsid w:val="EC7FF5EB"/>
    <w:rsid w:val="EC9D6F18"/>
    <w:rsid w:val="ECDC944D"/>
    <w:rsid w:val="ECDF144A"/>
    <w:rsid w:val="ECEB38AB"/>
    <w:rsid w:val="ECF3E6FC"/>
    <w:rsid w:val="ECFB1F42"/>
    <w:rsid w:val="ECFED6A3"/>
    <w:rsid w:val="ECFF25E9"/>
    <w:rsid w:val="ED1EDD16"/>
    <w:rsid w:val="ED2F1763"/>
    <w:rsid w:val="ED3FE7D2"/>
    <w:rsid w:val="ED77E023"/>
    <w:rsid w:val="ED7DA50B"/>
    <w:rsid w:val="ED8F10B8"/>
    <w:rsid w:val="ED9EFA22"/>
    <w:rsid w:val="EDA7467A"/>
    <w:rsid w:val="EDAB0FE4"/>
    <w:rsid w:val="EDB7AD85"/>
    <w:rsid w:val="EDBB6CD2"/>
    <w:rsid w:val="EDBEB18D"/>
    <w:rsid w:val="EDBF2BA8"/>
    <w:rsid w:val="EDBF8641"/>
    <w:rsid w:val="EDCBD82A"/>
    <w:rsid w:val="EDCD9284"/>
    <w:rsid w:val="EDCF5B90"/>
    <w:rsid w:val="EDDF6ABB"/>
    <w:rsid w:val="EDDF9CE4"/>
    <w:rsid w:val="EDDF9E37"/>
    <w:rsid w:val="EDEB78A6"/>
    <w:rsid w:val="EDEB9CF5"/>
    <w:rsid w:val="EDEFBEF4"/>
    <w:rsid w:val="EDEFCF53"/>
    <w:rsid w:val="EDEFDF24"/>
    <w:rsid w:val="EDF75E84"/>
    <w:rsid w:val="EDFA1AA9"/>
    <w:rsid w:val="EDFA537C"/>
    <w:rsid w:val="EDFBBCC1"/>
    <w:rsid w:val="EDFC7ADB"/>
    <w:rsid w:val="EDFD3F96"/>
    <w:rsid w:val="EDFF3E75"/>
    <w:rsid w:val="EDFF5C41"/>
    <w:rsid w:val="EDFF5CAE"/>
    <w:rsid w:val="EDFF7648"/>
    <w:rsid w:val="EDFFC09E"/>
    <w:rsid w:val="EE2D727B"/>
    <w:rsid w:val="EE3BF9EB"/>
    <w:rsid w:val="EE3F3EE1"/>
    <w:rsid w:val="EE4E5441"/>
    <w:rsid w:val="EE4FC2AF"/>
    <w:rsid w:val="EE5D1EB8"/>
    <w:rsid w:val="EE5FA809"/>
    <w:rsid w:val="EE6E746F"/>
    <w:rsid w:val="EE76A641"/>
    <w:rsid w:val="EE796072"/>
    <w:rsid w:val="EE7A52C3"/>
    <w:rsid w:val="EE9750D5"/>
    <w:rsid w:val="EEA7E2F7"/>
    <w:rsid w:val="EEB9EEF9"/>
    <w:rsid w:val="EEBF8AAA"/>
    <w:rsid w:val="EEDB5E6F"/>
    <w:rsid w:val="EEDF7655"/>
    <w:rsid w:val="EEE6B10C"/>
    <w:rsid w:val="EEEAF0F9"/>
    <w:rsid w:val="EEED45CF"/>
    <w:rsid w:val="EEEEBD82"/>
    <w:rsid w:val="EEEFE2E5"/>
    <w:rsid w:val="EEF373B6"/>
    <w:rsid w:val="EEFE638F"/>
    <w:rsid w:val="EEFEABAD"/>
    <w:rsid w:val="EEFF2CDC"/>
    <w:rsid w:val="EEFF636D"/>
    <w:rsid w:val="EEFFB3E3"/>
    <w:rsid w:val="EEFFD0B7"/>
    <w:rsid w:val="EF1F5FD4"/>
    <w:rsid w:val="EF2FC920"/>
    <w:rsid w:val="EF3F20CF"/>
    <w:rsid w:val="EF3F258E"/>
    <w:rsid w:val="EF3F68BE"/>
    <w:rsid w:val="EF5F79F2"/>
    <w:rsid w:val="EF5FA8B9"/>
    <w:rsid w:val="EF6E0620"/>
    <w:rsid w:val="EF7328B6"/>
    <w:rsid w:val="EF75A6C9"/>
    <w:rsid w:val="EF75CDDC"/>
    <w:rsid w:val="EF77BDF4"/>
    <w:rsid w:val="EF77D33F"/>
    <w:rsid w:val="EF7DB12B"/>
    <w:rsid w:val="EF7EB88E"/>
    <w:rsid w:val="EF7F4968"/>
    <w:rsid w:val="EF7F5970"/>
    <w:rsid w:val="EF7F8542"/>
    <w:rsid w:val="EF7FAD3B"/>
    <w:rsid w:val="EF87E4CF"/>
    <w:rsid w:val="EF9720A8"/>
    <w:rsid w:val="EF97FC7D"/>
    <w:rsid w:val="EF9A5EAC"/>
    <w:rsid w:val="EF9DED7E"/>
    <w:rsid w:val="EF9F5437"/>
    <w:rsid w:val="EF9F790E"/>
    <w:rsid w:val="EFAB3865"/>
    <w:rsid w:val="EFAD5BDB"/>
    <w:rsid w:val="EFAF2BB9"/>
    <w:rsid w:val="EFAF5CCC"/>
    <w:rsid w:val="EFBD9908"/>
    <w:rsid w:val="EFBE3306"/>
    <w:rsid w:val="EFBE870C"/>
    <w:rsid w:val="EFBE9395"/>
    <w:rsid w:val="EFBF2AE4"/>
    <w:rsid w:val="EFBF8681"/>
    <w:rsid w:val="EFBFB5FB"/>
    <w:rsid w:val="EFCEE423"/>
    <w:rsid w:val="EFD6AC06"/>
    <w:rsid w:val="EFD7052D"/>
    <w:rsid w:val="EFDA2057"/>
    <w:rsid w:val="EFDD44B4"/>
    <w:rsid w:val="EFDD684E"/>
    <w:rsid w:val="EFDE0382"/>
    <w:rsid w:val="EFDE3E4D"/>
    <w:rsid w:val="EFDEB34D"/>
    <w:rsid w:val="EFDF0B81"/>
    <w:rsid w:val="EFDF248F"/>
    <w:rsid w:val="EFDF6F8E"/>
    <w:rsid w:val="EFDF7431"/>
    <w:rsid w:val="EFE23E7A"/>
    <w:rsid w:val="EFE84D60"/>
    <w:rsid w:val="EFEA93C8"/>
    <w:rsid w:val="EFECEC2E"/>
    <w:rsid w:val="EFED42EE"/>
    <w:rsid w:val="EFED7CD4"/>
    <w:rsid w:val="EFEE36E0"/>
    <w:rsid w:val="EFEE692F"/>
    <w:rsid w:val="EFEE80A9"/>
    <w:rsid w:val="EFF6E090"/>
    <w:rsid w:val="EFF756D8"/>
    <w:rsid w:val="EFF775BE"/>
    <w:rsid w:val="EFF79695"/>
    <w:rsid w:val="EFF7A334"/>
    <w:rsid w:val="EFF7D2F1"/>
    <w:rsid w:val="EFF7F07C"/>
    <w:rsid w:val="EFF9ED86"/>
    <w:rsid w:val="EFFA923E"/>
    <w:rsid w:val="EFFBA29F"/>
    <w:rsid w:val="EFFBD547"/>
    <w:rsid w:val="EFFBFCC8"/>
    <w:rsid w:val="EFFC7ADA"/>
    <w:rsid w:val="EFFD3AAB"/>
    <w:rsid w:val="EFFE7B5E"/>
    <w:rsid w:val="EFFF297D"/>
    <w:rsid w:val="EFFF6125"/>
    <w:rsid w:val="EFFF73A4"/>
    <w:rsid w:val="EFFF8AC5"/>
    <w:rsid w:val="EFFFE502"/>
    <w:rsid w:val="EFFFE9F6"/>
    <w:rsid w:val="F03D614E"/>
    <w:rsid w:val="F03FAB88"/>
    <w:rsid w:val="F0BFB14E"/>
    <w:rsid w:val="F14E6276"/>
    <w:rsid w:val="F16ABCA9"/>
    <w:rsid w:val="F1ACAD40"/>
    <w:rsid w:val="F1AE1B4E"/>
    <w:rsid w:val="F1BE3B0E"/>
    <w:rsid w:val="F1BFD617"/>
    <w:rsid w:val="F1D7FA44"/>
    <w:rsid w:val="F1F74204"/>
    <w:rsid w:val="F25BBB64"/>
    <w:rsid w:val="F26F467B"/>
    <w:rsid w:val="F26FE63A"/>
    <w:rsid w:val="F27DEE32"/>
    <w:rsid w:val="F27FB584"/>
    <w:rsid w:val="F29725F5"/>
    <w:rsid w:val="F29BB1A6"/>
    <w:rsid w:val="F2FF2875"/>
    <w:rsid w:val="F319DA71"/>
    <w:rsid w:val="F33771A3"/>
    <w:rsid w:val="F33F020A"/>
    <w:rsid w:val="F34D94ED"/>
    <w:rsid w:val="F36919F0"/>
    <w:rsid w:val="F36A41CA"/>
    <w:rsid w:val="F36CDA4F"/>
    <w:rsid w:val="F37DE711"/>
    <w:rsid w:val="F37FB51E"/>
    <w:rsid w:val="F39B29D3"/>
    <w:rsid w:val="F3AADC90"/>
    <w:rsid w:val="F3AE4B14"/>
    <w:rsid w:val="F3B6310F"/>
    <w:rsid w:val="F3B6E70F"/>
    <w:rsid w:val="F3BF0F94"/>
    <w:rsid w:val="F3BF2102"/>
    <w:rsid w:val="F3BFD018"/>
    <w:rsid w:val="F3D6F5E8"/>
    <w:rsid w:val="F3DD6EAE"/>
    <w:rsid w:val="F3DE4711"/>
    <w:rsid w:val="F3DF17EF"/>
    <w:rsid w:val="F3E6555B"/>
    <w:rsid w:val="F3ED9AD0"/>
    <w:rsid w:val="F3EF433A"/>
    <w:rsid w:val="F3EFD891"/>
    <w:rsid w:val="F3EFEFD5"/>
    <w:rsid w:val="F3F70371"/>
    <w:rsid w:val="F3F72F98"/>
    <w:rsid w:val="F3FB3972"/>
    <w:rsid w:val="F3FB5B1F"/>
    <w:rsid w:val="F3FBBA5A"/>
    <w:rsid w:val="F3FECB14"/>
    <w:rsid w:val="F3FF26A3"/>
    <w:rsid w:val="F49A7BA5"/>
    <w:rsid w:val="F4BDDEE4"/>
    <w:rsid w:val="F4BF8D08"/>
    <w:rsid w:val="F4CB8674"/>
    <w:rsid w:val="F4CF3801"/>
    <w:rsid w:val="F4E524FE"/>
    <w:rsid w:val="F4ECACE6"/>
    <w:rsid w:val="F4F7A02A"/>
    <w:rsid w:val="F4FB14C5"/>
    <w:rsid w:val="F54FCA5D"/>
    <w:rsid w:val="F567E6E1"/>
    <w:rsid w:val="F57BEEEE"/>
    <w:rsid w:val="F57DF001"/>
    <w:rsid w:val="F57E64BA"/>
    <w:rsid w:val="F57FC667"/>
    <w:rsid w:val="F5BF9A83"/>
    <w:rsid w:val="F5C70916"/>
    <w:rsid w:val="F5DA0E4A"/>
    <w:rsid w:val="F5DC0104"/>
    <w:rsid w:val="F5DCD683"/>
    <w:rsid w:val="F5E6B51A"/>
    <w:rsid w:val="F5EDFDCE"/>
    <w:rsid w:val="F5EE545E"/>
    <w:rsid w:val="F5F8B292"/>
    <w:rsid w:val="F5FAF371"/>
    <w:rsid w:val="F5FE5ADE"/>
    <w:rsid w:val="F5FEFA87"/>
    <w:rsid w:val="F5FF3B39"/>
    <w:rsid w:val="F63F0D2F"/>
    <w:rsid w:val="F6629C2C"/>
    <w:rsid w:val="F666374E"/>
    <w:rsid w:val="F66F14BC"/>
    <w:rsid w:val="F673C6C9"/>
    <w:rsid w:val="F67A390F"/>
    <w:rsid w:val="F67B49CD"/>
    <w:rsid w:val="F67CF001"/>
    <w:rsid w:val="F69DA4BF"/>
    <w:rsid w:val="F6B3EC9D"/>
    <w:rsid w:val="F6BF7A2A"/>
    <w:rsid w:val="F6CB1586"/>
    <w:rsid w:val="F6CB8D9F"/>
    <w:rsid w:val="F6DABC6A"/>
    <w:rsid w:val="F6DDBF82"/>
    <w:rsid w:val="F6DF1EF3"/>
    <w:rsid w:val="F6DF2ECA"/>
    <w:rsid w:val="F6E79140"/>
    <w:rsid w:val="F6EF4583"/>
    <w:rsid w:val="F6EFA49F"/>
    <w:rsid w:val="F6F1732C"/>
    <w:rsid w:val="F6F50962"/>
    <w:rsid w:val="F6F66E97"/>
    <w:rsid w:val="F6FA51C8"/>
    <w:rsid w:val="F6FB503E"/>
    <w:rsid w:val="F6FDA048"/>
    <w:rsid w:val="F6FEAF79"/>
    <w:rsid w:val="F6FEB420"/>
    <w:rsid w:val="F6FF7560"/>
    <w:rsid w:val="F6FFC756"/>
    <w:rsid w:val="F71F28B6"/>
    <w:rsid w:val="F71F92BA"/>
    <w:rsid w:val="F7349C4E"/>
    <w:rsid w:val="F73BB479"/>
    <w:rsid w:val="F73CC134"/>
    <w:rsid w:val="F73DA1F0"/>
    <w:rsid w:val="F73E4AA0"/>
    <w:rsid w:val="F73F971F"/>
    <w:rsid w:val="F74FE338"/>
    <w:rsid w:val="F75F988E"/>
    <w:rsid w:val="F7655FE7"/>
    <w:rsid w:val="F76A6312"/>
    <w:rsid w:val="F773F3C2"/>
    <w:rsid w:val="F77446D2"/>
    <w:rsid w:val="F77787CC"/>
    <w:rsid w:val="F777CD3A"/>
    <w:rsid w:val="F77BCCDD"/>
    <w:rsid w:val="F77BD2A0"/>
    <w:rsid w:val="F77CB0E8"/>
    <w:rsid w:val="F77DE075"/>
    <w:rsid w:val="F77E61E5"/>
    <w:rsid w:val="F77E7D7C"/>
    <w:rsid w:val="F77E9832"/>
    <w:rsid w:val="F77F0510"/>
    <w:rsid w:val="F77F2970"/>
    <w:rsid w:val="F77F446B"/>
    <w:rsid w:val="F77F8EA8"/>
    <w:rsid w:val="F77FBBAA"/>
    <w:rsid w:val="F79A840B"/>
    <w:rsid w:val="F79B0525"/>
    <w:rsid w:val="F79C9AA2"/>
    <w:rsid w:val="F79F59AD"/>
    <w:rsid w:val="F7ACCBC7"/>
    <w:rsid w:val="F7AF577C"/>
    <w:rsid w:val="F7B453BD"/>
    <w:rsid w:val="F7B47557"/>
    <w:rsid w:val="F7B75075"/>
    <w:rsid w:val="F7BB0057"/>
    <w:rsid w:val="F7BC12CA"/>
    <w:rsid w:val="F7BD42D6"/>
    <w:rsid w:val="F7BDC51C"/>
    <w:rsid w:val="F7BE28B4"/>
    <w:rsid w:val="F7BE2905"/>
    <w:rsid w:val="F7BE63C8"/>
    <w:rsid w:val="F7BF322C"/>
    <w:rsid w:val="F7BF42A1"/>
    <w:rsid w:val="F7D69413"/>
    <w:rsid w:val="F7D6B152"/>
    <w:rsid w:val="F7D74F1D"/>
    <w:rsid w:val="F7D90325"/>
    <w:rsid w:val="F7DAB389"/>
    <w:rsid w:val="F7DD6EAA"/>
    <w:rsid w:val="F7DF0FD4"/>
    <w:rsid w:val="F7DFE3C4"/>
    <w:rsid w:val="F7E360B4"/>
    <w:rsid w:val="F7E5E82F"/>
    <w:rsid w:val="F7ED8F4A"/>
    <w:rsid w:val="F7EDC981"/>
    <w:rsid w:val="F7EE709F"/>
    <w:rsid w:val="F7EF1791"/>
    <w:rsid w:val="F7EF2770"/>
    <w:rsid w:val="F7EF3544"/>
    <w:rsid w:val="F7EF3A87"/>
    <w:rsid w:val="F7EF481C"/>
    <w:rsid w:val="F7EF58E7"/>
    <w:rsid w:val="F7EF9CEA"/>
    <w:rsid w:val="F7F43981"/>
    <w:rsid w:val="F7F44053"/>
    <w:rsid w:val="F7F51E2C"/>
    <w:rsid w:val="F7F54F89"/>
    <w:rsid w:val="F7F60427"/>
    <w:rsid w:val="F7F6803B"/>
    <w:rsid w:val="F7F725D4"/>
    <w:rsid w:val="F7F785B6"/>
    <w:rsid w:val="F7F7C4F3"/>
    <w:rsid w:val="F7F7D15A"/>
    <w:rsid w:val="F7FA3568"/>
    <w:rsid w:val="F7FA60F8"/>
    <w:rsid w:val="F7FA99C0"/>
    <w:rsid w:val="F7FAC3AA"/>
    <w:rsid w:val="F7FB222E"/>
    <w:rsid w:val="F7FB49BE"/>
    <w:rsid w:val="F7FB7E85"/>
    <w:rsid w:val="F7FB99DC"/>
    <w:rsid w:val="F7FCE29B"/>
    <w:rsid w:val="F7FD7151"/>
    <w:rsid w:val="F7FDBB6A"/>
    <w:rsid w:val="F7FE3031"/>
    <w:rsid w:val="F7FEDDBC"/>
    <w:rsid w:val="F7FEED5F"/>
    <w:rsid w:val="F7FF2F6E"/>
    <w:rsid w:val="F7FF4595"/>
    <w:rsid w:val="F7FFA6FF"/>
    <w:rsid w:val="F7FFD80C"/>
    <w:rsid w:val="F7FFE347"/>
    <w:rsid w:val="F7FFE904"/>
    <w:rsid w:val="F7FFF628"/>
    <w:rsid w:val="F85A766E"/>
    <w:rsid w:val="F874332B"/>
    <w:rsid w:val="F87FED09"/>
    <w:rsid w:val="F8B01B8E"/>
    <w:rsid w:val="F8BA8F83"/>
    <w:rsid w:val="F8C9F166"/>
    <w:rsid w:val="F8E5CFF2"/>
    <w:rsid w:val="F8E77B01"/>
    <w:rsid w:val="F8E90F96"/>
    <w:rsid w:val="F8EFBA7D"/>
    <w:rsid w:val="F91AF0ED"/>
    <w:rsid w:val="F92901DE"/>
    <w:rsid w:val="F936940D"/>
    <w:rsid w:val="F9370734"/>
    <w:rsid w:val="F9384271"/>
    <w:rsid w:val="F95FD984"/>
    <w:rsid w:val="F978A06B"/>
    <w:rsid w:val="F97D5072"/>
    <w:rsid w:val="F97F5690"/>
    <w:rsid w:val="F99A4551"/>
    <w:rsid w:val="F9A7DF77"/>
    <w:rsid w:val="F9BD2B33"/>
    <w:rsid w:val="F9BF4BDB"/>
    <w:rsid w:val="F9CFF2BC"/>
    <w:rsid w:val="F9D331E7"/>
    <w:rsid w:val="F9DBA72C"/>
    <w:rsid w:val="F9DE522D"/>
    <w:rsid w:val="F9DF7B95"/>
    <w:rsid w:val="F9DFACD3"/>
    <w:rsid w:val="F9E3F0C7"/>
    <w:rsid w:val="F9E7DEC9"/>
    <w:rsid w:val="F9E834D8"/>
    <w:rsid w:val="F9EAB413"/>
    <w:rsid w:val="F9EB97D4"/>
    <w:rsid w:val="F9ED7176"/>
    <w:rsid w:val="F9EF0391"/>
    <w:rsid w:val="F9F374CC"/>
    <w:rsid w:val="F9F530FD"/>
    <w:rsid w:val="F9F767C4"/>
    <w:rsid w:val="F9F79A03"/>
    <w:rsid w:val="F9FB104B"/>
    <w:rsid w:val="F9FB340A"/>
    <w:rsid w:val="F9FCF2F1"/>
    <w:rsid w:val="F9FECF49"/>
    <w:rsid w:val="FA3DC35D"/>
    <w:rsid w:val="FA5318CF"/>
    <w:rsid w:val="FA73F9F5"/>
    <w:rsid w:val="FA77614B"/>
    <w:rsid w:val="FA779FB1"/>
    <w:rsid w:val="FA79DC63"/>
    <w:rsid w:val="FA7F93A3"/>
    <w:rsid w:val="FA9F9319"/>
    <w:rsid w:val="FAA7987A"/>
    <w:rsid w:val="FAAB9B9E"/>
    <w:rsid w:val="FAB7D6C2"/>
    <w:rsid w:val="FABBD652"/>
    <w:rsid w:val="FACA17B6"/>
    <w:rsid w:val="FACEBBA1"/>
    <w:rsid w:val="FACF44D6"/>
    <w:rsid w:val="FADEC3B9"/>
    <w:rsid w:val="FADED106"/>
    <w:rsid w:val="FADF1FF5"/>
    <w:rsid w:val="FADF9CA9"/>
    <w:rsid w:val="FAEF941B"/>
    <w:rsid w:val="FAF70B2C"/>
    <w:rsid w:val="FAF7B697"/>
    <w:rsid w:val="FAFB137B"/>
    <w:rsid w:val="FAFB22EE"/>
    <w:rsid w:val="FAFBB7FD"/>
    <w:rsid w:val="FAFD2F2C"/>
    <w:rsid w:val="FB169936"/>
    <w:rsid w:val="FB1E520E"/>
    <w:rsid w:val="FB1F0AA0"/>
    <w:rsid w:val="FB1FDE54"/>
    <w:rsid w:val="FB2F33FB"/>
    <w:rsid w:val="FB3F4835"/>
    <w:rsid w:val="FB3FBAE4"/>
    <w:rsid w:val="FB4CB716"/>
    <w:rsid w:val="FB5770C4"/>
    <w:rsid w:val="FB582FDC"/>
    <w:rsid w:val="FB5A97E6"/>
    <w:rsid w:val="FB5BB7C5"/>
    <w:rsid w:val="FB5E9A14"/>
    <w:rsid w:val="FB64A32B"/>
    <w:rsid w:val="FB650D32"/>
    <w:rsid w:val="FB6782AB"/>
    <w:rsid w:val="FB67C763"/>
    <w:rsid w:val="FB6BB727"/>
    <w:rsid w:val="FB6EB287"/>
    <w:rsid w:val="FB736D19"/>
    <w:rsid w:val="FB773092"/>
    <w:rsid w:val="FB77D086"/>
    <w:rsid w:val="FB796768"/>
    <w:rsid w:val="FB7AEAAE"/>
    <w:rsid w:val="FB7B1B82"/>
    <w:rsid w:val="FB7E3A80"/>
    <w:rsid w:val="FB7E9353"/>
    <w:rsid w:val="FB7F9CC0"/>
    <w:rsid w:val="FB7FB39D"/>
    <w:rsid w:val="FB7FCBAF"/>
    <w:rsid w:val="FB7FE36A"/>
    <w:rsid w:val="FB8F5B2B"/>
    <w:rsid w:val="FB9E8835"/>
    <w:rsid w:val="FB9E8E42"/>
    <w:rsid w:val="FB9F154C"/>
    <w:rsid w:val="FBAA6366"/>
    <w:rsid w:val="FBAF903E"/>
    <w:rsid w:val="FBB58646"/>
    <w:rsid w:val="FBB6AADD"/>
    <w:rsid w:val="FBB95FE1"/>
    <w:rsid w:val="FBB9A329"/>
    <w:rsid w:val="FBBA94D0"/>
    <w:rsid w:val="FBBAF5C7"/>
    <w:rsid w:val="FBBC6441"/>
    <w:rsid w:val="FBBF07DA"/>
    <w:rsid w:val="FBBF7B81"/>
    <w:rsid w:val="FBBF82F8"/>
    <w:rsid w:val="FBBFC5F1"/>
    <w:rsid w:val="FBCF7AED"/>
    <w:rsid w:val="FBD3863E"/>
    <w:rsid w:val="FBD74088"/>
    <w:rsid w:val="FBD7D0C2"/>
    <w:rsid w:val="FBD9802D"/>
    <w:rsid w:val="FBDB1C68"/>
    <w:rsid w:val="FBDD403F"/>
    <w:rsid w:val="FBDDB83F"/>
    <w:rsid w:val="FBDF168B"/>
    <w:rsid w:val="FBDFDA15"/>
    <w:rsid w:val="FBE35DF6"/>
    <w:rsid w:val="FBE60FB5"/>
    <w:rsid w:val="FBE7346B"/>
    <w:rsid w:val="FBE8CBCF"/>
    <w:rsid w:val="FBECFC71"/>
    <w:rsid w:val="FBED6D1D"/>
    <w:rsid w:val="FBEDDC56"/>
    <w:rsid w:val="FBEE6BFB"/>
    <w:rsid w:val="FBEE9677"/>
    <w:rsid w:val="FBEF3460"/>
    <w:rsid w:val="FBEF461F"/>
    <w:rsid w:val="FBF35FBC"/>
    <w:rsid w:val="FBF718A8"/>
    <w:rsid w:val="FBF77695"/>
    <w:rsid w:val="FBF7D2EB"/>
    <w:rsid w:val="FBF9821F"/>
    <w:rsid w:val="FBF9EF7A"/>
    <w:rsid w:val="FBFA6024"/>
    <w:rsid w:val="FBFAD68C"/>
    <w:rsid w:val="FBFB0FE8"/>
    <w:rsid w:val="FBFB256B"/>
    <w:rsid w:val="FBFB7429"/>
    <w:rsid w:val="FBFB8EE1"/>
    <w:rsid w:val="FBFBD7A7"/>
    <w:rsid w:val="FBFBEA77"/>
    <w:rsid w:val="FBFBFF63"/>
    <w:rsid w:val="FBFCF20C"/>
    <w:rsid w:val="FBFD18D3"/>
    <w:rsid w:val="FBFD44F4"/>
    <w:rsid w:val="FBFD63E0"/>
    <w:rsid w:val="FBFDAEC8"/>
    <w:rsid w:val="FBFDB816"/>
    <w:rsid w:val="FBFE0625"/>
    <w:rsid w:val="FBFE1094"/>
    <w:rsid w:val="FBFE7D1B"/>
    <w:rsid w:val="FBFE9F58"/>
    <w:rsid w:val="FBFEC590"/>
    <w:rsid w:val="FBFF10A6"/>
    <w:rsid w:val="FBFF14AA"/>
    <w:rsid w:val="FBFF2811"/>
    <w:rsid w:val="FBFF6038"/>
    <w:rsid w:val="FBFF7218"/>
    <w:rsid w:val="FBFF959F"/>
    <w:rsid w:val="FBFFA001"/>
    <w:rsid w:val="FBFFA8D8"/>
    <w:rsid w:val="FBFFA9A3"/>
    <w:rsid w:val="FBFFC0EC"/>
    <w:rsid w:val="FBFFC1A4"/>
    <w:rsid w:val="FBFFC80D"/>
    <w:rsid w:val="FBFFD993"/>
    <w:rsid w:val="FBFFDAE3"/>
    <w:rsid w:val="FBFFEECD"/>
    <w:rsid w:val="FBFFF48B"/>
    <w:rsid w:val="FC3D6D05"/>
    <w:rsid w:val="FC3ED9C8"/>
    <w:rsid w:val="FC3F7B1B"/>
    <w:rsid w:val="FC76E483"/>
    <w:rsid w:val="FC7D7FC8"/>
    <w:rsid w:val="FC7DD7AC"/>
    <w:rsid w:val="FC7DE02C"/>
    <w:rsid w:val="FC7FA2BA"/>
    <w:rsid w:val="FC7FBF89"/>
    <w:rsid w:val="FC8F9C15"/>
    <w:rsid w:val="FC9E1D9A"/>
    <w:rsid w:val="FCB94F5F"/>
    <w:rsid w:val="FCBB0207"/>
    <w:rsid w:val="FCBE4FDA"/>
    <w:rsid w:val="FCD73D64"/>
    <w:rsid w:val="FCD7D877"/>
    <w:rsid w:val="FCDF1494"/>
    <w:rsid w:val="FCE0ACF2"/>
    <w:rsid w:val="FCEF08FA"/>
    <w:rsid w:val="FCEF532C"/>
    <w:rsid w:val="FCEF5798"/>
    <w:rsid w:val="FCEFBA61"/>
    <w:rsid w:val="FCF779BE"/>
    <w:rsid w:val="FCF7D35C"/>
    <w:rsid w:val="FCFB899F"/>
    <w:rsid w:val="FCFCD185"/>
    <w:rsid w:val="FCFEC3FB"/>
    <w:rsid w:val="FCFEFBF3"/>
    <w:rsid w:val="FCFF2A90"/>
    <w:rsid w:val="FCFF58D6"/>
    <w:rsid w:val="FD067EAE"/>
    <w:rsid w:val="FD0F9082"/>
    <w:rsid w:val="FD13036D"/>
    <w:rsid w:val="FD187A13"/>
    <w:rsid w:val="FD2FC7D5"/>
    <w:rsid w:val="FD33E495"/>
    <w:rsid w:val="FD37755A"/>
    <w:rsid w:val="FD398273"/>
    <w:rsid w:val="FD4B211C"/>
    <w:rsid w:val="FD5140B0"/>
    <w:rsid w:val="FD5671AA"/>
    <w:rsid w:val="FD5E4386"/>
    <w:rsid w:val="FD675154"/>
    <w:rsid w:val="FD6B5FEC"/>
    <w:rsid w:val="FD6F95CF"/>
    <w:rsid w:val="FD6FEC14"/>
    <w:rsid w:val="FD757F07"/>
    <w:rsid w:val="FD76F771"/>
    <w:rsid w:val="FD774A5D"/>
    <w:rsid w:val="FD774C6F"/>
    <w:rsid w:val="FD77D3D5"/>
    <w:rsid w:val="FD7A33FE"/>
    <w:rsid w:val="FD7B58C5"/>
    <w:rsid w:val="FD7BB944"/>
    <w:rsid w:val="FD7D1669"/>
    <w:rsid w:val="FD7DAFCD"/>
    <w:rsid w:val="FD7E2D5A"/>
    <w:rsid w:val="FD7E4F81"/>
    <w:rsid w:val="FD7F05C0"/>
    <w:rsid w:val="FD7F702F"/>
    <w:rsid w:val="FD7F9F98"/>
    <w:rsid w:val="FD7FC95F"/>
    <w:rsid w:val="FD7FCB9C"/>
    <w:rsid w:val="FD7FDB77"/>
    <w:rsid w:val="FD7FF03D"/>
    <w:rsid w:val="FD7FFDFF"/>
    <w:rsid w:val="FD8E7278"/>
    <w:rsid w:val="FD9B7A19"/>
    <w:rsid w:val="FD9F2478"/>
    <w:rsid w:val="FD9F942B"/>
    <w:rsid w:val="FDAFED68"/>
    <w:rsid w:val="FDBB5B15"/>
    <w:rsid w:val="FDBB6AF5"/>
    <w:rsid w:val="FDBBBF42"/>
    <w:rsid w:val="FDBD8558"/>
    <w:rsid w:val="FDBE9480"/>
    <w:rsid w:val="FDBEE1B0"/>
    <w:rsid w:val="FDBF2B7D"/>
    <w:rsid w:val="FDBF408A"/>
    <w:rsid w:val="FDBF453A"/>
    <w:rsid w:val="FDBF6551"/>
    <w:rsid w:val="FDBF89E3"/>
    <w:rsid w:val="FDBFE51C"/>
    <w:rsid w:val="FDC4A07B"/>
    <w:rsid w:val="FDC67921"/>
    <w:rsid w:val="FDD50B77"/>
    <w:rsid w:val="FDD558EE"/>
    <w:rsid w:val="FDD69082"/>
    <w:rsid w:val="FDDB537F"/>
    <w:rsid w:val="FDDB7227"/>
    <w:rsid w:val="FDDBB643"/>
    <w:rsid w:val="FDDD34C0"/>
    <w:rsid w:val="FDDDAB52"/>
    <w:rsid w:val="FDDF77BF"/>
    <w:rsid w:val="FDDFC0FC"/>
    <w:rsid w:val="FDDFDCE2"/>
    <w:rsid w:val="FDE0BFC8"/>
    <w:rsid w:val="FDE5C08D"/>
    <w:rsid w:val="FDE6EB9A"/>
    <w:rsid w:val="FDE776D3"/>
    <w:rsid w:val="FDE7ECDC"/>
    <w:rsid w:val="FDEE35A6"/>
    <w:rsid w:val="FDEF1D26"/>
    <w:rsid w:val="FDEF579F"/>
    <w:rsid w:val="FDEFB22B"/>
    <w:rsid w:val="FDEFB675"/>
    <w:rsid w:val="FDF30DA8"/>
    <w:rsid w:val="FDF42C94"/>
    <w:rsid w:val="FDF64722"/>
    <w:rsid w:val="FDF6D47E"/>
    <w:rsid w:val="FDF71198"/>
    <w:rsid w:val="FDF73798"/>
    <w:rsid w:val="FDFB1EFA"/>
    <w:rsid w:val="FDFB8419"/>
    <w:rsid w:val="FDFB897C"/>
    <w:rsid w:val="FDFB9ADE"/>
    <w:rsid w:val="FDFBC648"/>
    <w:rsid w:val="FDFCA1F5"/>
    <w:rsid w:val="FDFD5863"/>
    <w:rsid w:val="FDFD69BF"/>
    <w:rsid w:val="FDFE2755"/>
    <w:rsid w:val="FDFE35BC"/>
    <w:rsid w:val="FDFE5550"/>
    <w:rsid w:val="FDFEBA34"/>
    <w:rsid w:val="FDFF0C7A"/>
    <w:rsid w:val="FDFF1789"/>
    <w:rsid w:val="FDFF2B55"/>
    <w:rsid w:val="FDFF5E3D"/>
    <w:rsid w:val="FDFF7C38"/>
    <w:rsid w:val="FDFFB0F8"/>
    <w:rsid w:val="FDFFB8DB"/>
    <w:rsid w:val="FDFFCAEB"/>
    <w:rsid w:val="FDFFE6D9"/>
    <w:rsid w:val="FDFFFBAC"/>
    <w:rsid w:val="FE1E2050"/>
    <w:rsid w:val="FE3FDF91"/>
    <w:rsid w:val="FE592FAD"/>
    <w:rsid w:val="FE5B24BB"/>
    <w:rsid w:val="FE5F8D22"/>
    <w:rsid w:val="FE6B7D8B"/>
    <w:rsid w:val="FE6E4244"/>
    <w:rsid w:val="FE734873"/>
    <w:rsid w:val="FE734905"/>
    <w:rsid w:val="FE755D90"/>
    <w:rsid w:val="FE7AB89E"/>
    <w:rsid w:val="FE7D3BCC"/>
    <w:rsid w:val="FE7DD0C4"/>
    <w:rsid w:val="FE7E05F4"/>
    <w:rsid w:val="FE7E153B"/>
    <w:rsid w:val="FE7E7D6C"/>
    <w:rsid w:val="FE7ED471"/>
    <w:rsid w:val="FE7EE206"/>
    <w:rsid w:val="FE7F200D"/>
    <w:rsid w:val="FE7F3B2C"/>
    <w:rsid w:val="FE7FD2DC"/>
    <w:rsid w:val="FE87A795"/>
    <w:rsid w:val="FE8F3FA5"/>
    <w:rsid w:val="FE971F51"/>
    <w:rsid w:val="FEAE62A2"/>
    <w:rsid w:val="FEAEC26F"/>
    <w:rsid w:val="FEAFFD87"/>
    <w:rsid w:val="FEB67065"/>
    <w:rsid w:val="FEB69C18"/>
    <w:rsid w:val="FEBC4713"/>
    <w:rsid w:val="FEBD92B6"/>
    <w:rsid w:val="FEBE38BB"/>
    <w:rsid w:val="FEBFB53E"/>
    <w:rsid w:val="FEBFD479"/>
    <w:rsid w:val="FEBFFAF6"/>
    <w:rsid w:val="FEC385C3"/>
    <w:rsid w:val="FECDE7A6"/>
    <w:rsid w:val="FED56EBB"/>
    <w:rsid w:val="FED73258"/>
    <w:rsid w:val="FEDA24EF"/>
    <w:rsid w:val="FEDA622F"/>
    <w:rsid w:val="FEDC3BF0"/>
    <w:rsid w:val="FEDD329C"/>
    <w:rsid w:val="FEDDCCE9"/>
    <w:rsid w:val="FEDEBE33"/>
    <w:rsid w:val="FEDF0BAD"/>
    <w:rsid w:val="FEDF2C25"/>
    <w:rsid w:val="FEDF3816"/>
    <w:rsid w:val="FEDFE00D"/>
    <w:rsid w:val="FEE55629"/>
    <w:rsid w:val="FEE5E731"/>
    <w:rsid w:val="FEE7E41B"/>
    <w:rsid w:val="FEEA11AF"/>
    <w:rsid w:val="FEEF44DF"/>
    <w:rsid w:val="FEEF4741"/>
    <w:rsid w:val="FEEF9990"/>
    <w:rsid w:val="FEEFB7F5"/>
    <w:rsid w:val="FEEFD61C"/>
    <w:rsid w:val="FEF2A2AB"/>
    <w:rsid w:val="FEF38E61"/>
    <w:rsid w:val="FEF40882"/>
    <w:rsid w:val="FEF4D096"/>
    <w:rsid w:val="FEF56EB4"/>
    <w:rsid w:val="FEF77BEE"/>
    <w:rsid w:val="FEF9666C"/>
    <w:rsid w:val="FEF98296"/>
    <w:rsid w:val="FEF9E03C"/>
    <w:rsid w:val="FEFE081A"/>
    <w:rsid w:val="FEFE3615"/>
    <w:rsid w:val="FEFE5FDA"/>
    <w:rsid w:val="FEFE75FF"/>
    <w:rsid w:val="FEFF0E25"/>
    <w:rsid w:val="FEFF2B67"/>
    <w:rsid w:val="FEFF3F62"/>
    <w:rsid w:val="FEFF497A"/>
    <w:rsid w:val="FEFF5B2F"/>
    <w:rsid w:val="FEFFB710"/>
    <w:rsid w:val="FEFFCD6C"/>
    <w:rsid w:val="FEFFEB8B"/>
    <w:rsid w:val="FEFFFE63"/>
    <w:rsid w:val="FEFFFF7C"/>
    <w:rsid w:val="FF10D120"/>
    <w:rsid w:val="FF156130"/>
    <w:rsid w:val="FF1682D3"/>
    <w:rsid w:val="FF1BD6E6"/>
    <w:rsid w:val="FF1DC0EF"/>
    <w:rsid w:val="FF2DA221"/>
    <w:rsid w:val="FF359C04"/>
    <w:rsid w:val="FF3D8609"/>
    <w:rsid w:val="FF3F7AC6"/>
    <w:rsid w:val="FF3F9B95"/>
    <w:rsid w:val="FF3FB25F"/>
    <w:rsid w:val="FF3FB4EA"/>
    <w:rsid w:val="FF45A4E6"/>
    <w:rsid w:val="FF4BEC95"/>
    <w:rsid w:val="FF5405C1"/>
    <w:rsid w:val="FF55288F"/>
    <w:rsid w:val="FF5690D1"/>
    <w:rsid w:val="FF57E140"/>
    <w:rsid w:val="FF5929B2"/>
    <w:rsid w:val="FF5A2975"/>
    <w:rsid w:val="FF5BB2E8"/>
    <w:rsid w:val="FF5BD23A"/>
    <w:rsid w:val="FF5DCC39"/>
    <w:rsid w:val="FF5E47B5"/>
    <w:rsid w:val="FF5EEA5F"/>
    <w:rsid w:val="FF5F2BDD"/>
    <w:rsid w:val="FF5FEC88"/>
    <w:rsid w:val="FF674987"/>
    <w:rsid w:val="FF674C00"/>
    <w:rsid w:val="FF6ADBCF"/>
    <w:rsid w:val="FF6D51B2"/>
    <w:rsid w:val="FF6DAE0A"/>
    <w:rsid w:val="FF6DB951"/>
    <w:rsid w:val="FF6F2014"/>
    <w:rsid w:val="FF6F5158"/>
    <w:rsid w:val="FF6FC265"/>
    <w:rsid w:val="FF71C99A"/>
    <w:rsid w:val="FF736CF1"/>
    <w:rsid w:val="FF756978"/>
    <w:rsid w:val="FF7643EB"/>
    <w:rsid w:val="FF77402B"/>
    <w:rsid w:val="FF774136"/>
    <w:rsid w:val="FF7AC73C"/>
    <w:rsid w:val="FF7B8431"/>
    <w:rsid w:val="FF7B8DEC"/>
    <w:rsid w:val="FF7BA65F"/>
    <w:rsid w:val="FF7C04FD"/>
    <w:rsid w:val="FF7D1E4E"/>
    <w:rsid w:val="FF7D7F9D"/>
    <w:rsid w:val="FF7D8B52"/>
    <w:rsid w:val="FF7D9B18"/>
    <w:rsid w:val="FF7DA7C8"/>
    <w:rsid w:val="FF7DBD50"/>
    <w:rsid w:val="FF7DEF78"/>
    <w:rsid w:val="FF7DF01F"/>
    <w:rsid w:val="FF7E653C"/>
    <w:rsid w:val="FF7F0F11"/>
    <w:rsid w:val="FF7F2769"/>
    <w:rsid w:val="FF7F65FD"/>
    <w:rsid w:val="FF7FCB81"/>
    <w:rsid w:val="FF7FF2B0"/>
    <w:rsid w:val="FF7FFB4C"/>
    <w:rsid w:val="FF7FFED7"/>
    <w:rsid w:val="FF8BB37E"/>
    <w:rsid w:val="FF8EE5CB"/>
    <w:rsid w:val="FF8F2B3D"/>
    <w:rsid w:val="FF952825"/>
    <w:rsid w:val="FF9565A1"/>
    <w:rsid w:val="FF9A9164"/>
    <w:rsid w:val="FF9B7204"/>
    <w:rsid w:val="FF9E0066"/>
    <w:rsid w:val="FF9EAA29"/>
    <w:rsid w:val="FF9F91D7"/>
    <w:rsid w:val="FF9FB76F"/>
    <w:rsid w:val="FFA6850E"/>
    <w:rsid w:val="FFA94245"/>
    <w:rsid w:val="FFA9ED76"/>
    <w:rsid w:val="FFAD68A1"/>
    <w:rsid w:val="FFAF3269"/>
    <w:rsid w:val="FFAF4EE3"/>
    <w:rsid w:val="FFAF5C30"/>
    <w:rsid w:val="FFAF7522"/>
    <w:rsid w:val="FFAFA4AD"/>
    <w:rsid w:val="FFB54598"/>
    <w:rsid w:val="FFB58B2C"/>
    <w:rsid w:val="FFB6C03D"/>
    <w:rsid w:val="FFB7746A"/>
    <w:rsid w:val="FFBAF0E5"/>
    <w:rsid w:val="FFBB4D6E"/>
    <w:rsid w:val="FFBB8C46"/>
    <w:rsid w:val="FFBBBCDE"/>
    <w:rsid w:val="FFBBC48D"/>
    <w:rsid w:val="FFBC2CD7"/>
    <w:rsid w:val="FFBC4C26"/>
    <w:rsid w:val="FFBD4DB6"/>
    <w:rsid w:val="FFBDAA1C"/>
    <w:rsid w:val="FFBDF0E0"/>
    <w:rsid w:val="FFBE2E79"/>
    <w:rsid w:val="FFBE2FDF"/>
    <w:rsid w:val="FFBEF104"/>
    <w:rsid w:val="FFBF0A27"/>
    <w:rsid w:val="FFBF1CE9"/>
    <w:rsid w:val="FFBF4318"/>
    <w:rsid w:val="FFBF5775"/>
    <w:rsid w:val="FFBF7433"/>
    <w:rsid w:val="FFBFDC69"/>
    <w:rsid w:val="FFBFDE0D"/>
    <w:rsid w:val="FFBFF0FF"/>
    <w:rsid w:val="FFC09BAE"/>
    <w:rsid w:val="FFCBFC3F"/>
    <w:rsid w:val="FFCDFADC"/>
    <w:rsid w:val="FFCE46E2"/>
    <w:rsid w:val="FFCF0F43"/>
    <w:rsid w:val="FFCF2022"/>
    <w:rsid w:val="FFCF43F6"/>
    <w:rsid w:val="FFCF841C"/>
    <w:rsid w:val="FFD10C8A"/>
    <w:rsid w:val="FFD3D67B"/>
    <w:rsid w:val="FFD6C9A6"/>
    <w:rsid w:val="FFD6E28B"/>
    <w:rsid w:val="FFD700D1"/>
    <w:rsid w:val="FFD73A29"/>
    <w:rsid w:val="FFD7582C"/>
    <w:rsid w:val="FFD78FD6"/>
    <w:rsid w:val="FFD7F00F"/>
    <w:rsid w:val="FFD9EF51"/>
    <w:rsid w:val="FFD9FB4B"/>
    <w:rsid w:val="FFDA7053"/>
    <w:rsid w:val="FFDAC15B"/>
    <w:rsid w:val="FFDB14C0"/>
    <w:rsid w:val="FFDB1EAC"/>
    <w:rsid w:val="FFDB6BDA"/>
    <w:rsid w:val="FFDBCCD3"/>
    <w:rsid w:val="FFDCECCC"/>
    <w:rsid w:val="FFDD6713"/>
    <w:rsid w:val="FFDDB3FE"/>
    <w:rsid w:val="FFDE4BD3"/>
    <w:rsid w:val="FFDE60AF"/>
    <w:rsid w:val="FFDEB926"/>
    <w:rsid w:val="FFDF457B"/>
    <w:rsid w:val="FFDF737F"/>
    <w:rsid w:val="FFDFCFFC"/>
    <w:rsid w:val="FFDFD823"/>
    <w:rsid w:val="FFE5B649"/>
    <w:rsid w:val="FFE6055E"/>
    <w:rsid w:val="FFE7E2F3"/>
    <w:rsid w:val="FFE7EAEC"/>
    <w:rsid w:val="FFE94E62"/>
    <w:rsid w:val="FFE9A59C"/>
    <w:rsid w:val="FFEA055A"/>
    <w:rsid w:val="FFEA4F38"/>
    <w:rsid w:val="FFEAFC37"/>
    <w:rsid w:val="FFEB3EA5"/>
    <w:rsid w:val="FFEB794A"/>
    <w:rsid w:val="FFEB7D46"/>
    <w:rsid w:val="FFEBB45B"/>
    <w:rsid w:val="FFEBCCEF"/>
    <w:rsid w:val="FFEBD89E"/>
    <w:rsid w:val="FFEC1B8E"/>
    <w:rsid w:val="FFED14C1"/>
    <w:rsid w:val="FFED4C1D"/>
    <w:rsid w:val="FFED6E59"/>
    <w:rsid w:val="FFEDAA42"/>
    <w:rsid w:val="FFEDAB81"/>
    <w:rsid w:val="FFEEBDE7"/>
    <w:rsid w:val="FFEED634"/>
    <w:rsid w:val="FFEF57F7"/>
    <w:rsid w:val="FFEF77F4"/>
    <w:rsid w:val="FFEF801B"/>
    <w:rsid w:val="FFEFA9A9"/>
    <w:rsid w:val="FFEFB055"/>
    <w:rsid w:val="FFEFD158"/>
    <w:rsid w:val="FFEFDEB8"/>
    <w:rsid w:val="FFEFFCDE"/>
    <w:rsid w:val="FFF24305"/>
    <w:rsid w:val="FFF338AF"/>
    <w:rsid w:val="FFF3A4B6"/>
    <w:rsid w:val="FFF56C20"/>
    <w:rsid w:val="FFF57948"/>
    <w:rsid w:val="FFF58100"/>
    <w:rsid w:val="FFF5DD93"/>
    <w:rsid w:val="FFF643ED"/>
    <w:rsid w:val="FFF747D9"/>
    <w:rsid w:val="FFF7727E"/>
    <w:rsid w:val="FFF7DC7E"/>
    <w:rsid w:val="FFF7E5F6"/>
    <w:rsid w:val="FFF7FA6D"/>
    <w:rsid w:val="FFF8CB43"/>
    <w:rsid w:val="FFF96BFA"/>
    <w:rsid w:val="FFF9956C"/>
    <w:rsid w:val="FFFA3E3C"/>
    <w:rsid w:val="FFFA50FD"/>
    <w:rsid w:val="FFFB19A2"/>
    <w:rsid w:val="FFFB5FD7"/>
    <w:rsid w:val="FFFB7E8A"/>
    <w:rsid w:val="FFFB9200"/>
    <w:rsid w:val="FFFBB584"/>
    <w:rsid w:val="FFFBDEB1"/>
    <w:rsid w:val="FFFBEE38"/>
    <w:rsid w:val="FFFBF823"/>
    <w:rsid w:val="FFFC2C9B"/>
    <w:rsid w:val="FFFC2E9F"/>
    <w:rsid w:val="FFFCE206"/>
    <w:rsid w:val="FFFD1BDC"/>
    <w:rsid w:val="FFFD2266"/>
    <w:rsid w:val="FFFD4DB7"/>
    <w:rsid w:val="FFFD5251"/>
    <w:rsid w:val="FFFD6735"/>
    <w:rsid w:val="FFFD6CB9"/>
    <w:rsid w:val="FFFD891C"/>
    <w:rsid w:val="FFFD91DD"/>
    <w:rsid w:val="FFFD92EA"/>
    <w:rsid w:val="FFFDB112"/>
    <w:rsid w:val="FFFDB656"/>
    <w:rsid w:val="FFFE06CE"/>
    <w:rsid w:val="FFFE2EC8"/>
    <w:rsid w:val="FFFEA237"/>
    <w:rsid w:val="FFFEBE54"/>
    <w:rsid w:val="FFFEBE88"/>
    <w:rsid w:val="FFFEC129"/>
    <w:rsid w:val="FFFED653"/>
    <w:rsid w:val="FFFEF309"/>
    <w:rsid w:val="FFFEF5CE"/>
    <w:rsid w:val="FFFF08D5"/>
    <w:rsid w:val="FFFF0AF6"/>
    <w:rsid w:val="FFFF0EB9"/>
    <w:rsid w:val="FFFF15E6"/>
    <w:rsid w:val="FFFF1FA8"/>
    <w:rsid w:val="FFFF21DF"/>
    <w:rsid w:val="FFFF24FD"/>
    <w:rsid w:val="FFFF29B8"/>
    <w:rsid w:val="FFFF425E"/>
    <w:rsid w:val="FFFF474D"/>
    <w:rsid w:val="FFFF6043"/>
    <w:rsid w:val="FFFF76DC"/>
    <w:rsid w:val="FFFF8823"/>
    <w:rsid w:val="FFFF91E9"/>
    <w:rsid w:val="FFFF94CB"/>
    <w:rsid w:val="FFFF9AFC"/>
    <w:rsid w:val="FFFF9BE3"/>
    <w:rsid w:val="FFFF9D35"/>
    <w:rsid w:val="FFFF9DAE"/>
    <w:rsid w:val="FFFF9F41"/>
    <w:rsid w:val="FFFFA8E5"/>
    <w:rsid w:val="FFFFB1F0"/>
    <w:rsid w:val="FFFFB916"/>
    <w:rsid w:val="FFFFBC51"/>
    <w:rsid w:val="FFFFC58A"/>
    <w:rsid w:val="FFFFCB60"/>
    <w:rsid w:val="FFFFD95C"/>
    <w:rsid w:val="FFFFE0D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8"/>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character" w:default="1" w:styleId="16">
    <w:name w:val="Default Paragraph Font"/>
    <w:unhideWhenUsed/>
    <w:qFormat/>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ascii="Calibri" w:hAnsi="Calibri" w:cs="Arial"/>
      <w:kern w:val="2"/>
      <w:sz w:val="21"/>
      <w:szCs w:val="22"/>
    </w:rPr>
    <w:tblPr>
      <w:tblCellMar>
        <w:top w:w="0" w:type="dxa"/>
        <w:left w:w="108" w:type="dxa"/>
        <w:bottom w:w="0" w:type="dxa"/>
        <w:right w:w="108" w:type="dxa"/>
      </w:tblCellMar>
    </w:tblPr>
  </w:style>
  <w:style w:type="paragraph" w:styleId="3">
    <w:name w:val="annotation text"/>
    <w:basedOn w:val="1"/>
    <w:link w:val="21"/>
    <w:unhideWhenUsed/>
    <w:qFormat/>
    <w:uiPriority w:val="99"/>
    <w:pPr>
      <w:jc w:val="left"/>
    </w:pPr>
  </w:style>
  <w:style w:type="paragraph" w:styleId="4">
    <w:name w:val="Body Text"/>
    <w:basedOn w:val="1"/>
    <w:qFormat/>
    <w:uiPriority w:val="0"/>
  </w:style>
  <w:style w:type="paragraph" w:styleId="5">
    <w:name w:val="Plain Text"/>
    <w:basedOn w:val="1"/>
    <w:link w:val="22"/>
    <w:qFormat/>
    <w:uiPriority w:val="99"/>
    <w:rPr>
      <w:rFonts w:ascii="宋体" w:hAnsi="Courier New" w:eastAsia="宋体" w:cs="Times New Roman"/>
      <w:sz w:val="21"/>
      <w:szCs w:val="21"/>
    </w:rPr>
  </w:style>
  <w:style w:type="paragraph" w:styleId="6">
    <w:name w:val="Date"/>
    <w:basedOn w:val="1"/>
    <w:next w:val="1"/>
    <w:link w:val="23"/>
    <w:qFormat/>
    <w:uiPriority w:val="0"/>
    <w:rPr>
      <w:rFonts w:cs="Times New Roman"/>
      <w:kern w:val="0"/>
    </w:rPr>
  </w:style>
  <w:style w:type="paragraph" w:styleId="7">
    <w:name w:val="Balloon Text"/>
    <w:basedOn w:val="1"/>
    <w:link w:val="24"/>
    <w:unhideWhenUsed/>
    <w:qFormat/>
    <w:uiPriority w:val="99"/>
    <w:rPr>
      <w:rFonts w:ascii="宋体" w:eastAsia="宋体"/>
      <w:sz w:val="18"/>
      <w:szCs w:val="18"/>
    </w:rPr>
  </w:style>
  <w:style w:type="paragraph" w:styleId="8">
    <w:name w:val="footer"/>
    <w:basedOn w:val="1"/>
    <w:link w:val="25"/>
    <w:unhideWhenUsed/>
    <w:qFormat/>
    <w:uiPriority w:val="99"/>
    <w:pPr>
      <w:tabs>
        <w:tab w:val="center" w:pos="4153"/>
        <w:tab w:val="right" w:pos="8306"/>
      </w:tabs>
      <w:snapToGrid w:val="0"/>
      <w:jc w:val="left"/>
    </w:pPr>
    <w:rPr>
      <w:rFonts w:eastAsia="宋体" w:cs="Times New Roman"/>
      <w:kern w:val="0"/>
      <w:sz w:val="18"/>
      <w:szCs w:val="18"/>
    </w:rPr>
  </w:style>
  <w:style w:type="paragraph" w:styleId="9">
    <w:name w:val="header"/>
    <w:basedOn w:val="1"/>
    <w:link w:val="26"/>
    <w:unhideWhenUsed/>
    <w:qFormat/>
    <w:uiPriority w:val="99"/>
    <w:pPr>
      <w:pBdr>
        <w:bottom w:val="single" w:color="auto" w:sz="6" w:space="1"/>
      </w:pBdr>
      <w:tabs>
        <w:tab w:val="center" w:pos="4153"/>
        <w:tab w:val="right" w:pos="8306"/>
      </w:tabs>
      <w:snapToGrid w:val="0"/>
      <w:jc w:val="center"/>
    </w:pPr>
    <w:rPr>
      <w:rFonts w:eastAsia="宋体" w:cs="Times New Roman"/>
      <w:kern w:val="0"/>
      <w:sz w:val="18"/>
      <w:szCs w:val="18"/>
    </w:rPr>
  </w:style>
  <w:style w:type="paragraph" w:styleId="10">
    <w:name w:val="Body Text 2"/>
    <w:basedOn w:val="1"/>
    <w:link w:val="27"/>
    <w:qFormat/>
    <w:uiPriority w:val="0"/>
    <w:pPr>
      <w:autoSpaceDE w:val="0"/>
      <w:autoSpaceDN w:val="0"/>
      <w:adjustRightInd w:val="0"/>
      <w:spacing w:line="520" w:lineRule="exact"/>
      <w:jc w:val="center"/>
    </w:pPr>
    <w:rPr>
      <w:rFonts w:ascii="楷体_GB2312" w:eastAsia="楷体_GB2312" w:cs="Times New Roman"/>
      <w:kern w:val="0"/>
      <w:sz w:val="44"/>
      <w:szCs w:val="32"/>
      <w:lang w:val="zh-CN"/>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3"/>
    <w:next w:val="3"/>
    <w:link w:val="28"/>
    <w:unhideWhenUsed/>
    <w:qFormat/>
    <w:uiPriority w:val="99"/>
    <w:rPr>
      <w:b/>
      <w:bCs/>
    </w:rPr>
  </w:style>
  <w:style w:type="paragraph" w:styleId="13">
    <w:name w:val="Body Text First Indent 2"/>
    <w:basedOn w:val="4"/>
    <w:qFormat/>
    <w:uiPriority w:val="0"/>
    <w:pPr>
      <w:widowControl w:val="0"/>
      <w:ind w:firstLine="880" w:firstLineChars="200"/>
      <w:jc w:val="both"/>
    </w:pPr>
    <w:rPr>
      <w:rFonts w:ascii="Times New Roman" w:hAnsi="Times New Roman" w:eastAsia="宋体" w:cs="Times New Roman"/>
      <w:kern w:val="2"/>
      <w:sz w:val="21"/>
      <w:szCs w:val="24"/>
      <w:lang w:val="en-US" w:eastAsia="zh-CN" w:bidi="ar-SA"/>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unhideWhenUsed/>
    <w:qFormat/>
    <w:uiPriority w:val="99"/>
    <w:rPr>
      <w:color w:val="0000FF"/>
      <w:u w:val="single"/>
    </w:rPr>
  </w:style>
  <w:style w:type="character" w:styleId="19">
    <w:name w:val="annotation reference"/>
    <w:unhideWhenUsed/>
    <w:qFormat/>
    <w:uiPriority w:val="99"/>
    <w:rPr>
      <w:sz w:val="21"/>
      <w:szCs w:val="21"/>
    </w:rPr>
  </w:style>
  <w:style w:type="character" w:customStyle="1" w:styleId="20">
    <w:name w:val="标题 1字符"/>
    <w:link w:val="2"/>
    <w:qFormat/>
    <w:uiPriority w:val="9"/>
    <w:rPr>
      <w:rFonts w:eastAsia="仿宋_GB2312"/>
      <w:b/>
      <w:bCs/>
      <w:kern w:val="44"/>
      <w:sz w:val="44"/>
      <w:szCs w:val="44"/>
    </w:rPr>
  </w:style>
  <w:style w:type="character" w:customStyle="1" w:styleId="21">
    <w:name w:val="批注文字字符"/>
    <w:link w:val="3"/>
    <w:semiHidden/>
    <w:qFormat/>
    <w:uiPriority w:val="99"/>
    <w:rPr>
      <w:rFonts w:eastAsia="仿宋_GB2312"/>
      <w:kern w:val="2"/>
      <w:sz w:val="28"/>
    </w:rPr>
  </w:style>
  <w:style w:type="character" w:customStyle="1" w:styleId="22">
    <w:name w:val="纯文本字符"/>
    <w:link w:val="5"/>
    <w:qFormat/>
    <w:uiPriority w:val="99"/>
    <w:rPr>
      <w:rFonts w:ascii="宋体" w:hAnsi="Courier New" w:cs="Courier New"/>
      <w:kern w:val="2"/>
      <w:sz w:val="21"/>
      <w:szCs w:val="21"/>
    </w:rPr>
  </w:style>
  <w:style w:type="character" w:customStyle="1" w:styleId="23">
    <w:name w:val="日期字符"/>
    <w:link w:val="6"/>
    <w:qFormat/>
    <w:uiPriority w:val="0"/>
    <w:rPr>
      <w:rFonts w:ascii="Times New Roman" w:hAnsi="Times New Roman" w:eastAsia="仿宋_GB2312" w:cs="Times New Roman"/>
      <w:sz w:val="28"/>
      <w:szCs w:val="20"/>
    </w:rPr>
  </w:style>
  <w:style w:type="character" w:customStyle="1" w:styleId="24">
    <w:name w:val="批注框文本字符"/>
    <w:link w:val="7"/>
    <w:semiHidden/>
    <w:qFormat/>
    <w:uiPriority w:val="99"/>
    <w:rPr>
      <w:rFonts w:ascii="宋体"/>
      <w:kern w:val="2"/>
      <w:sz w:val="18"/>
      <w:szCs w:val="18"/>
    </w:rPr>
  </w:style>
  <w:style w:type="character" w:customStyle="1" w:styleId="25">
    <w:name w:val="页脚字符"/>
    <w:link w:val="8"/>
    <w:semiHidden/>
    <w:qFormat/>
    <w:uiPriority w:val="99"/>
    <w:rPr>
      <w:sz w:val="18"/>
      <w:szCs w:val="18"/>
    </w:rPr>
  </w:style>
  <w:style w:type="character" w:customStyle="1" w:styleId="26">
    <w:name w:val="页眉字符"/>
    <w:link w:val="9"/>
    <w:semiHidden/>
    <w:qFormat/>
    <w:uiPriority w:val="99"/>
    <w:rPr>
      <w:sz w:val="18"/>
      <w:szCs w:val="18"/>
    </w:rPr>
  </w:style>
  <w:style w:type="character" w:customStyle="1" w:styleId="27">
    <w:name w:val="正文文本 2字符"/>
    <w:link w:val="10"/>
    <w:qFormat/>
    <w:uiPriority w:val="0"/>
    <w:rPr>
      <w:rFonts w:ascii="楷体_GB2312" w:hAnsi="Times New Roman" w:eastAsia="楷体_GB2312"/>
      <w:sz w:val="44"/>
      <w:szCs w:val="32"/>
      <w:lang w:val="zh-CN"/>
    </w:rPr>
  </w:style>
  <w:style w:type="character" w:customStyle="1" w:styleId="28">
    <w:name w:val="批注主题字符"/>
    <w:link w:val="12"/>
    <w:semiHidden/>
    <w:qFormat/>
    <w:uiPriority w:val="99"/>
    <w:rPr>
      <w:rFonts w:eastAsia="仿宋_GB2312"/>
      <w:b/>
      <w:bCs/>
      <w:kern w:val="2"/>
      <w:sz w:val="28"/>
    </w:rPr>
  </w:style>
  <w:style w:type="character" w:customStyle="1" w:styleId="29">
    <w:name w:val="16"/>
    <w:qFormat/>
    <w:uiPriority w:val="0"/>
    <w:rPr>
      <w:rFonts w:hint="default" w:ascii="Times New Roman" w:hAnsi="Times New Roman" w:cs="Times New Roman"/>
      <w:color w:val="0000FF"/>
      <w:u w:val="single"/>
    </w:rPr>
  </w:style>
  <w:style w:type="paragraph" w:customStyle="1" w:styleId="30">
    <w:name w:val="p2"/>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1">
    <w:name w:val="10"/>
    <w:basedOn w:val="16"/>
    <w:uiPriority w:val="0"/>
    <w:rPr>
      <w:rFonts w:hint="default" w:ascii="Times New Roman" w:hAnsi="Times New Roman" w:cs="Times New Roman"/>
    </w:rPr>
  </w:style>
  <w:style w:type="character" w:customStyle="1" w:styleId="32">
    <w:name w:val="15"/>
    <w:basedOn w:val="16"/>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1642</Words>
  <Characters>9362</Characters>
  <Lines>1</Lines>
  <Paragraphs>1</Paragraphs>
  <TotalTime>68</TotalTime>
  <ScaleCrop>false</ScaleCrop>
  <LinksUpToDate>false</LinksUpToDate>
  <CharactersWithSpaces>10983</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2020-11-16T01:16:00Z</dcterms:created>
  <dc:creator>hp</dc:creator>
  <cp:lastModifiedBy>民三庭信箱</cp:lastModifiedBy>
  <cp:lastPrinted>2021-12-20T17:43:00Z</cp:lastPrinted>
  <dcterms:modified xsi:type="dcterms:W3CDTF">2026-06-11T15:42:48Z</dcterms:modified>
  <dc:titl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2C8722D9CE89E9007FC0406561A14831</vt:lpwstr>
  </property>
</Properties>
</file>