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hint="default" w:ascii="Times New Roman" w:hAnsi="Times New Roman" w:eastAsia="华文中宋" w:cs="Times New Roman"/>
          <w:spacing w:val="20"/>
          <w:sz w:val="52"/>
        </w:rPr>
      </w:pPr>
      <w:r>
        <w:rPr>
          <w:rFonts w:hint="default" w:ascii="Times New Roman" w:hAnsi="Times New Roman" w:eastAsia="华文中宋" w:cs="Times New Roman"/>
          <w:spacing w:val="20"/>
          <w:sz w:val="44"/>
        </w:rPr>
        <w:t>浙 江 省 高 级 人 民 法 院</w:t>
      </w:r>
    </w:p>
    <w:p>
      <w:pPr>
        <w:spacing w:line="840" w:lineRule="exact"/>
        <w:jc w:val="center"/>
        <w:rPr>
          <w:rFonts w:hint="default" w:ascii="Times New Roman" w:hAnsi="Times New Roman" w:eastAsia="华文中宋" w:cs="Times New Roman"/>
          <w:sz w:val="52"/>
        </w:rPr>
      </w:pPr>
      <w:r>
        <w:rPr>
          <w:rFonts w:hint="default" w:ascii="Times New Roman" w:hAnsi="Times New Roman" w:eastAsia="华文中宋" w:cs="Times New Roman"/>
          <w:spacing w:val="240"/>
          <w:sz w:val="52"/>
        </w:rPr>
        <w:t>民事判决</w:t>
      </w:r>
      <w:r>
        <w:rPr>
          <w:rFonts w:hint="default" w:ascii="Times New Roman" w:hAnsi="Times New Roman" w:eastAsia="华文中宋" w:cs="Times New Roman"/>
          <w:sz w:val="52"/>
        </w:rPr>
        <w:t>书</w:t>
      </w:r>
    </w:p>
    <w:p>
      <w:pPr>
        <w:spacing w:line="780" w:lineRule="exact"/>
        <w:rPr>
          <w:rFonts w:hint="default" w:ascii="Times New Roman" w:hAnsi="Times New Roman" w:cs="Times New Roman"/>
          <w:sz w:val="32"/>
        </w:rPr>
      </w:pPr>
      <w:r>
        <w:rPr>
          <w:rFonts w:hint="default" w:ascii="Times New Roman" w:hAnsi="Times New Roman" w:cs="Times New Roman"/>
          <w:sz w:val="32"/>
        </w:rPr>
        <w:t xml:space="preserve"> </w:t>
      </w:r>
    </w:p>
    <w:p>
      <w:pPr>
        <w:spacing w:line="592" w:lineRule="exact"/>
        <w:ind w:left="-135" w:leftChars="-50" w:right="-135" w:rightChars="-50" w:firstLine="5741" w:firstLineChars="1852"/>
        <w:rPr>
          <w:rFonts w:hint="default" w:ascii="Times New Roman" w:hAnsi="Times New Roman" w:cs="Times New Roman"/>
          <w:bCs/>
          <w:snapToGrid w:val="0"/>
          <w:kern w:val="0"/>
          <w:sz w:val="32"/>
        </w:rPr>
      </w:pPr>
      <w:r>
        <w:rPr>
          <w:rFonts w:hint="default" w:ascii="Times New Roman" w:hAnsi="Times New Roman" w:cs="Times New Roman"/>
          <w:bCs/>
          <w:snapToGrid w:val="0"/>
          <w:kern w:val="0"/>
          <w:sz w:val="32"/>
        </w:rPr>
        <w:t>（202</w:t>
      </w:r>
      <w:r>
        <w:rPr>
          <w:rFonts w:hint="default" w:ascii="Times New Roman" w:hAnsi="Times New Roman" w:cs="Times New Roman"/>
          <w:bCs/>
          <w:snapToGrid w:val="0"/>
          <w:kern w:val="0"/>
          <w:sz w:val="32"/>
          <w:lang w:val="en"/>
        </w:rPr>
        <w:t>3</w:t>
      </w:r>
      <w:r>
        <w:rPr>
          <w:rFonts w:hint="default" w:ascii="Times New Roman" w:hAnsi="Times New Roman" w:cs="Times New Roman"/>
          <w:bCs/>
          <w:snapToGrid w:val="0"/>
          <w:kern w:val="0"/>
          <w:sz w:val="32"/>
        </w:rPr>
        <w:t>）浙民终</w:t>
      </w:r>
      <w:r>
        <w:rPr>
          <w:rFonts w:hint="eastAsia" w:cs="Times New Roman"/>
          <w:bCs/>
          <w:snapToGrid w:val="0"/>
          <w:kern w:val="0"/>
          <w:sz w:val="32"/>
          <w:lang w:val="en-US" w:eastAsia="zh-CN"/>
        </w:rPr>
        <w:t>268</w:t>
      </w:r>
      <w:r>
        <w:rPr>
          <w:rFonts w:hint="default" w:ascii="Times New Roman" w:hAnsi="Times New Roman" w:cs="Times New Roman"/>
          <w:bCs/>
          <w:snapToGrid w:val="0"/>
          <w:kern w:val="0"/>
          <w:sz w:val="32"/>
        </w:rPr>
        <w:t>号</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上诉人（原审被告）：深圳市慕向科技有限公司，住所地广东省深圳市龙岗区宝龙街道龙东社区深汕路（龙岗段）292号银龙工业区A区A2厂房A302。</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法定代表人：麦康泉。</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委托诉讼代理人：胡学鹏，浙江知享律师事务所律师。</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委托诉讼代理人：戴文天，浙江知享律师事务所律师。</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被上诉人（原审原告）：深圳市嘉玺科技有限</w:t>
      </w:r>
      <w:bookmarkStart w:id="0" w:name="_GoBack"/>
      <w:bookmarkEnd w:id="0"/>
      <w:r>
        <w:rPr>
          <w:rFonts w:hint="eastAsia" w:ascii="仿宋_GB2312" w:eastAsia="仿宋_GB2312"/>
          <w:sz w:val="32"/>
          <w:szCs w:val="32"/>
        </w:rPr>
        <w:t>公司，住所地广东省深圳市龙岗区坂田街道布龙路侨联西八巷8号202。</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法定代表人：张琰。</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上诉人深圳市慕向科技有限公司（以下简称慕向公司）因与被上诉人深圳市嘉玺科技有限公司（以下简称嘉玺公司）侵害外观设计专利权纠纷一案，不服浙江省杭州市中级人民法院（2022）浙01民初1601号民事判决，向本院提起上诉。本院于2023年3月1日立案受理后，依法组成合议庭进行了审理。本案现已审理终结。</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慕向公司上诉请求：撤销一审判决，依法改判支持</w:t>
      </w:r>
      <w:r>
        <w:rPr>
          <w:rFonts w:hint="eastAsia" w:ascii="仿宋_GB2312" w:eastAsia="仿宋_GB2312"/>
          <w:sz w:val="32"/>
          <w:szCs w:val="32"/>
          <w:lang w:eastAsia="zh-CN"/>
        </w:rPr>
        <w:t>其</w:t>
      </w:r>
      <w:r>
        <w:rPr>
          <w:rFonts w:hint="eastAsia" w:ascii="仿宋_GB2312" w:eastAsia="仿宋_GB2312"/>
          <w:sz w:val="32"/>
          <w:szCs w:val="32"/>
        </w:rPr>
        <w:t>一审全部</w:t>
      </w:r>
      <w:r>
        <w:rPr>
          <w:rFonts w:hint="eastAsia" w:ascii="仿宋_GB2312" w:eastAsia="仿宋_GB2312"/>
          <w:sz w:val="32"/>
          <w:szCs w:val="32"/>
          <w:lang w:eastAsia="zh-CN"/>
        </w:rPr>
        <w:t>诉讼请求</w:t>
      </w:r>
      <w:r>
        <w:rPr>
          <w:rFonts w:hint="eastAsia" w:ascii="仿宋_GB2312" w:eastAsia="仿宋_GB2312"/>
          <w:sz w:val="32"/>
          <w:szCs w:val="32"/>
        </w:rPr>
        <w:t>；一、二审诉讼费由嘉玺公司承担。事实和理由：一审法院认为被诉侵权产品未落入涉案专利</w:t>
      </w:r>
      <w:r>
        <w:rPr>
          <w:rFonts w:hint="eastAsia" w:ascii="仿宋_GB2312" w:eastAsia="仿宋_GB2312"/>
          <w:sz w:val="32"/>
          <w:szCs w:val="32"/>
          <w:lang w:eastAsia="zh-CN"/>
        </w:rPr>
        <w:t>权</w:t>
      </w:r>
      <w:r>
        <w:rPr>
          <w:rFonts w:hint="eastAsia" w:ascii="仿宋_GB2312" w:eastAsia="仿宋_GB2312"/>
          <w:sz w:val="32"/>
          <w:szCs w:val="32"/>
        </w:rPr>
        <w:t>保护范围错误。1.国家知识产权局无效宣告请求审查决定书明确涉案专利</w:t>
      </w:r>
      <w:r>
        <w:rPr>
          <w:rFonts w:hint="eastAsia" w:ascii="仿宋_GB2312" w:eastAsia="仿宋_GB2312"/>
          <w:sz w:val="32"/>
          <w:szCs w:val="32"/>
          <w:lang w:eastAsia="zh-CN"/>
        </w:rPr>
        <w:t>有</w:t>
      </w:r>
      <w:r>
        <w:rPr>
          <w:rFonts w:hint="eastAsia" w:ascii="仿宋_GB2312" w:eastAsia="仿宋_GB2312"/>
          <w:sz w:val="32"/>
          <w:szCs w:val="32"/>
        </w:rPr>
        <w:t>视窗设置，即为内部可视的透明凸起设计</w:t>
      </w:r>
      <w:r>
        <w:rPr>
          <w:rFonts w:hint="eastAsia" w:ascii="仿宋_GB2312" w:eastAsia="仿宋_GB2312"/>
          <w:sz w:val="32"/>
          <w:szCs w:val="32"/>
          <w:lang w:eastAsia="zh-CN"/>
        </w:rPr>
        <w:t>，</w:t>
      </w:r>
      <w:r>
        <w:rPr>
          <w:rFonts w:hint="eastAsia" w:ascii="仿宋_GB2312" w:eastAsia="仿宋_GB2312"/>
          <w:sz w:val="32"/>
          <w:szCs w:val="32"/>
        </w:rPr>
        <w:t>且圆形视窗无论透明或者不透明，仅属于材料的选择和变换，未导致产品外观设计发生明显变化，侵权比对时应当不予考虑。2.被诉侵权产品通过透明材料透射出来的内部图案仅仅覆盖</w:t>
      </w:r>
      <w:r>
        <w:rPr>
          <w:rFonts w:hint="eastAsia" w:ascii="仿宋_GB2312" w:eastAsia="仿宋_GB2312"/>
          <w:sz w:val="32"/>
          <w:szCs w:val="32"/>
          <w:lang w:eastAsia="zh-CN"/>
        </w:rPr>
        <w:t>主</w:t>
      </w:r>
      <w:r>
        <w:rPr>
          <w:rFonts w:hint="eastAsia" w:ascii="仿宋_GB2312" w:eastAsia="仿宋_GB2312"/>
          <w:sz w:val="32"/>
          <w:szCs w:val="32"/>
        </w:rPr>
        <w:t>视图所见的内表面，并未涉及视窗的整体形状、轮廓，尤其从侧视图</w:t>
      </w:r>
      <w:r>
        <w:rPr>
          <w:rFonts w:hint="eastAsia" w:ascii="仿宋_GB2312" w:eastAsia="仿宋_GB2312"/>
          <w:sz w:val="32"/>
          <w:szCs w:val="32"/>
          <w:lang w:eastAsia="zh-CN"/>
        </w:rPr>
        <w:t>看</w:t>
      </w:r>
      <w:r>
        <w:rPr>
          <w:rFonts w:hint="eastAsia" w:ascii="仿宋_GB2312" w:eastAsia="仿宋_GB2312"/>
          <w:sz w:val="32"/>
          <w:szCs w:val="32"/>
        </w:rPr>
        <w:t>，被诉侵权产品具有与涉案专利完全相同的设计。3.即使将被诉侵权产品透明视窗内部设计纳入侵权比对范围，该产品内的太空人偶图案属于生活中常见的图案设计，且从产品名称上容易联想，并不会由于额外加设与涉案专利主题极度相关的图案要素，而导致被诉侵权设计整体产生与涉案专利迥然不同的</w:t>
      </w:r>
      <w:r>
        <w:rPr>
          <w:rFonts w:hint="eastAsia" w:ascii="仿宋_GB2312" w:eastAsia="仿宋_GB2312"/>
          <w:sz w:val="32"/>
          <w:szCs w:val="32"/>
          <w:lang w:eastAsia="zh-CN"/>
        </w:rPr>
        <w:t>视</w:t>
      </w:r>
      <w:r>
        <w:rPr>
          <w:rFonts w:hint="eastAsia" w:ascii="仿宋_GB2312" w:eastAsia="仿宋_GB2312"/>
          <w:sz w:val="32"/>
          <w:szCs w:val="32"/>
        </w:rPr>
        <w:t>效果。</w:t>
      </w:r>
      <w:r>
        <w:rPr>
          <w:rFonts w:hint="eastAsia" w:ascii="仿宋_GB2312" w:eastAsia="仿宋_GB2312"/>
          <w:sz w:val="32"/>
          <w:szCs w:val="32"/>
          <w:lang w:eastAsia="zh-CN"/>
        </w:rPr>
        <w:t>因此，</w:t>
      </w:r>
      <w:r>
        <w:rPr>
          <w:rFonts w:hint="eastAsia" w:ascii="仿宋_GB2312" w:eastAsia="仿宋_GB2312"/>
          <w:sz w:val="32"/>
          <w:szCs w:val="32"/>
        </w:rPr>
        <w:t>被诉侵权产品落入涉案专利权的保护范围，嘉玺公司构成侵权。</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hAnsi="Courier New" w:eastAsia="仿宋_GB2312"/>
          <w:sz w:val="32"/>
          <w:szCs w:val="32"/>
        </w:rPr>
      </w:pPr>
      <w:r>
        <w:rPr>
          <w:rFonts w:hint="eastAsia" w:ascii="仿宋_GB2312" w:eastAsia="仿宋_GB2312"/>
          <w:sz w:val="32"/>
          <w:szCs w:val="32"/>
        </w:rPr>
        <w:t>嘉玺公</w:t>
      </w:r>
      <w:r>
        <w:rPr>
          <w:rFonts w:hint="eastAsia" w:ascii="仿宋_GB2312" w:hAnsi="Courier New" w:eastAsia="仿宋_GB2312"/>
          <w:sz w:val="32"/>
          <w:szCs w:val="32"/>
        </w:rPr>
        <w:t>司</w:t>
      </w:r>
      <w:r>
        <w:rPr>
          <w:rFonts w:hint="eastAsia" w:ascii="仿宋_GB2312" w:hAnsi="Courier New" w:eastAsia="仿宋_GB2312" w:cs="Times New Roman"/>
          <w:kern w:val="2"/>
          <w:sz w:val="32"/>
          <w:szCs w:val="32"/>
          <w:lang w:val="en-US" w:eastAsia="zh-CN" w:bidi="ar-SA"/>
        </w:rPr>
        <w:t>未发表答辩意见</w:t>
      </w:r>
      <w:r>
        <w:rPr>
          <w:rFonts w:hint="eastAsia" w:ascii="仿宋_GB2312" w:hAnsi="Courier New" w:eastAsia="仿宋_GB2312"/>
          <w:sz w:val="32"/>
          <w:szCs w:val="32"/>
        </w:rPr>
        <w:t>。</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慕向公司向一审法院起诉，请求判令嘉玺公司：1.立即停止生产、销售、许诺销售</w:t>
      </w:r>
      <w:r>
        <w:rPr>
          <w:rFonts w:hint="eastAsia" w:ascii="仿宋_GB2312" w:eastAsia="仿宋_GB2312"/>
          <w:sz w:val="32"/>
          <w:szCs w:val="32"/>
          <w:lang w:eastAsia="zh-CN"/>
        </w:rPr>
        <w:t>侵害</w:t>
      </w:r>
      <w:r>
        <w:rPr>
          <w:rFonts w:hint="eastAsia" w:ascii="仿宋_GB2312" w:eastAsia="仿宋_GB2312"/>
          <w:sz w:val="32"/>
          <w:szCs w:val="32"/>
        </w:rPr>
        <w:t>慕向公司ZL202030340873.3“加湿器(太空舱M08)”外观设计专利权产品的行为，删除相关链接并销毁所有库存侵权产品；2.赔偿慕向公司经济损失以及调查、制止侵权行为所支出的合理费用共计5万元；3.承担本案诉讼费。一审庭审中，慕向公司变更第1、2项诉讼请求为：1.立即停止销售、许诺销售</w:t>
      </w:r>
      <w:r>
        <w:rPr>
          <w:rFonts w:hint="eastAsia" w:ascii="仿宋_GB2312" w:eastAsia="仿宋_GB2312"/>
          <w:sz w:val="32"/>
          <w:szCs w:val="32"/>
          <w:lang w:eastAsia="zh-CN"/>
        </w:rPr>
        <w:t>侵害</w:t>
      </w:r>
      <w:r>
        <w:rPr>
          <w:rFonts w:hint="eastAsia" w:ascii="仿宋_GB2312" w:eastAsia="仿宋_GB2312"/>
          <w:sz w:val="32"/>
          <w:szCs w:val="32"/>
        </w:rPr>
        <w:t>慕向公司ZL202030340873.3“加湿器(太空舱M08)”外观设计专利权产品的行为并销毁所有库存侵权产品；2.赔偿慕向公司经济损失以及调查、制止侵权行为所支出的合理费用共计3万元。</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一审法院认定事实：2020年6月29日，慕向公司向国家知识产权局申请名为“加湿器（太空舱M08）”的外观设计专利，于2020年11月27日获授权公告，专利号为ZL202030340873.3。该专利至今维持有效。该外观设计产品的用途为用于调节空气湿度，设计要点在于形状，最能表明设计要点的图片或照片为立体图。2021年6月30日，国家知识产权局针对涉案专利出具《外观设计专利权评价报告》，初步结论为全部外观设计未发现存在不符合授予专利权条件的缺陷。</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嘉玺公司在1688网站开设的“深圳市嘉玺科技有限公司”店铺内售卖加湿器。2021年12月24日，慕向公司的委托代理人温曼琳在上述店铺公证购买了被</w:t>
      </w:r>
      <w:r>
        <w:rPr>
          <w:rFonts w:hint="eastAsia" w:ascii="仿宋_GB2312" w:eastAsia="仿宋_GB2312"/>
          <w:sz w:val="32"/>
          <w:szCs w:val="32"/>
          <w:lang w:eastAsia="zh-CN"/>
        </w:rPr>
        <w:t>诉</w:t>
      </w:r>
      <w:r>
        <w:rPr>
          <w:rFonts w:hint="eastAsia" w:ascii="仿宋_GB2312" w:eastAsia="仿宋_GB2312"/>
          <w:sz w:val="32"/>
          <w:szCs w:val="32"/>
        </w:rPr>
        <w:t>侵权产品2件，付款86元。同年12月28日，慕向公司的委托代理人温曼琳查看被诉侵权产品链接显示价格为39-52元，30天内30+件成交，0条评论，显示尚有库存，详情页展示了产品图片。一审庭审中慕向公司确认被诉侵权产品链接已于2022年11月17日删除,同年10月19日嘉玺公司有自行下架商品的操作。一审当庭拆封公证实物，内含被诉侵权产品2个，产品上显示制造商为深圳市迈越智能科技有限公司。经比对公证购买的被诉侵权产品，慕向公司认为其与涉案专利构成近似。嘉玺公司未发表意见。</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一审另查明，嘉玺公司成立于2017年7月21日，类型为有限责任公司（自然人独资），注册资本为10万元，经营范围为：一般经营项目是国内贸易；货物及技术进出口，许可经营项目是手机通讯产品、数码产品、饰品、包装材料、办公用品、工业设备的研发、生产及销售。一审再查明，慕向公司为本案维权进行了公证并聘请律师出庭参加诉讼。</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一审法院认为，涉案外观设计专利在有效期内，应受国家法律保护。慕向公司作为涉案专利权人，有权就侵害涉案专利权的行为提起诉讼。《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条规定：“人民法院应当以外观设计专利产品的一般消费者的知识水平和认知能力，判断外观设计是否相同或者近似”，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对此，判断外观设计是否相同或者近似时,应当按照一般消费者的知识水平和认知能力,遵循全面观察设计特征、综合判断整体视觉效果的原则,对所保护的外观设计与被诉侵权设计进行比对。</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本案中，被诉侵权产品与涉案专利产品均为加湿器，属于同种产品。经一审庭审比对，两者的相同点在于：两者均由主体和底座两部分组成，主体上部正面均设置有一个圆形外凸的球面罩，球面罩外周均有一圈凸环设计，顶部均设置有出气孔，底座均设置有四个支脚。存在的区别点是：1.被诉侵权产品的球面罩透明，罩内有航天员仰躺在月亮之上的玩偶造型，涉案专利则为不透明球面罩；2.从侧视图看，被诉侵权产品整体轮廓弧度较为竖直，呈类圆柱体状，高度明显大于底座宽度，而涉案专利弧度较为倾斜，呈锥状，宽度和高度大致相等使得整体造型更为圆润扁平；3.从仰视图看，被诉侵权产品四个支脚从底座边缘延伸设置，支脚呈类火焰状，而涉案专利支脚为圆柱体设置在底座下端且支脚较高；4.被诉侵权产品顶部仅设置圆形出气口，主体背面中部设置了圆形按钮以及跑道型充电口，而涉案专利顶部设置了圆形出气口以及圆形跑道按钮，圆形充电口设置在靠近主体顶部位置。该院认为，两者最大的区别在于球面罩的透明设计及内置玩偶设置，从专利附图来看其球面罩明显为不透明状，被诉侵权产品采用透明设计，凸显了球面罩内部的设计特征,由于该部分所占比例较大,很容易被消费者注意到,对产品整体视觉效果影响较大。结合上述其他设计特征区别点，足以导致两者整体视觉效果产生实质性差异。综上，根据整体观察，综合判断的原则，被诉侵权产品与涉案专利整体视觉效果存在实质性差异，两者既不相同也不近似，被诉侵权产品未落入涉案专利权的保护范围。鉴于被诉侵权产品未落入涉案专利权的保护范围,对被诉侵权行为,该院不再予以评述。</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lang w:val="zh-CN"/>
        </w:rPr>
      </w:pPr>
      <w:r>
        <w:rPr>
          <w:rFonts w:hint="eastAsia" w:ascii="仿宋_GB2312" w:eastAsia="仿宋_GB2312"/>
          <w:sz w:val="32"/>
          <w:szCs w:val="32"/>
        </w:rPr>
        <w:t>综上，一审法院依照《中华人民共和国专利法》第十一条第二款、第六十四条第二款，《最高人民法院关于审理侵犯专利权纠纷案件应用法律若干问题的解释》第八条、第十条、第十一条，《中华人民共和国民事诉讼法》第六十七条、第一百四十七条之规定，于2023年2月7日判决：驳回慕向公司的全部诉讼请求。</w:t>
      </w:r>
      <w:r>
        <w:rPr>
          <w:rFonts w:hint="eastAsia" w:ascii="仿宋_GB2312" w:eastAsia="仿宋_GB2312"/>
          <w:sz w:val="32"/>
          <w:szCs w:val="32"/>
          <w:lang w:eastAsia="zh-CN"/>
        </w:rPr>
        <w:t>一审</w:t>
      </w:r>
      <w:r>
        <w:rPr>
          <w:rFonts w:hint="eastAsia" w:ascii="仿宋_GB2312" w:eastAsia="仿宋_GB2312"/>
          <w:sz w:val="32"/>
          <w:szCs w:val="32"/>
        </w:rPr>
        <w:t>案件受理费550元，由慕向公司负担。</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二审期间，慕向公司向本院提交</w:t>
      </w:r>
      <w:r>
        <w:rPr>
          <w:rFonts w:hint="eastAsia" w:ascii="仿宋_GB2312" w:eastAsia="仿宋_GB2312"/>
          <w:sz w:val="32"/>
          <w:szCs w:val="32"/>
          <w:lang w:eastAsia="zh-CN"/>
        </w:rPr>
        <w:t>了</w:t>
      </w:r>
      <w:r>
        <w:rPr>
          <w:rFonts w:hint="eastAsia" w:ascii="仿宋_GB2312" w:eastAsia="仿宋_GB2312"/>
          <w:sz w:val="32"/>
          <w:szCs w:val="32"/>
        </w:rPr>
        <w:t>国家知识产权局第56017号无效宣告请求审查决定书，拟证明国家知识产权局在无效审查决定中已将涉案专利主体上外凸的部分描述为视窗设计。</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嘉玺公司未到庭，视为放弃质证权利。</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经审查，本院对该证据的真实性、合法性以及关联性均予以认定。</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据此，二审另查明：国家知识产权局于2022年5月25日作出第56017号无效宣告请求审查决定书，维持涉案专利有效，并在决定书中载明:涉案专利由主视图、后视图、俯视图、仰视图、左视图和立体图表示，设计要点在于形状，未要求保护色彩；涉案专利具有主体、主体上外凸的视窗以及与主体相连的底座；涉案专利主体圆形视窗自主体正面具有明显的向前凸起的球状部分，且圆形视窗外周围绕着立体状外凸的圆环设计；涉案专利与对比文件具有完全不同的圆润钝感的整体视觉效果。本院二审查明的其他事实与一审法院认定的一致。</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本院认为，根据慕向公司的上诉请求和理由，本案二审争议焦点在于：1.被诉侵权产品是否落入涉案专利权的保护范围；2.如果侵权成立，嘉玺公司应承担的民事责任。</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《中华人民共和国专利法》第</w:t>
      </w:r>
      <w:r>
        <w:rPr>
          <w:rFonts w:hint="eastAsia" w:ascii="仿宋_GB2312" w:eastAsia="仿宋_GB2312"/>
          <w:sz w:val="32"/>
          <w:szCs w:val="32"/>
          <w:lang w:eastAsia="zh-CN"/>
        </w:rPr>
        <w:t>六十四</w:t>
      </w:r>
      <w:r>
        <w:rPr>
          <w:rFonts w:hint="eastAsia" w:ascii="仿宋_GB2312" w:eastAsia="仿宋_GB2312"/>
          <w:sz w:val="32"/>
          <w:szCs w:val="32"/>
        </w:rPr>
        <w:t>条第二款规定，外观设计专利权的保护范围以表示在图片或者照片中的该产品的外观设计为准，简要说明可以用于解释图片或者照片所表示的该产品的外观设计。从涉案专利授权图片可知，涉案专利具有主体、主体上部正面圆形外凸的球面以及与主体相连的底座</w:t>
      </w:r>
      <w:r>
        <w:rPr>
          <w:rFonts w:hint="eastAsia" w:ascii="仿宋_GB2312" w:eastAsia="仿宋_GB2312"/>
          <w:sz w:val="32"/>
          <w:szCs w:val="32"/>
          <w:lang w:eastAsia="zh-CN"/>
        </w:rPr>
        <w:t>设计</w:t>
      </w:r>
      <w:r>
        <w:rPr>
          <w:rFonts w:hint="eastAsia" w:ascii="仿宋_GB2312" w:eastAsia="仿宋_GB2312"/>
          <w:sz w:val="32"/>
          <w:szCs w:val="32"/>
        </w:rPr>
        <w:t>，其中主体上部正面圆形外凸的球面并未显示其材料是否为透明材料。二审中，慕向公司主张根据涉案专利无效宣告请求审查决定书中的记载，其主体上部正面圆形外凸的球面为外凸的视窗设计，即为</w:t>
      </w:r>
      <w:r>
        <w:rPr>
          <w:rFonts w:hint="eastAsia" w:ascii="仿宋_GB2312" w:hAnsi="Courier New" w:eastAsia="仿宋_GB2312" w:cs="Times New Roman"/>
          <w:kern w:val="2"/>
          <w:sz w:val="32"/>
          <w:szCs w:val="32"/>
          <w:lang w:val="en-US" w:eastAsia="zh-CN" w:bidi="ar-SA"/>
        </w:rPr>
        <w:t>内部可视的透明凸起设计</w:t>
      </w:r>
      <w:r>
        <w:rPr>
          <w:rFonts w:hint="eastAsia" w:ascii="仿宋_GB2312" w:eastAsia="仿宋_GB2312"/>
          <w:sz w:val="32"/>
          <w:szCs w:val="32"/>
        </w:rPr>
        <w:t>。对此，本院认为，国家知识产权局无效宣告请求审查决定书只明确涉案专利主体圆形视窗自主体正面具有明显的向前凸起的球状部分，并未明确凸起部分为内部可视的透明设计，因此，涉案专利权的保护范围</w:t>
      </w:r>
      <w:r>
        <w:rPr>
          <w:rFonts w:hint="eastAsia" w:ascii="仿宋_GB2312" w:eastAsia="仿宋_GB2312"/>
          <w:sz w:val="32"/>
          <w:szCs w:val="32"/>
          <w:lang w:eastAsia="zh-CN"/>
        </w:rPr>
        <w:t>仍</w:t>
      </w:r>
      <w:r>
        <w:rPr>
          <w:rFonts w:hint="eastAsia" w:ascii="仿宋_GB2312" w:eastAsia="仿宋_GB2312"/>
          <w:sz w:val="32"/>
          <w:szCs w:val="32"/>
        </w:rPr>
        <w:t>应以其在专利授权文件中展示的外观设计图片为准。同样，嘉玺公司的被诉侵权产品也应以与涉案专利相对应的设计部分作为侵权比对对象。</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根据《最高人民法院关于审理侵犯专利权纠纷案件应用法律若干问题的解释》第十条、第十一条的规定，判断外观设计是否相同或者近似时，应当根据授权外观设计、被诉侵权设计的设计特征，以外观设计的整体视觉效果进行综合</w:t>
      </w:r>
      <w:r>
        <w:rPr>
          <w:rFonts w:hint="eastAsia" w:ascii="仿宋_GB2312" w:eastAsia="仿宋_GB2312"/>
          <w:sz w:val="32"/>
          <w:szCs w:val="32"/>
          <w:lang w:eastAsia="zh-CN"/>
        </w:rPr>
        <w:t>判断</w:t>
      </w:r>
      <w:r>
        <w:rPr>
          <w:rFonts w:hint="eastAsia" w:ascii="仿宋_GB2312" w:eastAsia="仿宋_GB2312"/>
          <w:sz w:val="32"/>
          <w:szCs w:val="32"/>
        </w:rPr>
        <w:t>；对于主要由技术功能决定的设计特征以及对整体视觉效果不产生影响的产品的材料、内部结构等特征，应当不予考虑。产品正常使用时容易被直接观察到的部位以及授权外观设计区别于现有设计的设计特征通常对外观设计的整体视觉效果更具有影响。由此可见，外观设计侵权判断应当按照一般消费者的知识水平和认知能力,遵循整体观察，综合判断的原则</w:t>
      </w:r>
      <w:r>
        <w:rPr>
          <w:rFonts w:hint="eastAsia" w:ascii="仿宋_GB2312" w:eastAsia="仿宋_GB2312"/>
          <w:sz w:val="32"/>
          <w:szCs w:val="32"/>
          <w:lang w:eastAsia="zh-CN"/>
        </w:rPr>
        <w:t>。</w:t>
      </w:r>
      <w:r>
        <w:rPr>
          <w:rFonts w:hint="eastAsia" w:ascii="仿宋_GB2312" w:eastAsia="仿宋_GB2312"/>
          <w:sz w:val="32"/>
          <w:szCs w:val="32"/>
        </w:rPr>
        <w:t>一般消费者</w:t>
      </w:r>
      <w:r>
        <w:rPr>
          <w:rFonts w:hint="eastAsia" w:ascii="仿宋_GB2312" w:eastAsia="仿宋_GB2312"/>
          <w:sz w:val="32"/>
          <w:szCs w:val="32"/>
          <w:lang w:eastAsia="zh-CN"/>
        </w:rPr>
        <w:t>通常</w:t>
      </w:r>
      <w:r>
        <w:rPr>
          <w:rFonts w:hint="eastAsia" w:ascii="仿宋_GB2312" w:eastAsia="仿宋_GB2312"/>
          <w:sz w:val="32"/>
          <w:szCs w:val="32"/>
        </w:rPr>
        <w:t>从整体上而不是仅依据局部的设计变化，来判断外观设计专利与被诉侵权设计的视觉效果是否具有明显区别，同时可视部分的相同点和区别点会对整体视觉效果产生较为显著的影响。</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本案中，被诉侵权产品与涉案专利产品均为加湿器，为同类产品</w:t>
      </w:r>
      <w:r>
        <w:rPr>
          <w:rFonts w:hint="eastAsia" w:ascii="仿宋_GB2312" w:eastAsia="仿宋_GB2312" w:cs="Times New Roman"/>
          <w:kern w:val="2"/>
          <w:sz w:val="32"/>
          <w:szCs w:val="32"/>
          <w:lang w:val="en-US" w:eastAsia="zh-CN" w:bidi="ar-SA"/>
        </w:rPr>
        <w:t>，可以进行比对</w:t>
      </w:r>
      <w:r>
        <w:rPr>
          <w:rFonts w:hint="eastAsia" w:ascii="仿宋_GB2312" w:hAnsi="Courier New" w:eastAsia="仿宋_GB2312" w:cs="Times New Roman"/>
          <w:kern w:val="2"/>
          <w:sz w:val="32"/>
          <w:szCs w:val="32"/>
          <w:lang w:val="en-US" w:eastAsia="zh-CN" w:bidi="ar-SA"/>
        </w:rPr>
        <w:t>。</w:t>
      </w:r>
      <w:r>
        <w:rPr>
          <w:rFonts w:hint="eastAsia" w:ascii="仿宋_GB2312" w:eastAsia="仿宋_GB2312" w:cs="Times New Roman"/>
          <w:kern w:val="2"/>
          <w:sz w:val="32"/>
          <w:szCs w:val="32"/>
          <w:lang w:val="en-US" w:eastAsia="zh-CN" w:bidi="ar-SA"/>
        </w:rPr>
        <w:t>经比对，</w:t>
      </w:r>
      <w:r>
        <w:rPr>
          <w:rFonts w:hint="eastAsia" w:ascii="仿宋_GB2312" w:eastAsia="仿宋_GB2312"/>
          <w:sz w:val="32"/>
          <w:szCs w:val="32"/>
        </w:rPr>
        <w:t>慕向公司认同一审判决所认定的被诉侵权设计与涉案专利的异同点，并认为涉案专利的设计要点在于主体前面凸起部分的太空舱设计以及太空舱周围环形设计，被诉侵权设计具备上述设计要点，至于其视窗内设置何种造型对整体视觉效果不会造成影响。</w:t>
      </w:r>
      <w:r>
        <w:rPr>
          <w:rFonts w:hint="eastAsia" w:ascii="仿宋_GB2312" w:eastAsia="仿宋_GB2312"/>
          <w:sz w:val="32"/>
          <w:szCs w:val="32"/>
          <w:lang w:eastAsia="zh-CN"/>
        </w:rPr>
        <w:t>对此，</w:t>
      </w:r>
      <w:r>
        <w:rPr>
          <w:rFonts w:hint="eastAsia" w:ascii="仿宋_GB2312" w:eastAsia="仿宋_GB2312"/>
          <w:sz w:val="32"/>
          <w:szCs w:val="32"/>
        </w:rPr>
        <w:t>本院认为，首先，涉案专利主体呈锥形的太空舱状，宽度和厚度大致相等，主体圆润，底部较为平坦，整体造型呈圆润</w:t>
      </w:r>
      <w:r>
        <w:rPr>
          <w:rFonts w:hint="eastAsia" w:ascii="仿宋_GB2312" w:eastAsia="仿宋_GB2312"/>
          <w:sz w:val="32"/>
          <w:szCs w:val="32"/>
          <w:lang w:eastAsia="zh-CN"/>
        </w:rPr>
        <w:t>短粗</w:t>
      </w:r>
      <w:r>
        <w:rPr>
          <w:rFonts w:hint="eastAsia" w:ascii="仿宋_GB2312" w:eastAsia="仿宋_GB2312"/>
          <w:sz w:val="32"/>
          <w:szCs w:val="32"/>
        </w:rPr>
        <w:t>状。而被诉侵权设计主体整体形状呈类圆柱体状，高度大于底部宽度。这一设计特征的不同使得被诉侵权设计并不完全具备涉案专利圆润钝感的设计风格，两者从整体视觉效果上呈现出较为明显的差异。其次，就慕向公司主张的球形凸起视窗以及视窗周围立体状外凸的圆环设计而言，被诉侵权设计的球形凸起视窗占主体正面二分之一的面积，为该产品的视觉要部所在。</w:t>
      </w:r>
      <w:r>
        <w:rPr>
          <w:rFonts w:hint="eastAsia" w:ascii="仿宋_GB2312" w:eastAsia="仿宋_GB2312"/>
          <w:sz w:val="32"/>
          <w:szCs w:val="32"/>
          <w:lang w:eastAsia="zh-CN"/>
        </w:rPr>
        <w:t>因</w:t>
      </w:r>
      <w:r>
        <w:rPr>
          <w:rFonts w:hint="eastAsia" w:ascii="仿宋_GB2312" w:eastAsia="仿宋_GB2312"/>
          <w:sz w:val="32"/>
          <w:szCs w:val="32"/>
        </w:rPr>
        <w:t>被诉侵权设计</w:t>
      </w:r>
      <w:r>
        <w:rPr>
          <w:rFonts w:hint="eastAsia" w:ascii="仿宋_GB2312" w:eastAsia="仿宋_GB2312"/>
          <w:sz w:val="32"/>
          <w:szCs w:val="32"/>
          <w:lang w:eastAsia="zh-CN"/>
        </w:rPr>
        <w:t>球形凸起视窗为透明材质，</w:t>
      </w:r>
      <w:r>
        <w:rPr>
          <w:rFonts w:hint="eastAsia" w:ascii="仿宋_GB2312" w:eastAsia="仿宋_GB2312"/>
          <w:sz w:val="32"/>
          <w:szCs w:val="32"/>
        </w:rPr>
        <w:t>透过视窗可见的内部设计属于容易被直接观察到的部位，是一般消费者的外观识别重点。在</w:t>
      </w:r>
      <w:r>
        <w:rPr>
          <w:rFonts w:hint="eastAsia" w:ascii="仿宋_GB2312" w:eastAsia="仿宋_GB2312"/>
          <w:sz w:val="32"/>
          <w:szCs w:val="32"/>
          <w:lang w:eastAsia="zh-CN"/>
        </w:rPr>
        <w:t>被诉侵权设计与涉案专利整体形状</w:t>
      </w:r>
      <w:r>
        <w:rPr>
          <w:rFonts w:hint="eastAsia" w:ascii="仿宋_GB2312" w:eastAsia="仿宋_GB2312"/>
          <w:sz w:val="32"/>
          <w:szCs w:val="32"/>
        </w:rPr>
        <w:t>呈现出不同</w:t>
      </w:r>
      <w:r>
        <w:rPr>
          <w:rFonts w:hint="eastAsia" w:ascii="仿宋_GB2312" w:eastAsia="仿宋_GB2312"/>
          <w:sz w:val="32"/>
          <w:szCs w:val="32"/>
          <w:lang w:eastAsia="zh-CN"/>
        </w:rPr>
        <w:t>设计风格</w:t>
      </w:r>
      <w:r>
        <w:rPr>
          <w:rFonts w:hint="eastAsia" w:ascii="仿宋_GB2312" w:eastAsia="仿宋_GB2312"/>
          <w:sz w:val="32"/>
          <w:szCs w:val="32"/>
        </w:rPr>
        <w:t>的情况下，被诉侵权产品的透明视窗设计对整体视觉效果的影响程度进一步加大。再次，被诉侵权设计与涉案专利在底部支脚、充电口以及出气口等设计上也存在一定区别，进而</w:t>
      </w:r>
      <w:r>
        <w:rPr>
          <w:rFonts w:hint="eastAsia" w:ascii="仿宋_GB2312" w:eastAsia="仿宋_GB2312"/>
          <w:sz w:val="32"/>
          <w:szCs w:val="32"/>
          <w:lang w:eastAsia="zh-CN"/>
        </w:rPr>
        <w:t>也</w:t>
      </w:r>
      <w:r>
        <w:rPr>
          <w:rFonts w:hint="eastAsia" w:ascii="仿宋_GB2312" w:eastAsia="仿宋_GB2312"/>
          <w:sz w:val="32"/>
          <w:szCs w:val="32"/>
        </w:rPr>
        <w:t>改变</w:t>
      </w:r>
      <w:r>
        <w:rPr>
          <w:rFonts w:hint="eastAsia" w:ascii="仿宋_GB2312" w:eastAsia="仿宋_GB2312"/>
          <w:sz w:val="32"/>
          <w:szCs w:val="32"/>
          <w:lang w:eastAsia="zh-CN"/>
        </w:rPr>
        <w:t>了</w:t>
      </w:r>
      <w:r>
        <w:rPr>
          <w:rFonts w:hint="eastAsia" w:ascii="仿宋_GB2312" w:eastAsia="仿宋_GB2312"/>
          <w:sz w:val="32"/>
          <w:szCs w:val="32"/>
        </w:rPr>
        <w:t>整体视觉观感。同时在涉案专利申请日前，现有设计已经公开了主体、主体外凸视窗以及与主体相连的底座的设计。</w:t>
      </w:r>
      <w:r>
        <w:rPr>
          <w:rFonts w:hint="eastAsia" w:ascii="仿宋_GB2312" w:eastAsia="仿宋_GB2312"/>
          <w:sz w:val="32"/>
          <w:szCs w:val="32"/>
          <w:lang w:eastAsia="zh-CN"/>
        </w:rPr>
        <w:t>故</w:t>
      </w:r>
      <w:r>
        <w:rPr>
          <w:rFonts w:hint="eastAsia" w:ascii="仿宋_GB2312" w:eastAsia="仿宋_GB2312"/>
          <w:sz w:val="32"/>
          <w:szCs w:val="32"/>
        </w:rPr>
        <w:t>根据整体观察、综合判断的比对原则，以一般消费者的知识水平和认知能力，应认定被诉侵权设计与涉案专利不构成相同或近似设计。一审法院认为被诉侵权产品未落入涉案专利权保护范围并无不当。</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因被诉侵权产品不构成侵权，故嘉玺公司无需承担相应的民事责任，对第二个争议焦点不再</w:t>
      </w:r>
      <w:r>
        <w:rPr>
          <w:rFonts w:hint="eastAsia" w:ascii="仿宋_GB2312" w:eastAsia="仿宋_GB2312"/>
          <w:sz w:val="32"/>
          <w:szCs w:val="32"/>
          <w:lang w:eastAsia="zh-CN"/>
        </w:rPr>
        <w:t>评</w:t>
      </w:r>
      <w:r>
        <w:rPr>
          <w:rFonts w:hint="eastAsia" w:ascii="仿宋_GB2312" w:eastAsia="仿宋_GB2312"/>
          <w:sz w:val="32"/>
          <w:szCs w:val="32"/>
        </w:rPr>
        <w:t>述。</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综上，慕向公司的上诉理由不能成立，其上诉请求不予支持。一审判决认定事实清楚</w:t>
      </w:r>
      <w:r>
        <w:rPr>
          <w:rFonts w:hint="eastAsia" w:ascii="仿宋_GB2312" w:eastAsia="仿宋_GB2312"/>
          <w:sz w:val="32"/>
          <w:szCs w:val="32"/>
          <w:lang w:eastAsia="zh-CN"/>
        </w:rPr>
        <w:t>，</w:t>
      </w:r>
      <w:r>
        <w:rPr>
          <w:rFonts w:hint="eastAsia" w:ascii="仿宋_GB2312" w:eastAsia="仿宋_GB2312"/>
          <w:sz w:val="32"/>
          <w:szCs w:val="32"/>
        </w:rPr>
        <w:t>适用法律正确。依照《中华人民共和国民事诉讼法》第一百七十七条第一款第一项规定，判决如下：</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驳回上诉，维持原判。</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二审案件受理费550元，由深圳市慕向科技有限公司负担。</w:t>
      </w:r>
    </w:p>
    <w:p>
      <w:pPr>
        <w:pStyle w:val="5"/>
        <w:keepNext w:val="0"/>
        <w:keepLines w:val="0"/>
        <w:pageBreakBefore w:val="0"/>
        <w:widowControl w:val="0"/>
        <w:kinsoku/>
        <w:wordWrap/>
        <w:overflowPunct/>
        <w:topLinePunct w:val="0"/>
        <w:autoSpaceDE/>
        <w:autoSpaceDN/>
        <w:bidi w:val="0"/>
        <w:adjustRightInd/>
        <w:snapToGrid/>
        <w:spacing w:line="592" w:lineRule="exact"/>
        <w:ind w:firstLine="620" w:firstLineChars="200"/>
        <w:textAlignment w:val="auto"/>
        <w:rPr>
          <w:rFonts w:hint="eastAsia" w:ascii="仿宋_GB2312" w:eastAsia="仿宋_GB2312"/>
          <w:sz w:val="32"/>
          <w:szCs w:val="32"/>
        </w:rPr>
      </w:pPr>
      <w:r>
        <w:rPr>
          <w:rFonts w:hint="eastAsia" w:ascii="仿宋_GB2312" w:eastAsia="仿宋_GB2312"/>
          <w:sz w:val="32"/>
          <w:szCs w:val="32"/>
        </w:rPr>
        <w:t>本判决为终审判决。</w:t>
      </w:r>
    </w:p>
    <w:p>
      <w:pPr>
        <w:overflowPunct w:val="0"/>
        <w:autoSpaceDE w:val="0"/>
        <w:autoSpaceDN w:val="0"/>
        <w:spacing w:line="572" w:lineRule="exact"/>
        <w:ind w:firstLine="620" w:firstLineChars="200"/>
        <w:rPr>
          <w:rFonts w:hint="default" w:ascii="Times New Roman" w:hAnsi="Times New Roman" w:cs="Times New Roman"/>
          <w:color w:val="000000"/>
          <w:kern w:val="0"/>
          <w:sz w:val="32"/>
          <w:szCs w:val="32"/>
          <w:lang w:val="zh-CN"/>
        </w:rPr>
      </w:pPr>
    </w:p>
    <w:p>
      <w:pPr>
        <w:pStyle w:val="2"/>
        <w:rPr>
          <w:rFonts w:hint="default"/>
          <w:lang w:val="zh-CN"/>
        </w:rPr>
      </w:pPr>
    </w:p>
    <w:p>
      <w:pPr>
        <w:pStyle w:val="2"/>
        <w:ind w:left="0" w:leftChars="0" w:firstLine="0" w:firstLineChars="0"/>
        <w:rPr>
          <w:rFonts w:hint="default" w:ascii="Times New Roman" w:hAnsi="Times New Roman" w:eastAsia="FangSong_GB2312" w:cs="Times New Roman"/>
          <w:color w:val="000000"/>
          <w:kern w:val="0"/>
          <w:sz w:val="32"/>
          <w:szCs w:val="32"/>
          <w:lang w:val="zh-CN" w:eastAsia="zh-CN" w:bidi="ar-SA"/>
        </w:rPr>
      </w:pPr>
      <w:r>
        <w:rPr>
          <w:rFonts w:hint="default" w:ascii="Times New Roman" w:hAnsi="Times New Roman" w:eastAsia="FangSong_GB2312" w:cs="Times New Roman"/>
          <w:color w:val="000000"/>
          <w:kern w:val="0"/>
          <w:sz w:val="32"/>
          <w:szCs w:val="32"/>
          <w:lang w:val="zh-CN" w:eastAsia="zh-CN" w:bidi="ar-SA"/>
        </w:rPr>
        <w:t>（此页无正文）</w:t>
      </w:r>
    </w:p>
    <w:p>
      <w:pPr>
        <w:pStyle w:val="2"/>
        <w:ind w:firstLine="399"/>
        <w:rPr>
          <w:rFonts w:hint="default" w:ascii="Times New Roman" w:hAnsi="Times New Roman" w:cs="Times New Roman"/>
        </w:rPr>
      </w:pPr>
    </w:p>
    <w:p>
      <w:pPr>
        <w:tabs>
          <w:tab w:val="left" w:pos="4304"/>
        </w:tabs>
        <w:wordWrap w:val="0"/>
        <w:spacing w:line="594" w:lineRule="exact"/>
        <w:rPr>
          <w:rFonts w:hint="default" w:ascii="Times New Roman" w:hAnsi="Times New Roman" w:cs="Times New Roman"/>
          <w:sz w:val="32"/>
        </w:rPr>
      </w:pPr>
    </w:p>
    <w:p>
      <w:pPr>
        <w:pStyle w:val="2"/>
        <w:rPr>
          <w:rFonts w:hint="default"/>
        </w:rPr>
      </w:pPr>
    </w:p>
    <w:p>
      <w:pPr>
        <w:tabs>
          <w:tab w:val="left" w:pos="4304"/>
        </w:tabs>
        <w:wordWrap w:val="0"/>
        <w:spacing w:line="594" w:lineRule="exact"/>
        <w:rPr>
          <w:rFonts w:hint="default" w:ascii="Times New Roman" w:hAnsi="Times New Roman" w:cs="Times New Roman"/>
          <w:sz w:val="32"/>
        </w:rPr>
      </w:pPr>
    </w:p>
    <w:p>
      <w:pPr>
        <w:tabs>
          <w:tab w:val="left" w:pos="4304"/>
          <w:tab w:val="left" w:pos="5954"/>
          <w:tab w:val="left" w:pos="6521"/>
          <w:tab w:val="left" w:pos="7230"/>
          <w:tab w:val="left" w:pos="7938"/>
        </w:tabs>
        <w:spacing w:line="592" w:lineRule="exact"/>
        <w:ind w:firstLine="4349" w:firstLineChars="1403"/>
        <w:rPr>
          <w:rFonts w:hint="default" w:ascii="Times New Roman" w:hAnsi="Times New Roman" w:cs="Times New Roman"/>
          <w:sz w:val="32"/>
        </w:rPr>
      </w:pPr>
      <w:r>
        <w:rPr>
          <w:rFonts w:hint="default" w:ascii="Times New Roman" w:hAnsi="Times New Roman" w:cs="Times New Roman"/>
          <w:sz w:val="32"/>
        </w:rPr>
        <w:t>审  判  长    王  亦  非</w:t>
      </w:r>
    </w:p>
    <w:p>
      <w:pPr>
        <w:tabs>
          <w:tab w:val="left" w:pos="6456"/>
          <w:tab w:val="left" w:pos="6725"/>
          <w:tab w:val="left" w:pos="7263"/>
        </w:tabs>
        <w:spacing w:line="592" w:lineRule="exact"/>
        <w:ind w:firstLine="4349" w:firstLineChars="1403"/>
        <w:rPr>
          <w:rFonts w:hint="default" w:ascii="Times New Roman" w:hAnsi="Times New Roman" w:cs="Times New Roman"/>
          <w:sz w:val="32"/>
        </w:rPr>
      </w:pPr>
      <w:r>
        <w:rPr>
          <w:rFonts w:hint="default" w:ascii="Times New Roman" w:hAnsi="Times New Roman" w:cs="Times New Roman"/>
          <w:sz w:val="32"/>
        </w:rPr>
        <w:t>审  判  员    郭  剑  霞</w:t>
      </w:r>
    </w:p>
    <w:p>
      <w:pPr>
        <w:tabs>
          <w:tab w:val="left" w:pos="5918"/>
          <w:tab w:val="left" w:pos="6456"/>
          <w:tab w:val="left" w:pos="7263"/>
          <w:tab w:val="left" w:pos="8100"/>
        </w:tabs>
        <w:spacing w:line="592" w:lineRule="exact"/>
        <w:ind w:firstLine="4349" w:firstLineChars="1403"/>
        <w:rPr>
          <w:rFonts w:hint="default" w:ascii="Times New Roman" w:hAnsi="Times New Roman" w:cs="Times New Roman"/>
          <w:sz w:val="32"/>
        </w:rPr>
      </w:pPr>
      <w:r>
        <w:rPr>
          <w:rFonts w:hint="default" w:ascii="Times New Roman" w:hAnsi="Times New Roman" w:cs="Times New Roman"/>
          <w:sz w:val="32"/>
        </w:rPr>
        <w:t xml:space="preserve">审  判  员    </w:t>
      </w:r>
      <w:r>
        <w:rPr>
          <w:rFonts w:hint="eastAsia" w:cs="Times New Roman"/>
          <w:sz w:val="32"/>
          <w:lang w:eastAsia="zh-CN"/>
        </w:rPr>
        <w:t>路</w:t>
      </w:r>
      <w:r>
        <w:rPr>
          <w:rFonts w:hint="default" w:ascii="Times New Roman" w:hAnsi="Times New Roman" w:cs="Times New Roman"/>
          <w:sz w:val="32"/>
        </w:rPr>
        <w:t xml:space="preserve">      </w:t>
      </w:r>
      <w:r>
        <w:rPr>
          <w:rFonts w:hint="eastAsia" w:cs="Times New Roman"/>
          <w:sz w:val="32"/>
          <w:lang w:eastAsia="zh-CN"/>
        </w:rPr>
        <w:t>遥</w:t>
      </w:r>
    </w:p>
    <w:p>
      <w:pPr>
        <w:spacing w:line="592" w:lineRule="exact"/>
        <w:ind w:firstLine="4349" w:firstLineChars="1403"/>
        <w:rPr>
          <w:rFonts w:hint="default" w:ascii="Times New Roman" w:hAnsi="Times New Roman" w:cs="Times New Roman"/>
          <w:sz w:val="32"/>
        </w:rPr>
      </w:pPr>
    </w:p>
    <w:p>
      <w:pPr>
        <w:tabs>
          <w:tab w:val="left" w:pos="5918"/>
        </w:tabs>
        <w:spacing w:line="592" w:lineRule="exact"/>
        <w:ind w:firstLine="4349" w:firstLineChars="1403"/>
        <w:rPr>
          <w:rFonts w:hint="default" w:ascii="Times New Roman" w:hAnsi="Times New Roman" w:cs="Times New Roman"/>
          <w:sz w:val="32"/>
        </w:rPr>
      </w:pPr>
    </w:p>
    <w:p>
      <w:pPr>
        <w:tabs>
          <w:tab w:val="left" w:pos="5918"/>
        </w:tabs>
        <w:spacing w:line="592" w:lineRule="exact"/>
        <w:ind w:firstLine="4349" w:firstLineChars="1403"/>
        <w:rPr>
          <w:rFonts w:hint="default" w:ascii="Times New Roman" w:hAnsi="Times New Roman" w:cs="Times New Roman"/>
          <w:sz w:val="32"/>
        </w:rPr>
      </w:pPr>
    </w:p>
    <w:p>
      <w:pPr>
        <w:tabs>
          <w:tab w:val="left" w:pos="5918"/>
        </w:tabs>
        <w:spacing w:line="592" w:lineRule="exact"/>
        <w:ind w:firstLine="4349" w:firstLineChars="1403"/>
        <w:rPr>
          <w:rFonts w:hint="default" w:ascii="Times New Roman" w:hAnsi="Times New Roman" w:cs="Times New Roman"/>
          <w:sz w:val="32"/>
        </w:rPr>
      </w:pPr>
    </w:p>
    <w:tbl>
      <w:tblPr>
        <w:tblStyle w:val="13"/>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noWrap w:val="0"/>
            <w:vAlign w:val="top"/>
          </w:tcPr>
          <w:p>
            <w:pPr>
              <w:pStyle w:val="6"/>
              <w:keepNext w:val="0"/>
              <w:keepLines w:val="0"/>
              <w:suppressLineNumbers w:val="0"/>
              <w:spacing w:before="0" w:beforeAutospacing="0" w:after="0" w:afterAutospacing="0" w:line="592" w:lineRule="exact"/>
              <w:ind w:left="0" w:right="0" w:firstLine="150" w:firstLineChars="45"/>
              <w:rPr>
                <w:rFonts w:hint="default" w:ascii="Times New Roman" w:hAnsi="Times New Roman" w:cs="Times New Roman"/>
                <w:sz w:val="32"/>
                <w:szCs w:val="22"/>
              </w:rPr>
            </w:pPr>
            <w:r>
              <w:rPr>
                <w:rFonts w:hint="default" w:ascii="Times New Roman" w:hAnsi="Times New Roman" w:cs="Times New Roman"/>
                <w:spacing w:val="12"/>
                <w:kern w:val="0"/>
                <w:sz w:val="32"/>
                <w:szCs w:val="22"/>
                <w:fitText w:val="3766" w:id="-1784896768"/>
              </w:rPr>
              <w:t>二</w:t>
            </w:r>
            <w:r>
              <w:rPr>
                <w:rFonts w:hint="eastAsia" w:ascii="仿宋_GB2312" w:hAnsi="仿宋_GB2312" w:eastAsia="仿宋_GB2312" w:cs="仿宋_GB2312"/>
                <w:spacing w:val="12"/>
                <w:kern w:val="0"/>
                <w:sz w:val="32"/>
                <w:szCs w:val="32"/>
                <w:fitText w:val="3766" w:id="-1784896768"/>
              </w:rPr>
              <w:t>○</w:t>
            </w:r>
            <w:r>
              <w:rPr>
                <w:rFonts w:hint="default" w:ascii="Times New Roman" w:hAnsi="Times New Roman" w:cs="Times New Roman"/>
                <w:spacing w:val="12"/>
                <w:kern w:val="0"/>
                <w:sz w:val="32"/>
                <w:szCs w:val="22"/>
                <w:fitText w:val="3766" w:id="-1784896768"/>
              </w:rPr>
              <w:t>二</w:t>
            </w:r>
            <w:r>
              <w:rPr>
                <w:rFonts w:hint="default" w:ascii="Times New Roman" w:hAnsi="Times New Roman" w:cs="Times New Roman"/>
                <w:spacing w:val="12"/>
                <w:kern w:val="0"/>
                <w:sz w:val="32"/>
                <w:szCs w:val="22"/>
                <w:fitText w:val="3766" w:id="-1784896768"/>
                <w:lang w:eastAsia="zh-CN"/>
              </w:rPr>
              <w:t>三</w:t>
            </w:r>
            <w:r>
              <w:rPr>
                <w:rFonts w:hint="default" w:ascii="Times New Roman" w:hAnsi="Times New Roman" w:cs="Times New Roman"/>
                <w:spacing w:val="12"/>
                <w:kern w:val="0"/>
                <w:sz w:val="32"/>
                <w:szCs w:val="22"/>
                <w:fitText w:val="3766" w:id="-1784896768"/>
              </w:rPr>
              <w:t>年</w:t>
            </w:r>
            <w:r>
              <w:rPr>
                <w:rFonts w:hint="eastAsia" w:cs="Times New Roman"/>
                <w:spacing w:val="12"/>
                <w:kern w:val="0"/>
                <w:sz w:val="32"/>
                <w:szCs w:val="22"/>
                <w:fitText w:val="3766" w:id="-1784896768"/>
                <w:lang w:eastAsia="zh-CN"/>
              </w:rPr>
              <w:t>四</w:t>
            </w:r>
            <w:r>
              <w:rPr>
                <w:rFonts w:hint="default" w:ascii="Times New Roman" w:hAnsi="Times New Roman" w:cs="Times New Roman"/>
                <w:spacing w:val="12"/>
                <w:kern w:val="0"/>
                <w:sz w:val="32"/>
                <w:szCs w:val="22"/>
                <w:fitText w:val="3766" w:id="-1784896768"/>
              </w:rPr>
              <w:t>月</w:t>
            </w:r>
            <w:r>
              <w:rPr>
                <w:rFonts w:hint="eastAsia" w:cs="Times New Roman"/>
                <w:spacing w:val="12"/>
                <w:kern w:val="0"/>
                <w:sz w:val="32"/>
                <w:szCs w:val="22"/>
                <w:fitText w:val="3766" w:id="-1784896768"/>
                <w:lang w:eastAsia="zh-CN"/>
              </w:rPr>
              <w:t>二十</w:t>
            </w:r>
            <w:r>
              <w:rPr>
                <w:rFonts w:hint="eastAsia" w:cs="Times New Roman"/>
                <w:spacing w:val="12"/>
                <w:kern w:val="0"/>
                <w:sz w:val="32"/>
                <w:szCs w:val="22"/>
                <w:fitText w:val="3766" w:id="-1784896768"/>
                <w:lang w:eastAsia="zh-CN"/>
              </w:rPr>
              <w:t>五</w:t>
            </w:r>
            <w:r>
              <w:rPr>
                <w:rFonts w:hint="default" w:ascii="Times New Roman" w:hAnsi="Times New Roman" w:cs="Times New Roman"/>
                <w:spacing w:val="3"/>
                <w:kern w:val="0"/>
                <w:sz w:val="32"/>
                <w:szCs w:val="22"/>
                <w:fitText w:val="3766" w:id="-1784896768"/>
              </w:rPr>
              <w:t>日</w:t>
            </w:r>
          </w:p>
        </w:tc>
      </w:tr>
    </w:tbl>
    <w:p>
      <w:pPr>
        <w:spacing w:line="592" w:lineRule="exact"/>
        <w:rPr>
          <w:rFonts w:hint="default" w:ascii="Times New Roman" w:hAnsi="Times New Roman" w:cs="Times New Roman"/>
          <w:sz w:val="32"/>
        </w:rPr>
      </w:pPr>
      <w:r>
        <w:rPr>
          <w:rFonts w:hint="default" w:ascii="Times New Roman" w:hAnsi="Times New Roman" w:cs="Times New Roman"/>
          <w:sz w:val="32"/>
        </w:rPr>
        <w:t>本件与原本核对无异</w:t>
      </w:r>
    </w:p>
    <w:p>
      <w:pPr>
        <w:tabs>
          <w:tab w:val="left" w:pos="5649"/>
          <w:tab w:val="left" w:pos="5918"/>
          <w:tab w:val="left" w:pos="6663"/>
          <w:tab w:val="left" w:pos="7801"/>
          <w:tab w:val="left" w:pos="8070"/>
        </w:tabs>
        <w:spacing w:line="600" w:lineRule="exact"/>
        <w:rPr>
          <w:rFonts w:hint="default" w:ascii="Times New Roman" w:hAnsi="Times New Roman" w:cs="Times New Roman"/>
          <w:bCs/>
          <w:snapToGrid w:val="0"/>
          <w:kern w:val="0"/>
          <w:sz w:val="32"/>
        </w:rPr>
      </w:pPr>
      <w:r>
        <w:rPr>
          <w:rFonts w:hint="default" w:ascii="Times New Roman" w:hAnsi="Times New Roman" w:cs="Times New Roman"/>
          <w:sz w:val="32"/>
          <w:szCs w:val="32"/>
        </w:rPr>
        <w:t xml:space="preserve">                            书  记  员    王  莉  莉</w:t>
      </w:r>
    </w:p>
    <w:sectPr>
      <w:headerReference r:id="rId3" w:type="default"/>
      <w:footerReference r:id="rId4" w:type="default"/>
      <w:footerReference r:id="rId5" w:type="even"/>
      <w:pgSz w:w="11907" w:h="16840"/>
      <w:pgMar w:top="1928" w:right="1304" w:bottom="1497" w:left="1644" w:header="851" w:footer="1531" w:gutter="0"/>
      <w:pgNumType w:start="1"/>
      <w:cols w:space="72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Courier New">
    <w:altName w:val="DejaVu Sans"/>
    <w:panose1 w:val="02070309020205020404"/>
    <w:charset w:val="00"/>
    <w:family w:val="modern"/>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FangSong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397" w:right="397"/>
      <w:rPr>
        <w:rStyle w:val="15"/>
        <w:rFonts w:ascii="仿宋_GB2312"/>
        <w:sz w:val="30"/>
      </w:rPr>
    </w:pPr>
    <w:r>
      <w:rPr>
        <w:rStyle w:val="15"/>
        <w:rFonts w:hint="eastAsia" w:ascii="仿宋_GB2312"/>
        <w:sz w:val="30"/>
      </w:rPr>
      <w:t>·</w:t>
    </w:r>
    <w:r>
      <w:rPr>
        <w:rFonts w:ascii="仿宋_GB2312"/>
        <w:sz w:val="30"/>
      </w:rPr>
      <w:fldChar w:fldCharType="begin"/>
    </w:r>
    <w:r>
      <w:rPr>
        <w:rStyle w:val="15"/>
        <w:rFonts w:ascii="仿宋_GB2312"/>
        <w:sz w:val="30"/>
      </w:rPr>
      <w:instrText xml:space="preserve"> PAGE </w:instrText>
    </w:r>
    <w:r>
      <w:rPr>
        <w:rFonts w:ascii="仿宋_GB2312"/>
        <w:sz w:val="30"/>
      </w:rPr>
      <w:fldChar w:fldCharType="separate"/>
    </w:r>
    <w:r>
      <w:rPr>
        <w:rStyle w:val="15"/>
        <w:rFonts w:ascii="仿宋_GB2312"/>
        <w:sz w:val="30"/>
      </w:rPr>
      <w:t>17</w:t>
    </w:r>
    <w:r>
      <w:rPr>
        <w:rFonts w:ascii="仿宋_GB2312"/>
        <w:sz w:val="30"/>
      </w:rPr>
      <w:fldChar w:fldCharType="end"/>
    </w:r>
    <w:r>
      <w:rPr>
        <w:rStyle w:val="15"/>
        <w:rFonts w:hint="eastAsia" w:ascii="仿宋_GB2312"/>
        <w:sz w:val="30"/>
      </w:rPr>
      <w:t>·</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Pr>
    </w:pPr>
    <w:r>
      <w:fldChar w:fldCharType="begin"/>
    </w:r>
    <w:r>
      <w:rPr>
        <w:rStyle w:val="15"/>
      </w:rPr>
      <w:instrText xml:space="preserve">PAGE  </w:instrText>
    </w:r>
    <w:r>
      <w:fldChar w:fldCharType="separate"/>
    </w:r>
    <w:r>
      <w:rPr>
        <w:rStyle w:val="15"/>
      </w:rPr>
      <w:t>1</w:t>
    </w:r>
    <w: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B20"/>
    <w:rsid w:val="00000796"/>
    <w:rsid w:val="00001BFB"/>
    <w:rsid w:val="00002359"/>
    <w:rsid w:val="00006385"/>
    <w:rsid w:val="0000768A"/>
    <w:rsid w:val="0001506B"/>
    <w:rsid w:val="000153DD"/>
    <w:rsid w:val="00015EC6"/>
    <w:rsid w:val="000265B2"/>
    <w:rsid w:val="00031C1F"/>
    <w:rsid w:val="000340E6"/>
    <w:rsid w:val="00034FB2"/>
    <w:rsid w:val="000365E6"/>
    <w:rsid w:val="000370EF"/>
    <w:rsid w:val="000407C1"/>
    <w:rsid w:val="00040DAC"/>
    <w:rsid w:val="00044204"/>
    <w:rsid w:val="00045061"/>
    <w:rsid w:val="000460A5"/>
    <w:rsid w:val="000464D6"/>
    <w:rsid w:val="00046F75"/>
    <w:rsid w:val="00050290"/>
    <w:rsid w:val="0005051B"/>
    <w:rsid w:val="00051327"/>
    <w:rsid w:val="0005175F"/>
    <w:rsid w:val="00051E57"/>
    <w:rsid w:val="00052BA1"/>
    <w:rsid w:val="00053FE6"/>
    <w:rsid w:val="000548B4"/>
    <w:rsid w:val="00056B11"/>
    <w:rsid w:val="000609CE"/>
    <w:rsid w:val="00061129"/>
    <w:rsid w:val="00061602"/>
    <w:rsid w:val="00067262"/>
    <w:rsid w:val="0006731C"/>
    <w:rsid w:val="00067643"/>
    <w:rsid w:val="000720DE"/>
    <w:rsid w:val="00073A68"/>
    <w:rsid w:val="000743EB"/>
    <w:rsid w:val="000815B7"/>
    <w:rsid w:val="00082133"/>
    <w:rsid w:val="00085C9D"/>
    <w:rsid w:val="0008761B"/>
    <w:rsid w:val="00090361"/>
    <w:rsid w:val="0009500F"/>
    <w:rsid w:val="00095430"/>
    <w:rsid w:val="00095FA1"/>
    <w:rsid w:val="0009797A"/>
    <w:rsid w:val="000A4CB0"/>
    <w:rsid w:val="000A7164"/>
    <w:rsid w:val="000B0631"/>
    <w:rsid w:val="000B21D8"/>
    <w:rsid w:val="000B2A92"/>
    <w:rsid w:val="000B4A40"/>
    <w:rsid w:val="000B627F"/>
    <w:rsid w:val="000B7AEE"/>
    <w:rsid w:val="000C05FB"/>
    <w:rsid w:val="000C3A2B"/>
    <w:rsid w:val="000C3B2D"/>
    <w:rsid w:val="000C4C4E"/>
    <w:rsid w:val="000C5880"/>
    <w:rsid w:val="000C775E"/>
    <w:rsid w:val="000D116F"/>
    <w:rsid w:val="000D561B"/>
    <w:rsid w:val="000E0132"/>
    <w:rsid w:val="000E01A6"/>
    <w:rsid w:val="000E22F0"/>
    <w:rsid w:val="000E2A42"/>
    <w:rsid w:val="000E3AC1"/>
    <w:rsid w:val="000E690E"/>
    <w:rsid w:val="000F07D5"/>
    <w:rsid w:val="000F434A"/>
    <w:rsid w:val="000F7CDB"/>
    <w:rsid w:val="00103959"/>
    <w:rsid w:val="00103AF9"/>
    <w:rsid w:val="001042D9"/>
    <w:rsid w:val="00104946"/>
    <w:rsid w:val="001106CB"/>
    <w:rsid w:val="00112796"/>
    <w:rsid w:val="00113890"/>
    <w:rsid w:val="00113D29"/>
    <w:rsid w:val="001141DE"/>
    <w:rsid w:val="00114627"/>
    <w:rsid w:val="00114DD1"/>
    <w:rsid w:val="001207BE"/>
    <w:rsid w:val="00121EF5"/>
    <w:rsid w:val="00122D6B"/>
    <w:rsid w:val="00123A31"/>
    <w:rsid w:val="00124A62"/>
    <w:rsid w:val="00126BC6"/>
    <w:rsid w:val="00127819"/>
    <w:rsid w:val="00127964"/>
    <w:rsid w:val="00127AF3"/>
    <w:rsid w:val="0013029D"/>
    <w:rsid w:val="001314B9"/>
    <w:rsid w:val="00131849"/>
    <w:rsid w:val="00134080"/>
    <w:rsid w:val="00135607"/>
    <w:rsid w:val="00140890"/>
    <w:rsid w:val="001444E4"/>
    <w:rsid w:val="00144DFB"/>
    <w:rsid w:val="001461B5"/>
    <w:rsid w:val="0015052A"/>
    <w:rsid w:val="00151833"/>
    <w:rsid w:val="001554F5"/>
    <w:rsid w:val="00155A23"/>
    <w:rsid w:val="00157669"/>
    <w:rsid w:val="001616BF"/>
    <w:rsid w:val="001637CE"/>
    <w:rsid w:val="00163B67"/>
    <w:rsid w:val="00164673"/>
    <w:rsid w:val="00165774"/>
    <w:rsid w:val="001674DC"/>
    <w:rsid w:val="00170EED"/>
    <w:rsid w:val="00172DE4"/>
    <w:rsid w:val="001749FC"/>
    <w:rsid w:val="00175C6A"/>
    <w:rsid w:val="001805CB"/>
    <w:rsid w:val="0018067D"/>
    <w:rsid w:val="001825E7"/>
    <w:rsid w:val="001867B4"/>
    <w:rsid w:val="00187218"/>
    <w:rsid w:val="00192E1D"/>
    <w:rsid w:val="00193D06"/>
    <w:rsid w:val="0019406E"/>
    <w:rsid w:val="0019453E"/>
    <w:rsid w:val="00194F07"/>
    <w:rsid w:val="00194F7D"/>
    <w:rsid w:val="001A21B9"/>
    <w:rsid w:val="001A33EC"/>
    <w:rsid w:val="001A3EAA"/>
    <w:rsid w:val="001A40EF"/>
    <w:rsid w:val="001A4AAF"/>
    <w:rsid w:val="001A604E"/>
    <w:rsid w:val="001B0608"/>
    <w:rsid w:val="001B45D8"/>
    <w:rsid w:val="001B4CC5"/>
    <w:rsid w:val="001B6050"/>
    <w:rsid w:val="001B62EE"/>
    <w:rsid w:val="001C1DBA"/>
    <w:rsid w:val="001C710E"/>
    <w:rsid w:val="001C7E73"/>
    <w:rsid w:val="001C7E91"/>
    <w:rsid w:val="001D0B97"/>
    <w:rsid w:val="001D0F65"/>
    <w:rsid w:val="001D1C1F"/>
    <w:rsid w:val="001D3523"/>
    <w:rsid w:val="001D3595"/>
    <w:rsid w:val="001D5B15"/>
    <w:rsid w:val="001D6439"/>
    <w:rsid w:val="001D6952"/>
    <w:rsid w:val="001D6B8F"/>
    <w:rsid w:val="001E20A7"/>
    <w:rsid w:val="001E30BA"/>
    <w:rsid w:val="001E4D8F"/>
    <w:rsid w:val="001E54B1"/>
    <w:rsid w:val="001F0E37"/>
    <w:rsid w:val="001F0F3D"/>
    <w:rsid w:val="001F35D4"/>
    <w:rsid w:val="001F4CBF"/>
    <w:rsid w:val="001F613E"/>
    <w:rsid w:val="00200E77"/>
    <w:rsid w:val="00203D36"/>
    <w:rsid w:val="0020567C"/>
    <w:rsid w:val="0020684E"/>
    <w:rsid w:val="00207FC1"/>
    <w:rsid w:val="00210E0B"/>
    <w:rsid w:val="00210E8A"/>
    <w:rsid w:val="002141E4"/>
    <w:rsid w:val="00215457"/>
    <w:rsid w:val="002179E3"/>
    <w:rsid w:val="00221184"/>
    <w:rsid w:val="00221909"/>
    <w:rsid w:val="00223EE0"/>
    <w:rsid w:val="0022406E"/>
    <w:rsid w:val="002250EB"/>
    <w:rsid w:val="002262E6"/>
    <w:rsid w:val="00226BAF"/>
    <w:rsid w:val="00226FB1"/>
    <w:rsid w:val="00230201"/>
    <w:rsid w:val="00231654"/>
    <w:rsid w:val="00231C15"/>
    <w:rsid w:val="0023451A"/>
    <w:rsid w:val="00235196"/>
    <w:rsid w:val="002353B5"/>
    <w:rsid w:val="00235460"/>
    <w:rsid w:val="002358B2"/>
    <w:rsid w:val="00235B60"/>
    <w:rsid w:val="00236FEE"/>
    <w:rsid w:val="0024006F"/>
    <w:rsid w:val="002403E8"/>
    <w:rsid w:val="0024099D"/>
    <w:rsid w:val="00244D93"/>
    <w:rsid w:val="002453F5"/>
    <w:rsid w:val="00245FA4"/>
    <w:rsid w:val="00247805"/>
    <w:rsid w:val="00250050"/>
    <w:rsid w:val="00251952"/>
    <w:rsid w:val="00252D7F"/>
    <w:rsid w:val="00255544"/>
    <w:rsid w:val="00256703"/>
    <w:rsid w:val="00257343"/>
    <w:rsid w:val="00257772"/>
    <w:rsid w:val="00262F9E"/>
    <w:rsid w:val="00264403"/>
    <w:rsid w:val="00264BB0"/>
    <w:rsid w:val="00270CC1"/>
    <w:rsid w:val="0027256B"/>
    <w:rsid w:val="00275B71"/>
    <w:rsid w:val="002762C1"/>
    <w:rsid w:val="00280498"/>
    <w:rsid w:val="00283FD5"/>
    <w:rsid w:val="002842F2"/>
    <w:rsid w:val="002845DA"/>
    <w:rsid w:val="0028512A"/>
    <w:rsid w:val="00286497"/>
    <w:rsid w:val="00287250"/>
    <w:rsid w:val="00287B60"/>
    <w:rsid w:val="00287F6A"/>
    <w:rsid w:val="00290EE1"/>
    <w:rsid w:val="0029110C"/>
    <w:rsid w:val="00291B56"/>
    <w:rsid w:val="00293634"/>
    <w:rsid w:val="00295744"/>
    <w:rsid w:val="00295A7E"/>
    <w:rsid w:val="00297C8F"/>
    <w:rsid w:val="002A0B11"/>
    <w:rsid w:val="002A0D17"/>
    <w:rsid w:val="002A23A3"/>
    <w:rsid w:val="002A3BFB"/>
    <w:rsid w:val="002A4198"/>
    <w:rsid w:val="002A4B3B"/>
    <w:rsid w:val="002A4FE0"/>
    <w:rsid w:val="002A7FAD"/>
    <w:rsid w:val="002B0012"/>
    <w:rsid w:val="002B15DF"/>
    <w:rsid w:val="002B2B61"/>
    <w:rsid w:val="002B41BF"/>
    <w:rsid w:val="002C2D69"/>
    <w:rsid w:val="002C2FDC"/>
    <w:rsid w:val="002C30CA"/>
    <w:rsid w:val="002C3B50"/>
    <w:rsid w:val="002C3EB2"/>
    <w:rsid w:val="002C6EAC"/>
    <w:rsid w:val="002D2411"/>
    <w:rsid w:val="002D5A3B"/>
    <w:rsid w:val="002D6756"/>
    <w:rsid w:val="002D6EE3"/>
    <w:rsid w:val="002D710F"/>
    <w:rsid w:val="002E031B"/>
    <w:rsid w:val="002E0986"/>
    <w:rsid w:val="002E2095"/>
    <w:rsid w:val="002E5922"/>
    <w:rsid w:val="002E5A43"/>
    <w:rsid w:val="002E701A"/>
    <w:rsid w:val="002F098D"/>
    <w:rsid w:val="002F0CCE"/>
    <w:rsid w:val="002F73D7"/>
    <w:rsid w:val="0030001D"/>
    <w:rsid w:val="00303275"/>
    <w:rsid w:val="00303FA0"/>
    <w:rsid w:val="0030488E"/>
    <w:rsid w:val="0030609B"/>
    <w:rsid w:val="003062BB"/>
    <w:rsid w:val="003067A1"/>
    <w:rsid w:val="0031091C"/>
    <w:rsid w:val="003126DB"/>
    <w:rsid w:val="00312BE1"/>
    <w:rsid w:val="0031364B"/>
    <w:rsid w:val="003146D2"/>
    <w:rsid w:val="003168DA"/>
    <w:rsid w:val="00317289"/>
    <w:rsid w:val="00321CA7"/>
    <w:rsid w:val="0032690B"/>
    <w:rsid w:val="0032767F"/>
    <w:rsid w:val="00333349"/>
    <w:rsid w:val="003404A5"/>
    <w:rsid w:val="003418F3"/>
    <w:rsid w:val="00342256"/>
    <w:rsid w:val="00342291"/>
    <w:rsid w:val="0034401C"/>
    <w:rsid w:val="003461DA"/>
    <w:rsid w:val="00354683"/>
    <w:rsid w:val="00355721"/>
    <w:rsid w:val="003566AF"/>
    <w:rsid w:val="00356B92"/>
    <w:rsid w:val="00357909"/>
    <w:rsid w:val="00362665"/>
    <w:rsid w:val="00362886"/>
    <w:rsid w:val="00362C28"/>
    <w:rsid w:val="00366DAE"/>
    <w:rsid w:val="00371088"/>
    <w:rsid w:val="003714AF"/>
    <w:rsid w:val="0037159B"/>
    <w:rsid w:val="00373DF4"/>
    <w:rsid w:val="003745BD"/>
    <w:rsid w:val="00375EBF"/>
    <w:rsid w:val="00376342"/>
    <w:rsid w:val="0037684C"/>
    <w:rsid w:val="00376EBD"/>
    <w:rsid w:val="00377C81"/>
    <w:rsid w:val="00380922"/>
    <w:rsid w:val="00380F01"/>
    <w:rsid w:val="00383F2B"/>
    <w:rsid w:val="00384CDC"/>
    <w:rsid w:val="00386598"/>
    <w:rsid w:val="00387A39"/>
    <w:rsid w:val="00392FEF"/>
    <w:rsid w:val="003931E5"/>
    <w:rsid w:val="00393542"/>
    <w:rsid w:val="00393E3B"/>
    <w:rsid w:val="0039418F"/>
    <w:rsid w:val="003977BE"/>
    <w:rsid w:val="0039795F"/>
    <w:rsid w:val="00397D81"/>
    <w:rsid w:val="003A2823"/>
    <w:rsid w:val="003A3DF1"/>
    <w:rsid w:val="003A64A6"/>
    <w:rsid w:val="003A792F"/>
    <w:rsid w:val="003B099A"/>
    <w:rsid w:val="003B0E71"/>
    <w:rsid w:val="003B1787"/>
    <w:rsid w:val="003B1A01"/>
    <w:rsid w:val="003B1B4E"/>
    <w:rsid w:val="003B74E3"/>
    <w:rsid w:val="003B794A"/>
    <w:rsid w:val="003C0D87"/>
    <w:rsid w:val="003C1503"/>
    <w:rsid w:val="003C7FD6"/>
    <w:rsid w:val="003D0B8E"/>
    <w:rsid w:val="003D0C50"/>
    <w:rsid w:val="003D0CC7"/>
    <w:rsid w:val="003D313A"/>
    <w:rsid w:val="003D5242"/>
    <w:rsid w:val="003D6E7B"/>
    <w:rsid w:val="003E0B9D"/>
    <w:rsid w:val="003E2CED"/>
    <w:rsid w:val="003E2FE1"/>
    <w:rsid w:val="003E39A2"/>
    <w:rsid w:val="003E56E1"/>
    <w:rsid w:val="003E6807"/>
    <w:rsid w:val="003E6BC9"/>
    <w:rsid w:val="003E7B5C"/>
    <w:rsid w:val="003F0005"/>
    <w:rsid w:val="003F0CBA"/>
    <w:rsid w:val="003F0F6C"/>
    <w:rsid w:val="003F55DF"/>
    <w:rsid w:val="003F5C14"/>
    <w:rsid w:val="003F7432"/>
    <w:rsid w:val="004009A8"/>
    <w:rsid w:val="0040129F"/>
    <w:rsid w:val="00403397"/>
    <w:rsid w:val="00404487"/>
    <w:rsid w:val="00404AA9"/>
    <w:rsid w:val="0040504F"/>
    <w:rsid w:val="0040573E"/>
    <w:rsid w:val="00407175"/>
    <w:rsid w:val="0041085E"/>
    <w:rsid w:val="0041108D"/>
    <w:rsid w:val="00411E23"/>
    <w:rsid w:val="0041452B"/>
    <w:rsid w:val="00416515"/>
    <w:rsid w:val="0041732A"/>
    <w:rsid w:val="00417902"/>
    <w:rsid w:val="00417EE1"/>
    <w:rsid w:val="004205DE"/>
    <w:rsid w:val="00420835"/>
    <w:rsid w:val="00421A53"/>
    <w:rsid w:val="00421FB3"/>
    <w:rsid w:val="00425B55"/>
    <w:rsid w:val="00425F7A"/>
    <w:rsid w:val="004265EB"/>
    <w:rsid w:val="00426636"/>
    <w:rsid w:val="00430B08"/>
    <w:rsid w:val="00430D43"/>
    <w:rsid w:val="00440058"/>
    <w:rsid w:val="00441E5F"/>
    <w:rsid w:val="00442047"/>
    <w:rsid w:val="0044347E"/>
    <w:rsid w:val="00444559"/>
    <w:rsid w:val="004449C6"/>
    <w:rsid w:val="00446379"/>
    <w:rsid w:val="00446ED0"/>
    <w:rsid w:val="004505B6"/>
    <w:rsid w:val="00450697"/>
    <w:rsid w:val="004522F5"/>
    <w:rsid w:val="00452A71"/>
    <w:rsid w:val="00454D43"/>
    <w:rsid w:val="00455336"/>
    <w:rsid w:val="004556D2"/>
    <w:rsid w:val="00455B20"/>
    <w:rsid w:val="00457FCE"/>
    <w:rsid w:val="004615A8"/>
    <w:rsid w:val="00461D9C"/>
    <w:rsid w:val="00462287"/>
    <w:rsid w:val="00463491"/>
    <w:rsid w:val="0046554F"/>
    <w:rsid w:val="004676D6"/>
    <w:rsid w:val="004679F9"/>
    <w:rsid w:val="004712B5"/>
    <w:rsid w:val="004737AC"/>
    <w:rsid w:val="0047491C"/>
    <w:rsid w:val="00480D65"/>
    <w:rsid w:val="00480DA3"/>
    <w:rsid w:val="00481D55"/>
    <w:rsid w:val="00481E47"/>
    <w:rsid w:val="004823A4"/>
    <w:rsid w:val="004838C4"/>
    <w:rsid w:val="0048643F"/>
    <w:rsid w:val="0048725F"/>
    <w:rsid w:val="004874FC"/>
    <w:rsid w:val="00487DC2"/>
    <w:rsid w:val="004911E3"/>
    <w:rsid w:val="00492E97"/>
    <w:rsid w:val="0049365D"/>
    <w:rsid w:val="004963A1"/>
    <w:rsid w:val="00496D98"/>
    <w:rsid w:val="004A027A"/>
    <w:rsid w:val="004A3B40"/>
    <w:rsid w:val="004A78B9"/>
    <w:rsid w:val="004A7C20"/>
    <w:rsid w:val="004B021F"/>
    <w:rsid w:val="004B3149"/>
    <w:rsid w:val="004B33B5"/>
    <w:rsid w:val="004B4CC6"/>
    <w:rsid w:val="004B5156"/>
    <w:rsid w:val="004B6FD2"/>
    <w:rsid w:val="004C0C31"/>
    <w:rsid w:val="004C1BBF"/>
    <w:rsid w:val="004C2AD0"/>
    <w:rsid w:val="004C302C"/>
    <w:rsid w:val="004C6394"/>
    <w:rsid w:val="004C69DF"/>
    <w:rsid w:val="004D055E"/>
    <w:rsid w:val="004D281D"/>
    <w:rsid w:val="004D2A29"/>
    <w:rsid w:val="004D4779"/>
    <w:rsid w:val="004D5031"/>
    <w:rsid w:val="004E135B"/>
    <w:rsid w:val="004F0494"/>
    <w:rsid w:val="004F13B8"/>
    <w:rsid w:val="004F2B17"/>
    <w:rsid w:val="004F4A0F"/>
    <w:rsid w:val="004F4FE6"/>
    <w:rsid w:val="004F5181"/>
    <w:rsid w:val="004F64B5"/>
    <w:rsid w:val="004F68B1"/>
    <w:rsid w:val="005024FC"/>
    <w:rsid w:val="00502928"/>
    <w:rsid w:val="0050319F"/>
    <w:rsid w:val="0050320C"/>
    <w:rsid w:val="00505D33"/>
    <w:rsid w:val="00506C5D"/>
    <w:rsid w:val="00507D82"/>
    <w:rsid w:val="005101DE"/>
    <w:rsid w:val="005106DE"/>
    <w:rsid w:val="00513494"/>
    <w:rsid w:val="00514917"/>
    <w:rsid w:val="00515BB7"/>
    <w:rsid w:val="005164B1"/>
    <w:rsid w:val="00517053"/>
    <w:rsid w:val="00517D42"/>
    <w:rsid w:val="005207BA"/>
    <w:rsid w:val="00521405"/>
    <w:rsid w:val="00521C3D"/>
    <w:rsid w:val="005221D5"/>
    <w:rsid w:val="00522DD1"/>
    <w:rsid w:val="00523A39"/>
    <w:rsid w:val="00524597"/>
    <w:rsid w:val="005255F1"/>
    <w:rsid w:val="00526045"/>
    <w:rsid w:val="00527AE4"/>
    <w:rsid w:val="00530539"/>
    <w:rsid w:val="00532838"/>
    <w:rsid w:val="00532C3B"/>
    <w:rsid w:val="005331CB"/>
    <w:rsid w:val="005352DA"/>
    <w:rsid w:val="00540667"/>
    <w:rsid w:val="005428F2"/>
    <w:rsid w:val="00544A0B"/>
    <w:rsid w:val="00545250"/>
    <w:rsid w:val="0054682A"/>
    <w:rsid w:val="00546BA3"/>
    <w:rsid w:val="00547CDE"/>
    <w:rsid w:val="00550111"/>
    <w:rsid w:val="00550270"/>
    <w:rsid w:val="00550933"/>
    <w:rsid w:val="00552539"/>
    <w:rsid w:val="0055415B"/>
    <w:rsid w:val="00554B67"/>
    <w:rsid w:val="00554BAF"/>
    <w:rsid w:val="005554B7"/>
    <w:rsid w:val="00556072"/>
    <w:rsid w:val="00556F95"/>
    <w:rsid w:val="005574EE"/>
    <w:rsid w:val="0056185E"/>
    <w:rsid w:val="00561A21"/>
    <w:rsid w:val="00563521"/>
    <w:rsid w:val="00567DCF"/>
    <w:rsid w:val="005730C9"/>
    <w:rsid w:val="00574223"/>
    <w:rsid w:val="005747FD"/>
    <w:rsid w:val="0057558E"/>
    <w:rsid w:val="00576AA8"/>
    <w:rsid w:val="00576E78"/>
    <w:rsid w:val="00581E14"/>
    <w:rsid w:val="00582CBD"/>
    <w:rsid w:val="00582F5D"/>
    <w:rsid w:val="005835AB"/>
    <w:rsid w:val="00584BE8"/>
    <w:rsid w:val="00594309"/>
    <w:rsid w:val="005945AC"/>
    <w:rsid w:val="0059462D"/>
    <w:rsid w:val="00595368"/>
    <w:rsid w:val="005A7C3F"/>
    <w:rsid w:val="005B11D0"/>
    <w:rsid w:val="005B1E4A"/>
    <w:rsid w:val="005B3BC0"/>
    <w:rsid w:val="005B5DD3"/>
    <w:rsid w:val="005B6B47"/>
    <w:rsid w:val="005C1393"/>
    <w:rsid w:val="005C4A0D"/>
    <w:rsid w:val="005D2243"/>
    <w:rsid w:val="005D4159"/>
    <w:rsid w:val="005D4200"/>
    <w:rsid w:val="005D65BA"/>
    <w:rsid w:val="005D66F0"/>
    <w:rsid w:val="005E04FA"/>
    <w:rsid w:val="005E0A87"/>
    <w:rsid w:val="005E1584"/>
    <w:rsid w:val="005E1BEC"/>
    <w:rsid w:val="005E21E9"/>
    <w:rsid w:val="005E28C7"/>
    <w:rsid w:val="005E2F9F"/>
    <w:rsid w:val="005E36B3"/>
    <w:rsid w:val="005E3AD4"/>
    <w:rsid w:val="005E54C9"/>
    <w:rsid w:val="005E6A92"/>
    <w:rsid w:val="005F049F"/>
    <w:rsid w:val="005F1D14"/>
    <w:rsid w:val="005F2EEB"/>
    <w:rsid w:val="005F3598"/>
    <w:rsid w:val="005F499A"/>
    <w:rsid w:val="005F5D22"/>
    <w:rsid w:val="0060302F"/>
    <w:rsid w:val="00603D37"/>
    <w:rsid w:val="00603EC0"/>
    <w:rsid w:val="00610458"/>
    <w:rsid w:val="006131FF"/>
    <w:rsid w:val="00613ABC"/>
    <w:rsid w:val="00615273"/>
    <w:rsid w:val="00615280"/>
    <w:rsid w:val="006172A2"/>
    <w:rsid w:val="0062122E"/>
    <w:rsid w:val="00624AD8"/>
    <w:rsid w:val="006278AD"/>
    <w:rsid w:val="006334EA"/>
    <w:rsid w:val="00633D77"/>
    <w:rsid w:val="006360A3"/>
    <w:rsid w:val="00640111"/>
    <w:rsid w:val="0064116C"/>
    <w:rsid w:val="006417F6"/>
    <w:rsid w:val="0064213A"/>
    <w:rsid w:val="00642945"/>
    <w:rsid w:val="00642AB6"/>
    <w:rsid w:val="00644311"/>
    <w:rsid w:val="006455D6"/>
    <w:rsid w:val="00645B04"/>
    <w:rsid w:val="00651F35"/>
    <w:rsid w:val="00653406"/>
    <w:rsid w:val="006542F7"/>
    <w:rsid w:val="006557D2"/>
    <w:rsid w:val="00656263"/>
    <w:rsid w:val="00662F4A"/>
    <w:rsid w:val="00664E90"/>
    <w:rsid w:val="0066631C"/>
    <w:rsid w:val="006664D5"/>
    <w:rsid w:val="00667967"/>
    <w:rsid w:val="00667C5B"/>
    <w:rsid w:val="0067060D"/>
    <w:rsid w:val="006715DA"/>
    <w:rsid w:val="00672251"/>
    <w:rsid w:val="00673008"/>
    <w:rsid w:val="00675580"/>
    <w:rsid w:val="00675E41"/>
    <w:rsid w:val="00677BC2"/>
    <w:rsid w:val="00681408"/>
    <w:rsid w:val="00683AB3"/>
    <w:rsid w:val="00683F9A"/>
    <w:rsid w:val="00685250"/>
    <w:rsid w:val="00685C6F"/>
    <w:rsid w:val="006874EB"/>
    <w:rsid w:val="00687CBB"/>
    <w:rsid w:val="00690A8B"/>
    <w:rsid w:val="00690E78"/>
    <w:rsid w:val="00691A87"/>
    <w:rsid w:val="00692F9B"/>
    <w:rsid w:val="006932AE"/>
    <w:rsid w:val="006932DE"/>
    <w:rsid w:val="006935B1"/>
    <w:rsid w:val="006A09C8"/>
    <w:rsid w:val="006A2C13"/>
    <w:rsid w:val="006A41D4"/>
    <w:rsid w:val="006A692F"/>
    <w:rsid w:val="006A7DDD"/>
    <w:rsid w:val="006B1695"/>
    <w:rsid w:val="006B22D5"/>
    <w:rsid w:val="006B3A27"/>
    <w:rsid w:val="006B5D7E"/>
    <w:rsid w:val="006B6CEE"/>
    <w:rsid w:val="006B72E8"/>
    <w:rsid w:val="006B7FB2"/>
    <w:rsid w:val="006C009F"/>
    <w:rsid w:val="006C04CE"/>
    <w:rsid w:val="006C1F38"/>
    <w:rsid w:val="006C2D0A"/>
    <w:rsid w:val="006C2FD6"/>
    <w:rsid w:val="006C5FF5"/>
    <w:rsid w:val="006C6871"/>
    <w:rsid w:val="006C6CCF"/>
    <w:rsid w:val="006D010D"/>
    <w:rsid w:val="006D0C70"/>
    <w:rsid w:val="006D1B2F"/>
    <w:rsid w:val="006D1E54"/>
    <w:rsid w:val="006D2248"/>
    <w:rsid w:val="006E05D0"/>
    <w:rsid w:val="006E1881"/>
    <w:rsid w:val="006E1D33"/>
    <w:rsid w:val="006E2816"/>
    <w:rsid w:val="006E4654"/>
    <w:rsid w:val="006E596E"/>
    <w:rsid w:val="006E65A0"/>
    <w:rsid w:val="006E6891"/>
    <w:rsid w:val="006E6FAD"/>
    <w:rsid w:val="006E7259"/>
    <w:rsid w:val="006E72CB"/>
    <w:rsid w:val="006E7D7B"/>
    <w:rsid w:val="006F0450"/>
    <w:rsid w:val="006F082D"/>
    <w:rsid w:val="006F263A"/>
    <w:rsid w:val="006F27EA"/>
    <w:rsid w:val="006F29F4"/>
    <w:rsid w:val="006F50E9"/>
    <w:rsid w:val="006F5DCB"/>
    <w:rsid w:val="006F74B6"/>
    <w:rsid w:val="00700D8F"/>
    <w:rsid w:val="007010C4"/>
    <w:rsid w:val="0070221B"/>
    <w:rsid w:val="00704929"/>
    <w:rsid w:val="00707A7C"/>
    <w:rsid w:val="007108C1"/>
    <w:rsid w:val="00712B02"/>
    <w:rsid w:val="007131D9"/>
    <w:rsid w:val="00714FF1"/>
    <w:rsid w:val="00715143"/>
    <w:rsid w:val="007206D6"/>
    <w:rsid w:val="00721FDF"/>
    <w:rsid w:val="00724C8C"/>
    <w:rsid w:val="007250CE"/>
    <w:rsid w:val="007271F3"/>
    <w:rsid w:val="00727991"/>
    <w:rsid w:val="007305A8"/>
    <w:rsid w:val="0073210B"/>
    <w:rsid w:val="0073238A"/>
    <w:rsid w:val="007328DA"/>
    <w:rsid w:val="00733F6F"/>
    <w:rsid w:val="007343A6"/>
    <w:rsid w:val="00734773"/>
    <w:rsid w:val="00736EF5"/>
    <w:rsid w:val="007374D3"/>
    <w:rsid w:val="00737C54"/>
    <w:rsid w:val="00737D0B"/>
    <w:rsid w:val="00740E4D"/>
    <w:rsid w:val="00741643"/>
    <w:rsid w:val="00744747"/>
    <w:rsid w:val="00744B83"/>
    <w:rsid w:val="00746254"/>
    <w:rsid w:val="00750B5A"/>
    <w:rsid w:val="0075100C"/>
    <w:rsid w:val="00751F14"/>
    <w:rsid w:val="007520E4"/>
    <w:rsid w:val="00753278"/>
    <w:rsid w:val="00754ECB"/>
    <w:rsid w:val="00755F92"/>
    <w:rsid w:val="00756AEB"/>
    <w:rsid w:val="0076334B"/>
    <w:rsid w:val="007663EA"/>
    <w:rsid w:val="007667E8"/>
    <w:rsid w:val="00766A8E"/>
    <w:rsid w:val="00766D38"/>
    <w:rsid w:val="00770406"/>
    <w:rsid w:val="007711F7"/>
    <w:rsid w:val="0077454A"/>
    <w:rsid w:val="00776D2D"/>
    <w:rsid w:val="0077771C"/>
    <w:rsid w:val="007779C6"/>
    <w:rsid w:val="00780E40"/>
    <w:rsid w:val="00784269"/>
    <w:rsid w:val="0078773E"/>
    <w:rsid w:val="00790B40"/>
    <w:rsid w:val="007920EA"/>
    <w:rsid w:val="00792921"/>
    <w:rsid w:val="007A0114"/>
    <w:rsid w:val="007A313F"/>
    <w:rsid w:val="007A4B57"/>
    <w:rsid w:val="007A54E1"/>
    <w:rsid w:val="007A553B"/>
    <w:rsid w:val="007A58CD"/>
    <w:rsid w:val="007B0069"/>
    <w:rsid w:val="007B055B"/>
    <w:rsid w:val="007B28C1"/>
    <w:rsid w:val="007B45BF"/>
    <w:rsid w:val="007B4629"/>
    <w:rsid w:val="007B5194"/>
    <w:rsid w:val="007B51FC"/>
    <w:rsid w:val="007B6789"/>
    <w:rsid w:val="007C0278"/>
    <w:rsid w:val="007C0620"/>
    <w:rsid w:val="007C2938"/>
    <w:rsid w:val="007C2D9D"/>
    <w:rsid w:val="007C44AA"/>
    <w:rsid w:val="007C634C"/>
    <w:rsid w:val="007C6FF5"/>
    <w:rsid w:val="007C77FB"/>
    <w:rsid w:val="007D2C9A"/>
    <w:rsid w:val="007D3C29"/>
    <w:rsid w:val="007E00D5"/>
    <w:rsid w:val="007E066D"/>
    <w:rsid w:val="007E3C17"/>
    <w:rsid w:val="007E634B"/>
    <w:rsid w:val="007F0149"/>
    <w:rsid w:val="007F39B2"/>
    <w:rsid w:val="007F3A9C"/>
    <w:rsid w:val="007F42B8"/>
    <w:rsid w:val="007F47F7"/>
    <w:rsid w:val="007F5195"/>
    <w:rsid w:val="007F5AC1"/>
    <w:rsid w:val="00800F97"/>
    <w:rsid w:val="008017AB"/>
    <w:rsid w:val="00801DF4"/>
    <w:rsid w:val="00804AF5"/>
    <w:rsid w:val="00806BD7"/>
    <w:rsid w:val="008133C4"/>
    <w:rsid w:val="008139D8"/>
    <w:rsid w:val="008149E0"/>
    <w:rsid w:val="00815297"/>
    <w:rsid w:val="00822B6A"/>
    <w:rsid w:val="00824F3A"/>
    <w:rsid w:val="00826F54"/>
    <w:rsid w:val="00827069"/>
    <w:rsid w:val="00827C7D"/>
    <w:rsid w:val="0083094D"/>
    <w:rsid w:val="00831218"/>
    <w:rsid w:val="008335BA"/>
    <w:rsid w:val="00834752"/>
    <w:rsid w:val="0083628D"/>
    <w:rsid w:val="00836415"/>
    <w:rsid w:val="00836C8A"/>
    <w:rsid w:val="00842C70"/>
    <w:rsid w:val="0084421B"/>
    <w:rsid w:val="008455EF"/>
    <w:rsid w:val="00850B2D"/>
    <w:rsid w:val="00851654"/>
    <w:rsid w:val="00853116"/>
    <w:rsid w:val="008535CE"/>
    <w:rsid w:val="008540D8"/>
    <w:rsid w:val="00854EC5"/>
    <w:rsid w:val="00856A92"/>
    <w:rsid w:val="008614BB"/>
    <w:rsid w:val="00863E2A"/>
    <w:rsid w:val="008652B8"/>
    <w:rsid w:val="008655B6"/>
    <w:rsid w:val="00867530"/>
    <w:rsid w:val="00867883"/>
    <w:rsid w:val="00867CC5"/>
    <w:rsid w:val="0087011F"/>
    <w:rsid w:val="008701AD"/>
    <w:rsid w:val="00871189"/>
    <w:rsid w:val="008731AB"/>
    <w:rsid w:val="008736E5"/>
    <w:rsid w:val="0087592E"/>
    <w:rsid w:val="0087602D"/>
    <w:rsid w:val="008767D3"/>
    <w:rsid w:val="00877468"/>
    <w:rsid w:val="008824A7"/>
    <w:rsid w:val="008830E9"/>
    <w:rsid w:val="008855B8"/>
    <w:rsid w:val="008858BC"/>
    <w:rsid w:val="00886381"/>
    <w:rsid w:val="0088785F"/>
    <w:rsid w:val="008914BD"/>
    <w:rsid w:val="00893242"/>
    <w:rsid w:val="00893966"/>
    <w:rsid w:val="0089592F"/>
    <w:rsid w:val="0089617A"/>
    <w:rsid w:val="0089629F"/>
    <w:rsid w:val="0089638F"/>
    <w:rsid w:val="008A0BCE"/>
    <w:rsid w:val="008A11E3"/>
    <w:rsid w:val="008A25CD"/>
    <w:rsid w:val="008A268B"/>
    <w:rsid w:val="008A2EFC"/>
    <w:rsid w:val="008A302B"/>
    <w:rsid w:val="008A324D"/>
    <w:rsid w:val="008A3BFD"/>
    <w:rsid w:val="008A5EE1"/>
    <w:rsid w:val="008A7BDA"/>
    <w:rsid w:val="008B06DD"/>
    <w:rsid w:val="008B1AC7"/>
    <w:rsid w:val="008B51D2"/>
    <w:rsid w:val="008C3628"/>
    <w:rsid w:val="008C474E"/>
    <w:rsid w:val="008C567D"/>
    <w:rsid w:val="008C57A3"/>
    <w:rsid w:val="008C675D"/>
    <w:rsid w:val="008C7FED"/>
    <w:rsid w:val="008D0CC3"/>
    <w:rsid w:val="008D2C66"/>
    <w:rsid w:val="008D39A7"/>
    <w:rsid w:val="008D5295"/>
    <w:rsid w:val="008D544E"/>
    <w:rsid w:val="008D54E9"/>
    <w:rsid w:val="008E09F2"/>
    <w:rsid w:val="008E0A51"/>
    <w:rsid w:val="008E35DF"/>
    <w:rsid w:val="008E5B2C"/>
    <w:rsid w:val="008F1525"/>
    <w:rsid w:val="008F1D08"/>
    <w:rsid w:val="008F26CD"/>
    <w:rsid w:val="008F54E7"/>
    <w:rsid w:val="008F6BCF"/>
    <w:rsid w:val="00902968"/>
    <w:rsid w:val="00904FE8"/>
    <w:rsid w:val="009060CB"/>
    <w:rsid w:val="00906395"/>
    <w:rsid w:val="0091092D"/>
    <w:rsid w:val="00910ACB"/>
    <w:rsid w:val="009117FD"/>
    <w:rsid w:val="00911B5A"/>
    <w:rsid w:val="00913B58"/>
    <w:rsid w:val="00915B46"/>
    <w:rsid w:val="00920FE9"/>
    <w:rsid w:val="00921416"/>
    <w:rsid w:val="009226E0"/>
    <w:rsid w:val="0092399F"/>
    <w:rsid w:val="0092496C"/>
    <w:rsid w:val="00924A1B"/>
    <w:rsid w:val="00924A66"/>
    <w:rsid w:val="0092595C"/>
    <w:rsid w:val="0092613C"/>
    <w:rsid w:val="009264E3"/>
    <w:rsid w:val="00931A9E"/>
    <w:rsid w:val="00931D23"/>
    <w:rsid w:val="009320B0"/>
    <w:rsid w:val="00932AF7"/>
    <w:rsid w:val="00932B32"/>
    <w:rsid w:val="00933335"/>
    <w:rsid w:val="0093341C"/>
    <w:rsid w:val="009334DA"/>
    <w:rsid w:val="00933BF0"/>
    <w:rsid w:val="00933F53"/>
    <w:rsid w:val="0093620E"/>
    <w:rsid w:val="0093649C"/>
    <w:rsid w:val="0093731C"/>
    <w:rsid w:val="0093753D"/>
    <w:rsid w:val="00940C01"/>
    <w:rsid w:val="00941277"/>
    <w:rsid w:val="009417CA"/>
    <w:rsid w:val="00941874"/>
    <w:rsid w:val="00942273"/>
    <w:rsid w:val="00944683"/>
    <w:rsid w:val="00947D8E"/>
    <w:rsid w:val="00950B28"/>
    <w:rsid w:val="00951C12"/>
    <w:rsid w:val="0095496B"/>
    <w:rsid w:val="00956370"/>
    <w:rsid w:val="00956802"/>
    <w:rsid w:val="00957CEB"/>
    <w:rsid w:val="00960450"/>
    <w:rsid w:val="00961806"/>
    <w:rsid w:val="00961F25"/>
    <w:rsid w:val="00962CB3"/>
    <w:rsid w:val="00962FD9"/>
    <w:rsid w:val="00963426"/>
    <w:rsid w:val="009646D7"/>
    <w:rsid w:val="009650E3"/>
    <w:rsid w:val="00965DF4"/>
    <w:rsid w:val="00971C2C"/>
    <w:rsid w:val="00972359"/>
    <w:rsid w:val="00976277"/>
    <w:rsid w:val="00976B2F"/>
    <w:rsid w:val="00980DD8"/>
    <w:rsid w:val="0098131F"/>
    <w:rsid w:val="0098236C"/>
    <w:rsid w:val="009834FA"/>
    <w:rsid w:val="00984520"/>
    <w:rsid w:val="009849EF"/>
    <w:rsid w:val="0098613E"/>
    <w:rsid w:val="00990ED3"/>
    <w:rsid w:val="00991E1C"/>
    <w:rsid w:val="009921DB"/>
    <w:rsid w:val="00993C33"/>
    <w:rsid w:val="00993F92"/>
    <w:rsid w:val="0099408D"/>
    <w:rsid w:val="00996300"/>
    <w:rsid w:val="009966E7"/>
    <w:rsid w:val="00996C11"/>
    <w:rsid w:val="0099782D"/>
    <w:rsid w:val="009A0248"/>
    <w:rsid w:val="009A69D5"/>
    <w:rsid w:val="009B0043"/>
    <w:rsid w:val="009B07AC"/>
    <w:rsid w:val="009B3FCD"/>
    <w:rsid w:val="009B7563"/>
    <w:rsid w:val="009B7757"/>
    <w:rsid w:val="009C0BDF"/>
    <w:rsid w:val="009C171A"/>
    <w:rsid w:val="009C1D80"/>
    <w:rsid w:val="009C359C"/>
    <w:rsid w:val="009C5518"/>
    <w:rsid w:val="009D2927"/>
    <w:rsid w:val="009D3CB7"/>
    <w:rsid w:val="009D4387"/>
    <w:rsid w:val="009D5651"/>
    <w:rsid w:val="009D5F8E"/>
    <w:rsid w:val="009D64E5"/>
    <w:rsid w:val="009D79E5"/>
    <w:rsid w:val="009E2273"/>
    <w:rsid w:val="009E4063"/>
    <w:rsid w:val="009E5AAF"/>
    <w:rsid w:val="009E60B3"/>
    <w:rsid w:val="009E7D18"/>
    <w:rsid w:val="009F01F4"/>
    <w:rsid w:val="009F3291"/>
    <w:rsid w:val="009F43B0"/>
    <w:rsid w:val="009F617B"/>
    <w:rsid w:val="009F6845"/>
    <w:rsid w:val="009F6D7D"/>
    <w:rsid w:val="009F6F47"/>
    <w:rsid w:val="00A009C5"/>
    <w:rsid w:val="00A010B1"/>
    <w:rsid w:val="00A03799"/>
    <w:rsid w:val="00A03DE5"/>
    <w:rsid w:val="00A102FE"/>
    <w:rsid w:val="00A11D83"/>
    <w:rsid w:val="00A16689"/>
    <w:rsid w:val="00A16BD5"/>
    <w:rsid w:val="00A220D5"/>
    <w:rsid w:val="00A2228E"/>
    <w:rsid w:val="00A22582"/>
    <w:rsid w:val="00A22835"/>
    <w:rsid w:val="00A24575"/>
    <w:rsid w:val="00A26613"/>
    <w:rsid w:val="00A367C4"/>
    <w:rsid w:val="00A37F25"/>
    <w:rsid w:val="00A405E8"/>
    <w:rsid w:val="00A44D89"/>
    <w:rsid w:val="00A46EFE"/>
    <w:rsid w:val="00A52A83"/>
    <w:rsid w:val="00A52E6D"/>
    <w:rsid w:val="00A54615"/>
    <w:rsid w:val="00A55064"/>
    <w:rsid w:val="00A566C3"/>
    <w:rsid w:val="00A56DF1"/>
    <w:rsid w:val="00A600A2"/>
    <w:rsid w:val="00A60866"/>
    <w:rsid w:val="00A60F77"/>
    <w:rsid w:val="00A65CC2"/>
    <w:rsid w:val="00A676B8"/>
    <w:rsid w:val="00A7089E"/>
    <w:rsid w:val="00A70A46"/>
    <w:rsid w:val="00A70A4A"/>
    <w:rsid w:val="00A71160"/>
    <w:rsid w:val="00A72579"/>
    <w:rsid w:val="00A7303E"/>
    <w:rsid w:val="00A73041"/>
    <w:rsid w:val="00A73095"/>
    <w:rsid w:val="00A73938"/>
    <w:rsid w:val="00A73965"/>
    <w:rsid w:val="00A74DDD"/>
    <w:rsid w:val="00A80E74"/>
    <w:rsid w:val="00A9079A"/>
    <w:rsid w:val="00A91163"/>
    <w:rsid w:val="00A914FC"/>
    <w:rsid w:val="00A916A7"/>
    <w:rsid w:val="00A916AB"/>
    <w:rsid w:val="00A93C9D"/>
    <w:rsid w:val="00A95C4B"/>
    <w:rsid w:val="00A9622C"/>
    <w:rsid w:val="00A97FA3"/>
    <w:rsid w:val="00AA09BF"/>
    <w:rsid w:val="00AA1E14"/>
    <w:rsid w:val="00AA27EC"/>
    <w:rsid w:val="00AA380D"/>
    <w:rsid w:val="00AA4766"/>
    <w:rsid w:val="00AA4C48"/>
    <w:rsid w:val="00AA5D9C"/>
    <w:rsid w:val="00AB13D0"/>
    <w:rsid w:val="00AB20F7"/>
    <w:rsid w:val="00AB4627"/>
    <w:rsid w:val="00AB7F8A"/>
    <w:rsid w:val="00AC02D8"/>
    <w:rsid w:val="00AC04F9"/>
    <w:rsid w:val="00AC105D"/>
    <w:rsid w:val="00AC2125"/>
    <w:rsid w:val="00AC2F32"/>
    <w:rsid w:val="00AC408B"/>
    <w:rsid w:val="00AC4350"/>
    <w:rsid w:val="00AC48AF"/>
    <w:rsid w:val="00AC6138"/>
    <w:rsid w:val="00AC6B26"/>
    <w:rsid w:val="00AD4413"/>
    <w:rsid w:val="00AD5DDF"/>
    <w:rsid w:val="00AD7099"/>
    <w:rsid w:val="00AD7588"/>
    <w:rsid w:val="00AE0139"/>
    <w:rsid w:val="00AE03FD"/>
    <w:rsid w:val="00AE0E71"/>
    <w:rsid w:val="00AE1183"/>
    <w:rsid w:val="00AE1B48"/>
    <w:rsid w:val="00AE38F9"/>
    <w:rsid w:val="00AE3B1C"/>
    <w:rsid w:val="00AE411A"/>
    <w:rsid w:val="00AE52E2"/>
    <w:rsid w:val="00AF10B0"/>
    <w:rsid w:val="00AF1C79"/>
    <w:rsid w:val="00AF1DF4"/>
    <w:rsid w:val="00AF33CC"/>
    <w:rsid w:val="00AF4CC8"/>
    <w:rsid w:val="00AF64A3"/>
    <w:rsid w:val="00AF68F9"/>
    <w:rsid w:val="00B000FB"/>
    <w:rsid w:val="00B01F1B"/>
    <w:rsid w:val="00B02F53"/>
    <w:rsid w:val="00B02F8C"/>
    <w:rsid w:val="00B059E9"/>
    <w:rsid w:val="00B05A23"/>
    <w:rsid w:val="00B0699B"/>
    <w:rsid w:val="00B11E98"/>
    <w:rsid w:val="00B14854"/>
    <w:rsid w:val="00B1652E"/>
    <w:rsid w:val="00B1693D"/>
    <w:rsid w:val="00B16F9F"/>
    <w:rsid w:val="00B172BE"/>
    <w:rsid w:val="00B20279"/>
    <w:rsid w:val="00B20C11"/>
    <w:rsid w:val="00B21C55"/>
    <w:rsid w:val="00B22803"/>
    <w:rsid w:val="00B23A65"/>
    <w:rsid w:val="00B24FF5"/>
    <w:rsid w:val="00B254C7"/>
    <w:rsid w:val="00B30391"/>
    <w:rsid w:val="00B31DFD"/>
    <w:rsid w:val="00B323F7"/>
    <w:rsid w:val="00B3568A"/>
    <w:rsid w:val="00B36D6C"/>
    <w:rsid w:val="00B420B8"/>
    <w:rsid w:val="00B42A94"/>
    <w:rsid w:val="00B42F01"/>
    <w:rsid w:val="00B472EE"/>
    <w:rsid w:val="00B4775A"/>
    <w:rsid w:val="00B47AD6"/>
    <w:rsid w:val="00B501EE"/>
    <w:rsid w:val="00B50692"/>
    <w:rsid w:val="00B516A4"/>
    <w:rsid w:val="00B534A1"/>
    <w:rsid w:val="00B56289"/>
    <w:rsid w:val="00B57502"/>
    <w:rsid w:val="00B607DE"/>
    <w:rsid w:val="00B61531"/>
    <w:rsid w:val="00B615B1"/>
    <w:rsid w:val="00B62CD1"/>
    <w:rsid w:val="00B65B24"/>
    <w:rsid w:val="00B66BD9"/>
    <w:rsid w:val="00B67370"/>
    <w:rsid w:val="00B72767"/>
    <w:rsid w:val="00B72BE3"/>
    <w:rsid w:val="00B72F7A"/>
    <w:rsid w:val="00B8070F"/>
    <w:rsid w:val="00B80A3D"/>
    <w:rsid w:val="00B81B35"/>
    <w:rsid w:val="00B81F92"/>
    <w:rsid w:val="00B833EA"/>
    <w:rsid w:val="00B839E1"/>
    <w:rsid w:val="00B83C0B"/>
    <w:rsid w:val="00B84F7B"/>
    <w:rsid w:val="00B87DA2"/>
    <w:rsid w:val="00B91BA3"/>
    <w:rsid w:val="00B922B5"/>
    <w:rsid w:val="00B93FAD"/>
    <w:rsid w:val="00B94ACA"/>
    <w:rsid w:val="00B961E8"/>
    <w:rsid w:val="00BA066D"/>
    <w:rsid w:val="00BA0C99"/>
    <w:rsid w:val="00BA26E4"/>
    <w:rsid w:val="00BA4E12"/>
    <w:rsid w:val="00BA7AB5"/>
    <w:rsid w:val="00BB2230"/>
    <w:rsid w:val="00BB43AD"/>
    <w:rsid w:val="00BB6ED8"/>
    <w:rsid w:val="00BB7477"/>
    <w:rsid w:val="00BB7819"/>
    <w:rsid w:val="00BC2EAF"/>
    <w:rsid w:val="00BC3A20"/>
    <w:rsid w:val="00BC6351"/>
    <w:rsid w:val="00BD0C52"/>
    <w:rsid w:val="00BD3924"/>
    <w:rsid w:val="00BD4287"/>
    <w:rsid w:val="00BD4618"/>
    <w:rsid w:val="00BD4DDF"/>
    <w:rsid w:val="00BD4F8F"/>
    <w:rsid w:val="00BD5205"/>
    <w:rsid w:val="00BD55F0"/>
    <w:rsid w:val="00BD5D1D"/>
    <w:rsid w:val="00BD6653"/>
    <w:rsid w:val="00BD6E06"/>
    <w:rsid w:val="00BD7213"/>
    <w:rsid w:val="00BE00E8"/>
    <w:rsid w:val="00BF2272"/>
    <w:rsid w:val="00BF23D0"/>
    <w:rsid w:val="00BF2B36"/>
    <w:rsid w:val="00BF3C42"/>
    <w:rsid w:val="00BF637C"/>
    <w:rsid w:val="00BF7F1B"/>
    <w:rsid w:val="00C000E4"/>
    <w:rsid w:val="00C0025F"/>
    <w:rsid w:val="00C00DDF"/>
    <w:rsid w:val="00C01E28"/>
    <w:rsid w:val="00C022DA"/>
    <w:rsid w:val="00C0319D"/>
    <w:rsid w:val="00C12318"/>
    <w:rsid w:val="00C12EB8"/>
    <w:rsid w:val="00C145FA"/>
    <w:rsid w:val="00C14E17"/>
    <w:rsid w:val="00C16332"/>
    <w:rsid w:val="00C220FE"/>
    <w:rsid w:val="00C239DB"/>
    <w:rsid w:val="00C24CD1"/>
    <w:rsid w:val="00C26073"/>
    <w:rsid w:val="00C321A6"/>
    <w:rsid w:val="00C35E2F"/>
    <w:rsid w:val="00C376C1"/>
    <w:rsid w:val="00C37898"/>
    <w:rsid w:val="00C41403"/>
    <w:rsid w:val="00C41B5F"/>
    <w:rsid w:val="00C42394"/>
    <w:rsid w:val="00C43294"/>
    <w:rsid w:val="00C438A0"/>
    <w:rsid w:val="00C467EC"/>
    <w:rsid w:val="00C5084A"/>
    <w:rsid w:val="00C51FBE"/>
    <w:rsid w:val="00C52181"/>
    <w:rsid w:val="00C52329"/>
    <w:rsid w:val="00C5295E"/>
    <w:rsid w:val="00C531CF"/>
    <w:rsid w:val="00C5336B"/>
    <w:rsid w:val="00C55EC5"/>
    <w:rsid w:val="00C570D9"/>
    <w:rsid w:val="00C616F5"/>
    <w:rsid w:val="00C62D4D"/>
    <w:rsid w:val="00C64637"/>
    <w:rsid w:val="00C6510A"/>
    <w:rsid w:val="00C67C04"/>
    <w:rsid w:val="00C7009B"/>
    <w:rsid w:val="00C70C78"/>
    <w:rsid w:val="00C71D87"/>
    <w:rsid w:val="00C740D8"/>
    <w:rsid w:val="00C75323"/>
    <w:rsid w:val="00C7554E"/>
    <w:rsid w:val="00C77492"/>
    <w:rsid w:val="00C80FDA"/>
    <w:rsid w:val="00C83561"/>
    <w:rsid w:val="00C835A9"/>
    <w:rsid w:val="00C925B2"/>
    <w:rsid w:val="00C92B4A"/>
    <w:rsid w:val="00C92C33"/>
    <w:rsid w:val="00C93DC6"/>
    <w:rsid w:val="00C94ED0"/>
    <w:rsid w:val="00C94F4F"/>
    <w:rsid w:val="00C97A5E"/>
    <w:rsid w:val="00CA0174"/>
    <w:rsid w:val="00CA32BE"/>
    <w:rsid w:val="00CA40C2"/>
    <w:rsid w:val="00CA4172"/>
    <w:rsid w:val="00CA5DE9"/>
    <w:rsid w:val="00CA6117"/>
    <w:rsid w:val="00CA7D93"/>
    <w:rsid w:val="00CB0B2C"/>
    <w:rsid w:val="00CB0D6D"/>
    <w:rsid w:val="00CB1597"/>
    <w:rsid w:val="00CB5229"/>
    <w:rsid w:val="00CB733E"/>
    <w:rsid w:val="00CC011C"/>
    <w:rsid w:val="00CC0E51"/>
    <w:rsid w:val="00CC0E98"/>
    <w:rsid w:val="00CC2DA7"/>
    <w:rsid w:val="00CC45AA"/>
    <w:rsid w:val="00CC76FA"/>
    <w:rsid w:val="00CD46B5"/>
    <w:rsid w:val="00CD5D2B"/>
    <w:rsid w:val="00CD6AC8"/>
    <w:rsid w:val="00CD6B3B"/>
    <w:rsid w:val="00CE2F8B"/>
    <w:rsid w:val="00CE3538"/>
    <w:rsid w:val="00CE356C"/>
    <w:rsid w:val="00CE4F88"/>
    <w:rsid w:val="00CE5105"/>
    <w:rsid w:val="00CE543D"/>
    <w:rsid w:val="00CE73A8"/>
    <w:rsid w:val="00CE79B1"/>
    <w:rsid w:val="00CF2DDE"/>
    <w:rsid w:val="00CF312D"/>
    <w:rsid w:val="00CF3E3D"/>
    <w:rsid w:val="00CF40A9"/>
    <w:rsid w:val="00CF4C61"/>
    <w:rsid w:val="00CF4F8B"/>
    <w:rsid w:val="00CF5353"/>
    <w:rsid w:val="00CF7396"/>
    <w:rsid w:val="00D0032E"/>
    <w:rsid w:val="00D00B45"/>
    <w:rsid w:val="00D01048"/>
    <w:rsid w:val="00D02E7C"/>
    <w:rsid w:val="00D04E94"/>
    <w:rsid w:val="00D0642B"/>
    <w:rsid w:val="00D07F5F"/>
    <w:rsid w:val="00D10148"/>
    <w:rsid w:val="00D11FB1"/>
    <w:rsid w:val="00D13B82"/>
    <w:rsid w:val="00D145E9"/>
    <w:rsid w:val="00D14EC4"/>
    <w:rsid w:val="00D1632F"/>
    <w:rsid w:val="00D200E9"/>
    <w:rsid w:val="00D20217"/>
    <w:rsid w:val="00D234D6"/>
    <w:rsid w:val="00D23979"/>
    <w:rsid w:val="00D24AF7"/>
    <w:rsid w:val="00D268A8"/>
    <w:rsid w:val="00D275BA"/>
    <w:rsid w:val="00D27A03"/>
    <w:rsid w:val="00D27CF4"/>
    <w:rsid w:val="00D33723"/>
    <w:rsid w:val="00D34CD9"/>
    <w:rsid w:val="00D35385"/>
    <w:rsid w:val="00D35AC7"/>
    <w:rsid w:val="00D40D72"/>
    <w:rsid w:val="00D40DAF"/>
    <w:rsid w:val="00D40F3C"/>
    <w:rsid w:val="00D40F4D"/>
    <w:rsid w:val="00D41677"/>
    <w:rsid w:val="00D4268A"/>
    <w:rsid w:val="00D447D7"/>
    <w:rsid w:val="00D44926"/>
    <w:rsid w:val="00D44B41"/>
    <w:rsid w:val="00D47F04"/>
    <w:rsid w:val="00D509F5"/>
    <w:rsid w:val="00D50A69"/>
    <w:rsid w:val="00D50ECB"/>
    <w:rsid w:val="00D52A1A"/>
    <w:rsid w:val="00D53368"/>
    <w:rsid w:val="00D5359B"/>
    <w:rsid w:val="00D53ABC"/>
    <w:rsid w:val="00D541FB"/>
    <w:rsid w:val="00D542A3"/>
    <w:rsid w:val="00D543D5"/>
    <w:rsid w:val="00D5543C"/>
    <w:rsid w:val="00D55B34"/>
    <w:rsid w:val="00D55C5E"/>
    <w:rsid w:val="00D55F2C"/>
    <w:rsid w:val="00D56666"/>
    <w:rsid w:val="00D57AF5"/>
    <w:rsid w:val="00D627C7"/>
    <w:rsid w:val="00D658E2"/>
    <w:rsid w:val="00D65DEA"/>
    <w:rsid w:val="00D670F6"/>
    <w:rsid w:val="00D71309"/>
    <w:rsid w:val="00D7301B"/>
    <w:rsid w:val="00D76791"/>
    <w:rsid w:val="00D84981"/>
    <w:rsid w:val="00D8550E"/>
    <w:rsid w:val="00D90167"/>
    <w:rsid w:val="00D91C90"/>
    <w:rsid w:val="00D921E4"/>
    <w:rsid w:val="00D92705"/>
    <w:rsid w:val="00D92D80"/>
    <w:rsid w:val="00D92EAC"/>
    <w:rsid w:val="00D931A3"/>
    <w:rsid w:val="00D94182"/>
    <w:rsid w:val="00D96F76"/>
    <w:rsid w:val="00DA50B9"/>
    <w:rsid w:val="00DA5E5E"/>
    <w:rsid w:val="00DB029D"/>
    <w:rsid w:val="00DB0AE1"/>
    <w:rsid w:val="00DB2190"/>
    <w:rsid w:val="00DB2E8C"/>
    <w:rsid w:val="00DB43D9"/>
    <w:rsid w:val="00DB5BAA"/>
    <w:rsid w:val="00DC0510"/>
    <w:rsid w:val="00DC219A"/>
    <w:rsid w:val="00DC283A"/>
    <w:rsid w:val="00DC2EF7"/>
    <w:rsid w:val="00DC4429"/>
    <w:rsid w:val="00DC4F29"/>
    <w:rsid w:val="00DD0ED7"/>
    <w:rsid w:val="00DD23A4"/>
    <w:rsid w:val="00DD256E"/>
    <w:rsid w:val="00DD2C10"/>
    <w:rsid w:val="00DD5F7B"/>
    <w:rsid w:val="00DD75A7"/>
    <w:rsid w:val="00DE18FB"/>
    <w:rsid w:val="00DE1C7E"/>
    <w:rsid w:val="00DE1DEA"/>
    <w:rsid w:val="00DE2142"/>
    <w:rsid w:val="00DE4032"/>
    <w:rsid w:val="00DE42D7"/>
    <w:rsid w:val="00DE4BC6"/>
    <w:rsid w:val="00DE61C3"/>
    <w:rsid w:val="00DE7C27"/>
    <w:rsid w:val="00DF045C"/>
    <w:rsid w:val="00DF05EC"/>
    <w:rsid w:val="00DF20AF"/>
    <w:rsid w:val="00DF2703"/>
    <w:rsid w:val="00DF2F90"/>
    <w:rsid w:val="00DF4BC4"/>
    <w:rsid w:val="00DF550A"/>
    <w:rsid w:val="00DF70EB"/>
    <w:rsid w:val="00E00ACC"/>
    <w:rsid w:val="00E028DC"/>
    <w:rsid w:val="00E033A0"/>
    <w:rsid w:val="00E039A6"/>
    <w:rsid w:val="00E041BA"/>
    <w:rsid w:val="00E04ED9"/>
    <w:rsid w:val="00E06A1E"/>
    <w:rsid w:val="00E07451"/>
    <w:rsid w:val="00E104CE"/>
    <w:rsid w:val="00E12962"/>
    <w:rsid w:val="00E176F9"/>
    <w:rsid w:val="00E17980"/>
    <w:rsid w:val="00E209FC"/>
    <w:rsid w:val="00E26134"/>
    <w:rsid w:val="00E2679F"/>
    <w:rsid w:val="00E273CA"/>
    <w:rsid w:val="00E30DA2"/>
    <w:rsid w:val="00E329A8"/>
    <w:rsid w:val="00E3459F"/>
    <w:rsid w:val="00E34A24"/>
    <w:rsid w:val="00E37595"/>
    <w:rsid w:val="00E41F07"/>
    <w:rsid w:val="00E422B7"/>
    <w:rsid w:val="00E465E3"/>
    <w:rsid w:val="00E46FBE"/>
    <w:rsid w:val="00E510A8"/>
    <w:rsid w:val="00E51127"/>
    <w:rsid w:val="00E5166E"/>
    <w:rsid w:val="00E5263C"/>
    <w:rsid w:val="00E53953"/>
    <w:rsid w:val="00E53C0F"/>
    <w:rsid w:val="00E55FC6"/>
    <w:rsid w:val="00E562E3"/>
    <w:rsid w:val="00E56B7D"/>
    <w:rsid w:val="00E57A86"/>
    <w:rsid w:val="00E611BB"/>
    <w:rsid w:val="00E61371"/>
    <w:rsid w:val="00E61C90"/>
    <w:rsid w:val="00E639A8"/>
    <w:rsid w:val="00E6483A"/>
    <w:rsid w:val="00E653A1"/>
    <w:rsid w:val="00E6578A"/>
    <w:rsid w:val="00E70706"/>
    <w:rsid w:val="00E711A9"/>
    <w:rsid w:val="00E713E4"/>
    <w:rsid w:val="00E72D49"/>
    <w:rsid w:val="00E73351"/>
    <w:rsid w:val="00E737C5"/>
    <w:rsid w:val="00E75CF6"/>
    <w:rsid w:val="00E76AC4"/>
    <w:rsid w:val="00E779A7"/>
    <w:rsid w:val="00E82D22"/>
    <w:rsid w:val="00E83D13"/>
    <w:rsid w:val="00E8505B"/>
    <w:rsid w:val="00E854B8"/>
    <w:rsid w:val="00E870DA"/>
    <w:rsid w:val="00E8713C"/>
    <w:rsid w:val="00E94799"/>
    <w:rsid w:val="00E96A58"/>
    <w:rsid w:val="00EA3EBA"/>
    <w:rsid w:val="00EA4005"/>
    <w:rsid w:val="00EA4B6A"/>
    <w:rsid w:val="00EA5026"/>
    <w:rsid w:val="00EB19B1"/>
    <w:rsid w:val="00EB1E51"/>
    <w:rsid w:val="00EB20B2"/>
    <w:rsid w:val="00EB3E50"/>
    <w:rsid w:val="00EB48BA"/>
    <w:rsid w:val="00EB4D65"/>
    <w:rsid w:val="00EB638B"/>
    <w:rsid w:val="00EB6EAB"/>
    <w:rsid w:val="00EC1ED4"/>
    <w:rsid w:val="00EC3246"/>
    <w:rsid w:val="00EC3D9D"/>
    <w:rsid w:val="00EC4119"/>
    <w:rsid w:val="00EC53EF"/>
    <w:rsid w:val="00EC5CB2"/>
    <w:rsid w:val="00EC778C"/>
    <w:rsid w:val="00EC78E3"/>
    <w:rsid w:val="00ED0920"/>
    <w:rsid w:val="00ED1E46"/>
    <w:rsid w:val="00ED437E"/>
    <w:rsid w:val="00ED4BC2"/>
    <w:rsid w:val="00ED78E9"/>
    <w:rsid w:val="00EE006B"/>
    <w:rsid w:val="00EE0D6E"/>
    <w:rsid w:val="00EE43D1"/>
    <w:rsid w:val="00EE4F12"/>
    <w:rsid w:val="00EF0B86"/>
    <w:rsid w:val="00EF0C11"/>
    <w:rsid w:val="00F00DBC"/>
    <w:rsid w:val="00F02777"/>
    <w:rsid w:val="00F034F6"/>
    <w:rsid w:val="00F05214"/>
    <w:rsid w:val="00F05523"/>
    <w:rsid w:val="00F05C04"/>
    <w:rsid w:val="00F05C27"/>
    <w:rsid w:val="00F112C1"/>
    <w:rsid w:val="00F20F65"/>
    <w:rsid w:val="00F226E9"/>
    <w:rsid w:val="00F22F8D"/>
    <w:rsid w:val="00F237D5"/>
    <w:rsid w:val="00F23DD5"/>
    <w:rsid w:val="00F248F6"/>
    <w:rsid w:val="00F268EB"/>
    <w:rsid w:val="00F312AF"/>
    <w:rsid w:val="00F312DA"/>
    <w:rsid w:val="00F346B5"/>
    <w:rsid w:val="00F36CB6"/>
    <w:rsid w:val="00F40852"/>
    <w:rsid w:val="00F40CE8"/>
    <w:rsid w:val="00F40D75"/>
    <w:rsid w:val="00F40E31"/>
    <w:rsid w:val="00F4154B"/>
    <w:rsid w:val="00F426D4"/>
    <w:rsid w:val="00F443B8"/>
    <w:rsid w:val="00F463E6"/>
    <w:rsid w:val="00F466AF"/>
    <w:rsid w:val="00F472F9"/>
    <w:rsid w:val="00F51E49"/>
    <w:rsid w:val="00F51EE5"/>
    <w:rsid w:val="00F52A28"/>
    <w:rsid w:val="00F5301E"/>
    <w:rsid w:val="00F53056"/>
    <w:rsid w:val="00F54352"/>
    <w:rsid w:val="00F54652"/>
    <w:rsid w:val="00F54CD2"/>
    <w:rsid w:val="00F55C0E"/>
    <w:rsid w:val="00F56E3C"/>
    <w:rsid w:val="00F602B6"/>
    <w:rsid w:val="00F60783"/>
    <w:rsid w:val="00F640E1"/>
    <w:rsid w:val="00F65DE2"/>
    <w:rsid w:val="00F66C66"/>
    <w:rsid w:val="00F676D5"/>
    <w:rsid w:val="00F706B9"/>
    <w:rsid w:val="00F736DF"/>
    <w:rsid w:val="00F73CE0"/>
    <w:rsid w:val="00F759E9"/>
    <w:rsid w:val="00F77715"/>
    <w:rsid w:val="00F8022A"/>
    <w:rsid w:val="00F80388"/>
    <w:rsid w:val="00F80781"/>
    <w:rsid w:val="00F83178"/>
    <w:rsid w:val="00F83AD5"/>
    <w:rsid w:val="00F84586"/>
    <w:rsid w:val="00F85D23"/>
    <w:rsid w:val="00F8786D"/>
    <w:rsid w:val="00F879CC"/>
    <w:rsid w:val="00F87A5E"/>
    <w:rsid w:val="00F90539"/>
    <w:rsid w:val="00F93ACC"/>
    <w:rsid w:val="00F93F0A"/>
    <w:rsid w:val="00F95B90"/>
    <w:rsid w:val="00F95E99"/>
    <w:rsid w:val="00F9742A"/>
    <w:rsid w:val="00FA0F38"/>
    <w:rsid w:val="00FA147D"/>
    <w:rsid w:val="00FA7BE8"/>
    <w:rsid w:val="00FA7F5A"/>
    <w:rsid w:val="00FA7F62"/>
    <w:rsid w:val="00FB0C77"/>
    <w:rsid w:val="00FB0E27"/>
    <w:rsid w:val="00FB1640"/>
    <w:rsid w:val="00FB2465"/>
    <w:rsid w:val="00FB66F1"/>
    <w:rsid w:val="00FB6F62"/>
    <w:rsid w:val="00FC0699"/>
    <w:rsid w:val="00FC179D"/>
    <w:rsid w:val="00FC28AB"/>
    <w:rsid w:val="00FC2E2D"/>
    <w:rsid w:val="00FC4E15"/>
    <w:rsid w:val="00FC5279"/>
    <w:rsid w:val="00FC5897"/>
    <w:rsid w:val="00FC5A5F"/>
    <w:rsid w:val="00FC5AA9"/>
    <w:rsid w:val="00FC5BFD"/>
    <w:rsid w:val="00FC5DCF"/>
    <w:rsid w:val="00FC6889"/>
    <w:rsid w:val="00FC6F6A"/>
    <w:rsid w:val="00FD06A0"/>
    <w:rsid w:val="00FD0E85"/>
    <w:rsid w:val="00FD0FEF"/>
    <w:rsid w:val="00FD17A0"/>
    <w:rsid w:val="00FD1B8A"/>
    <w:rsid w:val="00FD2F04"/>
    <w:rsid w:val="00FD3586"/>
    <w:rsid w:val="00FD3F96"/>
    <w:rsid w:val="00FD52B7"/>
    <w:rsid w:val="00FD57F3"/>
    <w:rsid w:val="00FD5BC4"/>
    <w:rsid w:val="00FD5D13"/>
    <w:rsid w:val="00FD77F1"/>
    <w:rsid w:val="00FE08AB"/>
    <w:rsid w:val="00FE444C"/>
    <w:rsid w:val="00FE4520"/>
    <w:rsid w:val="00FE4DB5"/>
    <w:rsid w:val="00FF02CE"/>
    <w:rsid w:val="00FF0ECE"/>
    <w:rsid w:val="00FF1270"/>
    <w:rsid w:val="00FF3069"/>
    <w:rsid w:val="00FF3475"/>
    <w:rsid w:val="00FF5F7D"/>
    <w:rsid w:val="00FF690B"/>
    <w:rsid w:val="00FF6F2F"/>
    <w:rsid w:val="00FF75B3"/>
    <w:rsid w:val="00FF7B89"/>
    <w:rsid w:val="01644A2B"/>
    <w:rsid w:val="01D93E07"/>
    <w:rsid w:val="01FFCD9C"/>
    <w:rsid w:val="03822F17"/>
    <w:rsid w:val="03CD7B31"/>
    <w:rsid w:val="03DC04B7"/>
    <w:rsid w:val="05CC47F9"/>
    <w:rsid w:val="068E3887"/>
    <w:rsid w:val="07863477"/>
    <w:rsid w:val="08364485"/>
    <w:rsid w:val="08544082"/>
    <w:rsid w:val="088167A9"/>
    <w:rsid w:val="0BE96679"/>
    <w:rsid w:val="0CD356AE"/>
    <w:rsid w:val="0CFA23B6"/>
    <w:rsid w:val="0E3D1777"/>
    <w:rsid w:val="0FEBF1F6"/>
    <w:rsid w:val="10577868"/>
    <w:rsid w:val="10AD1A32"/>
    <w:rsid w:val="116320A5"/>
    <w:rsid w:val="12064A54"/>
    <w:rsid w:val="12943FDF"/>
    <w:rsid w:val="132D7312"/>
    <w:rsid w:val="1361511B"/>
    <w:rsid w:val="138654A1"/>
    <w:rsid w:val="13B42790"/>
    <w:rsid w:val="13BF89B9"/>
    <w:rsid w:val="145612DD"/>
    <w:rsid w:val="161D4AF5"/>
    <w:rsid w:val="161F397D"/>
    <w:rsid w:val="163E0CA3"/>
    <w:rsid w:val="16814839"/>
    <w:rsid w:val="173723B9"/>
    <w:rsid w:val="177FFE75"/>
    <w:rsid w:val="1A147B04"/>
    <w:rsid w:val="1A5A6226"/>
    <w:rsid w:val="1AA40A9C"/>
    <w:rsid w:val="1ABF1A0D"/>
    <w:rsid w:val="1B70283A"/>
    <w:rsid w:val="1BAE6658"/>
    <w:rsid w:val="1BEBA102"/>
    <w:rsid w:val="1DD96733"/>
    <w:rsid w:val="1E224F32"/>
    <w:rsid w:val="1E3719AB"/>
    <w:rsid w:val="1E970CC6"/>
    <w:rsid w:val="1EE04D22"/>
    <w:rsid w:val="1F3E433C"/>
    <w:rsid w:val="1F667A7F"/>
    <w:rsid w:val="1F792752"/>
    <w:rsid w:val="1F9FDA7E"/>
    <w:rsid w:val="1FB73BA1"/>
    <w:rsid w:val="20614D65"/>
    <w:rsid w:val="207059B2"/>
    <w:rsid w:val="2283724B"/>
    <w:rsid w:val="2415017C"/>
    <w:rsid w:val="242100AB"/>
    <w:rsid w:val="2452671D"/>
    <w:rsid w:val="251008AD"/>
    <w:rsid w:val="252E454D"/>
    <w:rsid w:val="25C76E3C"/>
    <w:rsid w:val="26D235DD"/>
    <w:rsid w:val="27136CE7"/>
    <w:rsid w:val="2727529D"/>
    <w:rsid w:val="29F34139"/>
    <w:rsid w:val="2B85261A"/>
    <w:rsid w:val="2BD749F5"/>
    <w:rsid w:val="2BED6A56"/>
    <w:rsid w:val="2BFF832E"/>
    <w:rsid w:val="2CF990C8"/>
    <w:rsid w:val="2D683875"/>
    <w:rsid w:val="2E5462D8"/>
    <w:rsid w:val="2EBF18C0"/>
    <w:rsid w:val="2EFF1643"/>
    <w:rsid w:val="2F1A796B"/>
    <w:rsid w:val="2FC020FB"/>
    <w:rsid w:val="2FFF41BC"/>
    <w:rsid w:val="31521536"/>
    <w:rsid w:val="317D8AD9"/>
    <w:rsid w:val="33DBBFEB"/>
    <w:rsid w:val="357FCB64"/>
    <w:rsid w:val="35B1499E"/>
    <w:rsid w:val="35D169AB"/>
    <w:rsid w:val="35FF5F3D"/>
    <w:rsid w:val="36496F62"/>
    <w:rsid w:val="36DF5A4B"/>
    <w:rsid w:val="36F150EE"/>
    <w:rsid w:val="37981156"/>
    <w:rsid w:val="3921472D"/>
    <w:rsid w:val="39D46A1F"/>
    <w:rsid w:val="39FF8CD6"/>
    <w:rsid w:val="3A2F64AC"/>
    <w:rsid w:val="3B0E1FAD"/>
    <w:rsid w:val="3B131C0C"/>
    <w:rsid w:val="3B3E870E"/>
    <w:rsid w:val="3B615B40"/>
    <w:rsid w:val="3B7B59CD"/>
    <w:rsid w:val="3CB00A83"/>
    <w:rsid w:val="3DCF8424"/>
    <w:rsid w:val="3E163771"/>
    <w:rsid w:val="3E5FBC79"/>
    <w:rsid w:val="3E5FD589"/>
    <w:rsid w:val="3EAF5A47"/>
    <w:rsid w:val="3EEB474D"/>
    <w:rsid w:val="3EFFFDD4"/>
    <w:rsid w:val="3F465622"/>
    <w:rsid w:val="3F7FB7B5"/>
    <w:rsid w:val="3FBFCC51"/>
    <w:rsid w:val="3FF3A9F9"/>
    <w:rsid w:val="3FFBE074"/>
    <w:rsid w:val="3FFF1114"/>
    <w:rsid w:val="413E90C8"/>
    <w:rsid w:val="414B3EB2"/>
    <w:rsid w:val="41E1658D"/>
    <w:rsid w:val="425B5D4E"/>
    <w:rsid w:val="42E27D6B"/>
    <w:rsid w:val="457C1ACB"/>
    <w:rsid w:val="45B646C4"/>
    <w:rsid w:val="467B1487"/>
    <w:rsid w:val="46976B59"/>
    <w:rsid w:val="46B87087"/>
    <w:rsid w:val="4761346E"/>
    <w:rsid w:val="49E8096E"/>
    <w:rsid w:val="4AE901F5"/>
    <w:rsid w:val="4B7EF168"/>
    <w:rsid w:val="4EF24B4E"/>
    <w:rsid w:val="4F2D3D48"/>
    <w:rsid w:val="4FCD7F78"/>
    <w:rsid w:val="4FEE621F"/>
    <w:rsid w:val="50F5006D"/>
    <w:rsid w:val="510F4049"/>
    <w:rsid w:val="51200931"/>
    <w:rsid w:val="539A366D"/>
    <w:rsid w:val="53DEBD97"/>
    <w:rsid w:val="53DF0540"/>
    <w:rsid w:val="53E4320A"/>
    <w:rsid w:val="53FF1AD4"/>
    <w:rsid w:val="54D952F5"/>
    <w:rsid w:val="54E13239"/>
    <w:rsid w:val="550409BE"/>
    <w:rsid w:val="559F4ED0"/>
    <w:rsid w:val="55D01E9E"/>
    <w:rsid w:val="55EDB6AF"/>
    <w:rsid w:val="55F911C0"/>
    <w:rsid w:val="55FF9ADD"/>
    <w:rsid w:val="579B56EB"/>
    <w:rsid w:val="57AF2EF2"/>
    <w:rsid w:val="57BF2ACE"/>
    <w:rsid w:val="58827E2E"/>
    <w:rsid w:val="5932292C"/>
    <w:rsid w:val="597F3C5D"/>
    <w:rsid w:val="5A8D4A5D"/>
    <w:rsid w:val="5AEF02D8"/>
    <w:rsid w:val="5BDD201C"/>
    <w:rsid w:val="5CD85420"/>
    <w:rsid w:val="5CDE86AE"/>
    <w:rsid w:val="5D7E78A9"/>
    <w:rsid w:val="5D8A7F81"/>
    <w:rsid w:val="5DF1439B"/>
    <w:rsid w:val="5E1E30D0"/>
    <w:rsid w:val="5E572284"/>
    <w:rsid w:val="5E676B70"/>
    <w:rsid w:val="5E9F1221"/>
    <w:rsid w:val="5F388649"/>
    <w:rsid w:val="5F6F133A"/>
    <w:rsid w:val="5FB6BA05"/>
    <w:rsid w:val="5FBE9A45"/>
    <w:rsid w:val="5FF40E5C"/>
    <w:rsid w:val="5FFB4438"/>
    <w:rsid w:val="5FFC9F78"/>
    <w:rsid w:val="600B7CE5"/>
    <w:rsid w:val="63832472"/>
    <w:rsid w:val="63BC2892"/>
    <w:rsid w:val="63CA1738"/>
    <w:rsid w:val="63FE1747"/>
    <w:rsid w:val="650B1F01"/>
    <w:rsid w:val="658B5BB7"/>
    <w:rsid w:val="66145279"/>
    <w:rsid w:val="66C34BF6"/>
    <w:rsid w:val="66FFBA88"/>
    <w:rsid w:val="673A5C51"/>
    <w:rsid w:val="67F5DD0E"/>
    <w:rsid w:val="68060A84"/>
    <w:rsid w:val="685B729C"/>
    <w:rsid w:val="68D025EA"/>
    <w:rsid w:val="69633188"/>
    <w:rsid w:val="6A1B00BC"/>
    <w:rsid w:val="6A6D6E3A"/>
    <w:rsid w:val="6ABE479C"/>
    <w:rsid w:val="6AF769B4"/>
    <w:rsid w:val="6B0D2011"/>
    <w:rsid w:val="6B427BDE"/>
    <w:rsid w:val="6B976F93"/>
    <w:rsid w:val="6BA62BAA"/>
    <w:rsid w:val="6BF5838E"/>
    <w:rsid w:val="6C997852"/>
    <w:rsid w:val="6ED9D968"/>
    <w:rsid w:val="6F4D83EF"/>
    <w:rsid w:val="6FBBB48E"/>
    <w:rsid w:val="6FEECA84"/>
    <w:rsid w:val="6FEF7872"/>
    <w:rsid w:val="6FFA5786"/>
    <w:rsid w:val="6FFBCE1C"/>
    <w:rsid w:val="716D7F61"/>
    <w:rsid w:val="72486C09"/>
    <w:rsid w:val="72BC2B0F"/>
    <w:rsid w:val="72D7426A"/>
    <w:rsid w:val="73765EC0"/>
    <w:rsid w:val="73ED6E7A"/>
    <w:rsid w:val="74B406AE"/>
    <w:rsid w:val="74FB05E4"/>
    <w:rsid w:val="75347D60"/>
    <w:rsid w:val="75B45151"/>
    <w:rsid w:val="76026FD9"/>
    <w:rsid w:val="767F158C"/>
    <w:rsid w:val="76934AC7"/>
    <w:rsid w:val="76F638F6"/>
    <w:rsid w:val="76F7E9DD"/>
    <w:rsid w:val="770E76D2"/>
    <w:rsid w:val="772763B2"/>
    <w:rsid w:val="77440BE7"/>
    <w:rsid w:val="775B251C"/>
    <w:rsid w:val="777660D3"/>
    <w:rsid w:val="777F046D"/>
    <w:rsid w:val="77A261B6"/>
    <w:rsid w:val="77F79900"/>
    <w:rsid w:val="77F7EE90"/>
    <w:rsid w:val="77FF0DAB"/>
    <w:rsid w:val="77FFF544"/>
    <w:rsid w:val="78ED9699"/>
    <w:rsid w:val="79375B09"/>
    <w:rsid w:val="794C087F"/>
    <w:rsid w:val="7A062D39"/>
    <w:rsid w:val="7A246228"/>
    <w:rsid w:val="7A8A5311"/>
    <w:rsid w:val="7A934D6F"/>
    <w:rsid w:val="7AEC944A"/>
    <w:rsid w:val="7AEF3FA9"/>
    <w:rsid w:val="7AFB23EC"/>
    <w:rsid w:val="7AFBB62D"/>
    <w:rsid w:val="7BD7B0F1"/>
    <w:rsid w:val="7BE0B2F5"/>
    <w:rsid w:val="7BFB2FA1"/>
    <w:rsid w:val="7C480342"/>
    <w:rsid w:val="7C591206"/>
    <w:rsid w:val="7CC723C1"/>
    <w:rsid w:val="7D15720A"/>
    <w:rsid w:val="7D4A4FE6"/>
    <w:rsid w:val="7D6E137B"/>
    <w:rsid w:val="7D75A3F9"/>
    <w:rsid w:val="7D9DCB67"/>
    <w:rsid w:val="7DDFE731"/>
    <w:rsid w:val="7DE73E3A"/>
    <w:rsid w:val="7DFB2235"/>
    <w:rsid w:val="7E6AC073"/>
    <w:rsid w:val="7E79C517"/>
    <w:rsid w:val="7EBA5CDC"/>
    <w:rsid w:val="7ED77F23"/>
    <w:rsid w:val="7EFC1112"/>
    <w:rsid w:val="7EFDEC79"/>
    <w:rsid w:val="7F1DAF5E"/>
    <w:rsid w:val="7F357440"/>
    <w:rsid w:val="7F4F8CDA"/>
    <w:rsid w:val="7F57C50C"/>
    <w:rsid w:val="7F790969"/>
    <w:rsid w:val="7F7FB65F"/>
    <w:rsid w:val="7FA16677"/>
    <w:rsid w:val="7FAB585D"/>
    <w:rsid w:val="7FB5B78B"/>
    <w:rsid w:val="7FDB362A"/>
    <w:rsid w:val="7FDFD723"/>
    <w:rsid w:val="7FEF458A"/>
    <w:rsid w:val="7FEF5E58"/>
    <w:rsid w:val="7FF6EA3D"/>
    <w:rsid w:val="7FF98A77"/>
    <w:rsid w:val="7FFE3267"/>
    <w:rsid w:val="7FFFB587"/>
    <w:rsid w:val="7FFFD3FC"/>
    <w:rsid w:val="8A7FFD08"/>
    <w:rsid w:val="8BF40C47"/>
    <w:rsid w:val="99B7D738"/>
    <w:rsid w:val="99F1865D"/>
    <w:rsid w:val="9BFBA09C"/>
    <w:rsid w:val="9EDD79A0"/>
    <w:rsid w:val="9FF71DA1"/>
    <w:rsid w:val="9FFE42AA"/>
    <w:rsid w:val="A36D6754"/>
    <w:rsid w:val="A7EFB23A"/>
    <w:rsid w:val="A9BFB2BE"/>
    <w:rsid w:val="ABFF9998"/>
    <w:rsid w:val="AC6B1A77"/>
    <w:rsid w:val="ADBC62CB"/>
    <w:rsid w:val="AEC68FA4"/>
    <w:rsid w:val="AFFE39D3"/>
    <w:rsid w:val="B6AD9CD9"/>
    <w:rsid w:val="B77D1BEF"/>
    <w:rsid w:val="B7D6A1E5"/>
    <w:rsid w:val="BA3A72C7"/>
    <w:rsid w:val="BA676191"/>
    <w:rsid w:val="BB3F868B"/>
    <w:rsid w:val="BBF224C2"/>
    <w:rsid w:val="BCB734DF"/>
    <w:rsid w:val="BCF53CB1"/>
    <w:rsid w:val="BD3EFF6F"/>
    <w:rsid w:val="BD9BF624"/>
    <w:rsid w:val="BDB71C35"/>
    <w:rsid w:val="BDCD54EC"/>
    <w:rsid w:val="BE7E5845"/>
    <w:rsid w:val="BF1BF4E3"/>
    <w:rsid w:val="BF1FBF62"/>
    <w:rsid w:val="BF9F0945"/>
    <w:rsid w:val="BFB2A159"/>
    <w:rsid w:val="BFBD292B"/>
    <w:rsid w:val="BFD7F622"/>
    <w:rsid w:val="BFDF1962"/>
    <w:rsid w:val="BFEFE53D"/>
    <w:rsid w:val="BFF23947"/>
    <w:rsid w:val="BFF76BF9"/>
    <w:rsid w:val="C33CE604"/>
    <w:rsid w:val="C7FBCCC9"/>
    <w:rsid w:val="CBDBDCA0"/>
    <w:rsid w:val="CBF1E638"/>
    <w:rsid w:val="CD7339DC"/>
    <w:rsid w:val="CDBF1759"/>
    <w:rsid w:val="CE9E42AB"/>
    <w:rsid w:val="CF6B8668"/>
    <w:rsid w:val="CF7F63A7"/>
    <w:rsid w:val="CFFB8E5C"/>
    <w:rsid w:val="CFFDE93D"/>
    <w:rsid w:val="CFFF8327"/>
    <w:rsid w:val="D2FEEF7A"/>
    <w:rsid w:val="D79A7F5A"/>
    <w:rsid w:val="D79E6D61"/>
    <w:rsid w:val="DBF451DA"/>
    <w:rsid w:val="DBFCA3A6"/>
    <w:rsid w:val="DEB573A2"/>
    <w:rsid w:val="DED7E6CF"/>
    <w:rsid w:val="DEE760C6"/>
    <w:rsid w:val="DEFB2EB9"/>
    <w:rsid w:val="DEFFBA26"/>
    <w:rsid w:val="DEFFD688"/>
    <w:rsid w:val="DF7FC031"/>
    <w:rsid w:val="DFBF2783"/>
    <w:rsid w:val="E6E66025"/>
    <w:rsid w:val="E6FF466C"/>
    <w:rsid w:val="E7E74E47"/>
    <w:rsid w:val="E91FFB18"/>
    <w:rsid w:val="E9B65611"/>
    <w:rsid w:val="EABD9E46"/>
    <w:rsid w:val="EBBF8CC2"/>
    <w:rsid w:val="EDBF2BA8"/>
    <w:rsid w:val="EDEB9CF5"/>
    <w:rsid w:val="EE5D1EB8"/>
    <w:rsid w:val="EEEAF0F9"/>
    <w:rsid w:val="EF77D33F"/>
    <w:rsid w:val="EF9F5437"/>
    <w:rsid w:val="EF9F790E"/>
    <w:rsid w:val="EFBF8681"/>
    <w:rsid w:val="EFF6E090"/>
    <w:rsid w:val="EFFF6125"/>
    <w:rsid w:val="EFFFE502"/>
    <w:rsid w:val="F29725F5"/>
    <w:rsid w:val="F37DE711"/>
    <w:rsid w:val="F3EF433A"/>
    <w:rsid w:val="F3FB3972"/>
    <w:rsid w:val="F57FC667"/>
    <w:rsid w:val="F5FEFA87"/>
    <w:rsid w:val="F6FEB420"/>
    <w:rsid w:val="F7ACCBC7"/>
    <w:rsid w:val="F7EF3544"/>
    <w:rsid w:val="F7F44053"/>
    <w:rsid w:val="F7FA3568"/>
    <w:rsid w:val="F99A4551"/>
    <w:rsid w:val="F9DFACD3"/>
    <w:rsid w:val="FA779FB1"/>
    <w:rsid w:val="FAEF941B"/>
    <w:rsid w:val="FB67C763"/>
    <w:rsid w:val="FB736D19"/>
    <w:rsid w:val="FB7FCBAF"/>
    <w:rsid w:val="FBEDDC56"/>
    <w:rsid w:val="FBFBEA77"/>
    <w:rsid w:val="FBFD18D3"/>
    <w:rsid w:val="FC3D6D05"/>
    <w:rsid w:val="FC3F7B1B"/>
    <w:rsid w:val="FC7DE02C"/>
    <w:rsid w:val="FCF779BE"/>
    <w:rsid w:val="FCFF2A90"/>
    <w:rsid w:val="FD675154"/>
    <w:rsid w:val="FD9B7A19"/>
    <w:rsid w:val="FDE0BFC8"/>
    <w:rsid w:val="FDE776D3"/>
    <w:rsid w:val="FDFD5863"/>
    <w:rsid w:val="FDFE5550"/>
    <w:rsid w:val="FDFF7C38"/>
    <w:rsid w:val="FE7E7D6C"/>
    <w:rsid w:val="FEDD329C"/>
    <w:rsid w:val="FF2DA221"/>
    <w:rsid w:val="FF774136"/>
    <w:rsid w:val="FF8BB37E"/>
    <w:rsid w:val="FF9A9164"/>
    <w:rsid w:val="FF9E0066"/>
    <w:rsid w:val="FF9EAA29"/>
    <w:rsid w:val="FFAD68A1"/>
    <w:rsid w:val="FFB6C03D"/>
    <w:rsid w:val="FFDBCCD3"/>
    <w:rsid w:val="FFDE4BD3"/>
    <w:rsid w:val="FFF7DC7E"/>
    <w:rsid w:val="FFFCE206"/>
    <w:rsid w:val="FFFEBE54"/>
    <w:rsid w:val="FFFED653"/>
    <w:rsid w:val="FFFF9DA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14">
    <w:name w:val="Default Paragraph Font"/>
    <w:unhideWhenUsed/>
    <w:qFormat/>
    <w:uiPriority w:val="1"/>
  </w:style>
  <w:style w:type="table" w:default="1" w:styleId="13">
    <w:name w:val="Normal Table"/>
    <w:unhideWhenUsed/>
    <w:qFormat/>
    <w:uiPriority w:val="99"/>
    <w:pPr>
      <w:keepNext w:val="0"/>
      <w:keepLines w:val="0"/>
      <w:widowControl/>
      <w:suppressLineNumbers w:val="0"/>
      <w:spacing w:before="0" w:beforeAutospacing="0" w:after="0" w:afterAutospacing="0"/>
      <w:ind w:left="0" w:right="0"/>
    </w:pPr>
    <w:rPr>
      <w:rFonts w:ascii="Calibri" w:hAnsi="Calibri" w:cs="Arial"/>
      <w:kern w:val="2"/>
      <w:sz w:val="21"/>
      <w:szCs w:val="22"/>
    </w:rPr>
    <w:tblPr>
      <w:tblStyle w:val="13"/>
      <w:tblCellMar>
        <w:top w:w="0" w:type="dxa"/>
        <w:left w:w="108" w:type="dxa"/>
        <w:bottom w:w="0" w:type="dxa"/>
        <w:right w:w="108" w:type="dxa"/>
      </w:tblCellMar>
    </w:tblPr>
  </w:style>
  <w:style w:type="paragraph" w:styleId="2">
    <w:name w:val="Body Text First Indent 2"/>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paragraph" w:styleId="4">
    <w:name w:val="annotation text"/>
    <w:basedOn w:val="1"/>
    <w:link w:val="19"/>
    <w:unhideWhenUsed/>
    <w:qFormat/>
    <w:uiPriority w:val="99"/>
    <w:pPr>
      <w:jc w:val="left"/>
    </w:pPr>
  </w:style>
  <w:style w:type="paragraph" w:styleId="5">
    <w:name w:val="Plain Text"/>
    <w:basedOn w:val="1"/>
    <w:link w:val="20"/>
    <w:qFormat/>
    <w:uiPriority w:val="99"/>
    <w:rPr>
      <w:rFonts w:ascii="宋体" w:hAnsi="Courier New" w:eastAsia="宋体" w:cs="Times New Roman"/>
      <w:sz w:val="21"/>
      <w:szCs w:val="21"/>
    </w:rPr>
  </w:style>
  <w:style w:type="paragraph" w:styleId="6">
    <w:name w:val="Date"/>
    <w:basedOn w:val="1"/>
    <w:next w:val="1"/>
    <w:link w:val="21"/>
    <w:qFormat/>
    <w:uiPriority w:val="0"/>
    <w:rPr>
      <w:rFonts w:cs="Times New Roman"/>
      <w:kern w:val="0"/>
    </w:rPr>
  </w:style>
  <w:style w:type="paragraph" w:styleId="7">
    <w:name w:val="Balloon Text"/>
    <w:basedOn w:val="1"/>
    <w:link w:val="22"/>
    <w:unhideWhenUsed/>
    <w:qFormat/>
    <w:uiPriority w:val="99"/>
    <w:rPr>
      <w:rFonts w:ascii="宋体" w:eastAsia="宋体"/>
      <w:sz w:val="18"/>
      <w:szCs w:val="18"/>
    </w:rPr>
  </w:style>
  <w:style w:type="paragraph" w:styleId="8">
    <w:name w:val="footer"/>
    <w:basedOn w:val="1"/>
    <w:link w:val="23"/>
    <w:unhideWhenUsed/>
    <w:qFormat/>
    <w:uiPriority w:val="99"/>
    <w:pPr>
      <w:tabs>
        <w:tab w:val="center" w:pos="4153"/>
        <w:tab w:val="right" w:pos="8306"/>
      </w:tabs>
      <w:snapToGrid w:val="0"/>
      <w:jc w:val="left"/>
    </w:pPr>
    <w:rPr>
      <w:rFonts w:eastAsia="宋体" w:cs="Times New Roman"/>
      <w:kern w:val="0"/>
      <w:sz w:val="18"/>
      <w:szCs w:val="18"/>
    </w:rPr>
  </w:style>
  <w:style w:type="paragraph" w:styleId="9">
    <w:name w:val="header"/>
    <w:basedOn w:val="1"/>
    <w:link w:val="24"/>
    <w:unhideWhenUsed/>
    <w:qFormat/>
    <w:uiPriority w:val="99"/>
    <w:pPr>
      <w:pBdr>
        <w:bottom w:val="single" w:color="auto" w:sz="6" w:space="1"/>
      </w:pBdr>
      <w:tabs>
        <w:tab w:val="center" w:pos="4153"/>
        <w:tab w:val="right" w:pos="8306"/>
      </w:tabs>
      <w:snapToGrid w:val="0"/>
      <w:jc w:val="center"/>
    </w:pPr>
    <w:rPr>
      <w:rFonts w:eastAsia="宋体" w:cs="Times New Roman"/>
      <w:kern w:val="0"/>
      <w:sz w:val="18"/>
      <w:szCs w:val="18"/>
    </w:rPr>
  </w:style>
  <w:style w:type="paragraph" w:styleId="10">
    <w:name w:val="Body Text 2"/>
    <w:basedOn w:val="1"/>
    <w:link w:val="25"/>
    <w:qFormat/>
    <w:uiPriority w:val="0"/>
    <w:pPr>
      <w:autoSpaceDE w:val="0"/>
      <w:autoSpaceDN w:val="0"/>
      <w:adjustRightInd w:val="0"/>
      <w:spacing w:line="520" w:lineRule="exact"/>
      <w:jc w:val="center"/>
    </w:pPr>
    <w:rPr>
      <w:rFonts w:ascii="楷体_GB2312" w:eastAsia="楷体_GB2312" w:cs="Times New Roman"/>
      <w:kern w:val="0"/>
      <w:sz w:val="44"/>
      <w:szCs w:val="32"/>
      <w:lang w:val="zh-CN"/>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4"/>
    <w:next w:val="4"/>
    <w:link w:val="26"/>
    <w:unhideWhenUsed/>
    <w:qFormat/>
    <w:uiPriority w:val="99"/>
    <w:rPr>
      <w:b/>
      <w:bCs/>
    </w:rPr>
  </w:style>
  <w:style w:type="character" w:styleId="15">
    <w:name w:val="page number"/>
    <w:qFormat/>
    <w:uiPriority w:val="0"/>
  </w:style>
  <w:style w:type="character" w:styleId="16">
    <w:name w:val="Hyperlink"/>
    <w:unhideWhenUsed/>
    <w:qFormat/>
    <w:uiPriority w:val="99"/>
    <w:rPr>
      <w:color w:val="0000FF"/>
      <w:u w:val="single"/>
    </w:rPr>
  </w:style>
  <w:style w:type="character" w:styleId="17">
    <w:name w:val="annotation reference"/>
    <w:unhideWhenUsed/>
    <w:qFormat/>
    <w:uiPriority w:val="99"/>
    <w:rPr>
      <w:sz w:val="21"/>
      <w:szCs w:val="21"/>
    </w:rPr>
  </w:style>
  <w:style w:type="character" w:customStyle="1" w:styleId="18">
    <w:name w:val="标题 1字符"/>
    <w:link w:val="3"/>
    <w:qFormat/>
    <w:uiPriority w:val="9"/>
    <w:rPr>
      <w:rFonts w:eastAsia="仿宋_GB2312"/>
      <w:b/>
      <w:bCs/>
      <w:kern w:val="44"/>
      <w:sz w:val="44"/>
      <w:szCs w:val="44"/>
    </w:rPr>
  </w:style>
  <w:style w:type="character" w:customStyle="1" w:styleId="19">
    <w:name w:val="批注文字字符"/>
    <w:link w:val="4"/>
    <w:semiHidden/>
    <w:qFormat/>
    <w:uiPriority w:val="99"/>
    <w:rPr>
      <w:rFonts w:eastAsia="仿宋_GB2312"/>
      <w:kern w:val="2"/>
      <w:sz w:val="28"/>
    </w:rPr>
  </w:style>
  <w:style w:type="character" w:customStyle="1" w:styleId="20">
    <w:name w:val="纯文本字符"/>
    <w:link w:val="5"/>
    <w:qFormat/>
    <w:uiPriority w:val="99"/>
    <w:rPr>
      <w:rFonts w:ascii="宋体" w:hAnsi="Courier New" w:cs="Courier New"/>
      <w:kern w:val="2"/>
      <w:sz w:val="21"/>
      <w:szCs w:val="21"/>
    </w:rPr>
  </w:style>
  <w:style w:type="character" w:customStyle="1" w:styleId="21">
    <w:name w:val="日期字符"/>
    <w:link w:val="6"/>
    <w:qFormat/>
    <w:uiPriority w:val="0"/>
    <w:rPr>
      <w:rFonts w:ascii="Times New Roman" w:hAnsi="Times New Roman" w:eastAsia="仿宋_GB2312" w:cs="Times New Roman"/>
      <w:sz w:val="28"/>
      <w:szCs w:val="20"/>
    </w:rPr>
  </w:style>
  <w:style w:type="character" w:customStyle="1" w:styleId="22">
    <w:name w:val="批注框文本字符"/>
    <w:link w:val="7"/>
    <w:semiHidden/>
    <w:qFormat/>
    <w:uiPriority w:val="99"/>
    <w:rPr>
      <w:rFonts w:ascii="宋体"/>
      <w:kern w:val="2"/>
      <w:sz w:val="18"/>
      <w:szCs w:val="18"/>
    </w:rPr>
  </w:style>
  <w:style w:type="character" w:customStyle="1" w:styleId="23">
    <w:name w:val="页脚字符"/>
    <w:link w:val="8"/>
    <w:semiHidden/>
    <w:qFormat/>
    <w:uiPriority w:val="99"/>
    <w:rPr>
      <w:sz w:val="18"/>
      <w:szCs w:val="18"/>
    </w:rPr>
  </w:style>
  <w:style w:type="character" w:customStyle="1" w:styleId="24">
    <w:name w:val="页眉字符"/>
    <w:link w:val="9"/>
    <w:semiHidden/>
    <w:qFormat/>
    <w:uiPriority w:val="99"/>
    <w:rPr>
      <w:sz w:val="18"/>
      <w:szCs w:val="18"/>
    </w:rPr>
  </w:style>
  <w:style w:type="character" w:customStyle="1" w:styleId="25">
    <w:name w:val="正文文本 2字符"/>
    <w:link w:val="10"/>
    <w:qFormat/>
    <w:uiPriority w:val="0"/>
    <w:rPr>
      <w:rFonts w:ascii="楷体_GB2312" w:hAnsi="Times New Roman" w:eastAsia="楷体_GB2312"/>
      <w:sz w:val="44"/>
      <w:szCs w:val="32"/>
      <w:lang w:val="zh-CN"/>
    </w:rPr>
  </w:style>
  <w:style w:type="character" w:customStyle="1" w:styleId="26">
    <w:name w:val="批注主题字符"/>
    <w:link w:val="12"/>
    <w:semiHidden/>
    <w:qFormat/>
    <w:uiPriority w:val="99"/>
    <w:rPr>
      <w:rFonts w:eastAsia="仿宋_GB2312"/>
      <w:b/>
      <w:bCs/>
      <w:kern w:val="2"/>
      <w:sz w:val="28"/>
    </w:rPr>
  </w:style>
  <w:style w:type="character" w:customStyle="1" w:styleId="27">
    <w:name w:val="16"/>
    <w:qFormat/>
    <w:uiPriority w:val="0"/>
    <w:rPr>
      <w:rFonts w:hint="default" w:ascii="Times New Roman" w:hAnsi="Times New Roman" w:cs="Times New Roman"/>
      <w:color w:val="0000FF"/>
      <w:u w:val="single"/>
    </w:rPr>
  </w:style>
  <w:style w:type="paragraph" w:customStyle="1" w:styleId="28">
    <w:name w:val="p2"/>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1642</Words>
  <Characters>9362</Characters>
  <Lines>78</Lines>
  <Paragraphs>21</Paragraphs>
  <TotalTime>5</TotalTime>
  <ScaleCrop>false</ScaleCrop>
  <LinksUpToDate>false</LinksUpToDate>
  <CharactersWithSpaces>10983</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2020-10-16T09:16:00Z</dcterms:created>
  <dc:creator>hp</dc:creator>
  <cp:lastModifiedBy>王亦非</cp:lastModifiedBy>
  <cp:lastPrinted>2021-11-20T01:43:00Z</cp:lastPrinted>
  <dcterms:modified xsi:type="dcterms:W3CDTF">2023-04-25T16:26:54Z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