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autoSpaceDE w:val="0"/>
        <w:autoSpaceDN w:val="0"/>
        <w:spacing w:line="592" w:lineRule="exact"/>
        <w:ind w:firstLine="700" w:firstLineChars="200"/>
        <w:rPr>
          <w:rFonts w:eastAsia="华文中宋"/>
          <w:spacing w:val="20"/>
          <w:sz w:val="32"/>
          <w:szCs w:val="15"/>
        </w:rPr>
      </w:pPr>
    </w:p>
    <w:p>
      <w:pPr>
        <w:suppressAutoHyphens/>
        <w:spacing w:line="840" w:lineRule="exact"/>
        <w:jc w:val="center"/>
        <w:rPr>
          <w:rFonts w:eastAsia="华文中宋"/>
          <w:spacing w:val="20"/>
          <w:sz w:val="52"/>
        </w:rPr>
      </w:pPr>
      <w:r>
        <w:rPr>
          <w:rFonts w:eastAsia="华文中宋"/>
          <w:spacing w:val="20"/>
          <w:sz w:val="44"/>
        </w:rPr>
        <w:t>浙 江 省 高 级 人 民 法 院</w:t>
      </w:r>
    </w:p>
    <w:p>
      <w:pPr>
        <w:suppressAutoHyphens/>
        <w:spacing w:line="840" w:lineRule="exact"/>
        <w:ind w:left="-27" w:leftChars="-10"/>
        <w:jc w:val="center"/>
        <w:rPr>
          <w:rFonts w:eastAsia="华文中宋"/>
          <w:sz w:val="52"/>
        </w:rPr>
      </w:pPr>
      <w:r>
        <w:rPr>
          <w:rFonts w:eastAsia="华文中宋"/>
          <w:spacing w:val="240"/>
          <w:sz w:val="52"/>
        </w:rPr>
        <w:t>民事判决</w:t>
      </w:r>
      <w:r>
        <w:rPr>
          <w:rFonts w:eastAsia="华文中宋"/>
          <w:sz w:val="52"/>
        </w:rPr>
        <w:t>书</w:t>
      </w:r>
    </w:p>
    <w:p>
      <w:pPr>
        <w:suppressAutoHyphens/>
        <w:spacing w:line="780" w:lineRule="exact"/>
        <w:rPr>
          <w:sz w:val="32"/>
        </w:rPr>
      </w:pPr>
    </w:p>
    <w:p>
      <w:pPr>
        <w:suppressAutoHyphens/>
        <w:wordWrap w:val="0"/>
        <w:spacing w:line="360" w:lineRule="exact"/>
        <w:ind w:firstLine="573"/>
        <w:jc w:val="center"/>
        <w:rPr>
          <w:sz w:val="32"/>
        </w:rPr>
      </w:pP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sz w:val="32"/>
          <w:szCs w:val="32"/>
        </w:rPr>
        <w:t>（2024）浙民终</w:t>
      </w:r>
      <w:r>
        <w:rPr>
          <w:rFonts w:hint="eastAsia"/>
          <w:sz w:val="32"/>
          <w:szCs w:val="32"/>
          <w:lang w:val="en-US" w:eastAsia="zh-CN"/>
        </w:rPr>
        <w:t>1233</w:t>
      </w:r>
      <w:r>
        <w:rPr>
          <w:sz w:val="32"/>
          <w:szCs w:val="32"/>
        </w:rPr>
        <w:t>号</w:t>
      </w:r>
    </w:p>
    <w:p>
      <w:pPr>
        <w:suppressAutoHyphens/>
        <w:spacing w:line="340" w:lineRule="exact"/>
        <w:ind w:firstLine="539" w:firstLineChars="174"/>
        <w:rPr>
          <w:sz w:val="32"/>
        </w:rPr>
      </w:pP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上诉人（原审被告）：浙江英某实业有限公司，住所地浙江省温州市永嘉县。</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被上诉人（原审原告）：浙江元某儿童用品有限公司，住所地浙江省温州市永嘉县。</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上诉人浙江英某实业有限公司（以下简称英某公司）因与被上诉人浙江元某儿童用品有限公司（以下简称元某公司）侵害外观设计专利权纠纷一案，不服浙江省杭州市中级人民法院（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829</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日立案后，依法组成合议庭，并于同年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日公开开庭进行了审理。上诉人英某公司的法定代表人、被上诉人元某公司的委托诉讼代理人到庭参加诉讼。本案现已审理终结。</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英某公司上诉请求（变更后）：撤销一审判决，依法改判驳回元某公司的全部诉讼请求；元某公司承担本案一、二审诉讼费用。事实和理由：被诉侵权设计与涉案专利不构成近似，英某公司未侵害元某公司的涉案专利权。（一）被诉侵权设计系英某公司独立创作开发完成，其创意来源于一座苏格兰城堡的建筑立面，在对其整体组合构成进行拆解分析的基础上，形成了左边</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层尖顶主楼加右边</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层</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开间副楼的基本构造。被诉侵权设计也沿用了英某公司在先设计中的一些元素，如收纳抽屉、窗户、积雪屋顶等，体现出其设计风格上的一致性。（二）被诉侵权设计与涉案专利相比存在</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个方面共计</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个区别点，两者整体视觉效果存在显著差异。（三）元某公司模仿了案外人的木质城堡主题的收纳柜的整体组合形式，同时运用了英某公司在先外观设计专利中的连接方式和结构板件，组合出涉案专利，这种利用本土产业带成熟的现有工艺，对其他产业带上的流行款式的整体组合形式进行模仿所申请的外观设计专利，其权利范围应当受到限制，不应得到过度保护。</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元某公司辩称：（一）被诉侵权设计的创意来源城堡是建筑物，与专利产品并非同类产品。（二）从被诉侵权设计的收纳柜构成来看，主楼和副楼左右比例</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，收纳抽屉对应开间数量</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个，主楼腰部高度与副楼第二层顶板的高度一致，上述构成恰恰采用了</w:t>
      </w:r>
      <w:bookmarkStart w:id="0" w:name="OLE_LINK3"/>
      <w:r>
        <w:rPr>
          <w:rFonts w:hint="eastAsia" w:ascii="仿宋_GB2312" w:hAnsi="Times New Roman" w:eastAsia="仿宋_GB2312" w:cs="仿宋_GB2312"/>
          <w:kern w:val="2"/>
          <w:sz w:val="32"/>
          <w:szCs w:val="32"/>
          <w:lang w:val="en-US" w:eastAsia="zh-CN" w:bidi="ar"/>
        </w:rPr>
        <w:t>涉案专利的基本设计</w:t>
      </w:r>
      <w:bookmarkEnd w:id="0"/>
      <w:r>
        <w:rPr>
          <w:rFonts w:hint="eastAsia" w:ascii="仿宋_GB2312" w:hAnsi="Times New Roman" w:eastAsia="仿宋_GB2312" w:cs="仿宋_GB2312"/>
          <w:kern w:val="2"/>
          <w:sz w:val="32"/>
          <w:szCs w:val="32"/>
          <w:lang w:val="en-US" w:eastAsia="zh-CN" w:bidi="ar"/>
        </w:rPr>
        <w:t>，与涉案专利构成近似，落入了涉案专利权保护范围。（三）对于收纳柜产品而言，涉案专利的基本设计均不属于这类产品的惯常设计，英某公司提交的多个在先设计也没有任何一件公开了其设计特征，甚至进行两两组合也得不出来涉案专利最基本的设计特征。一审法院认定事实正确、适用法律正确，请求驳回英某公司的全部上诉请求。</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元某公司向一审法院起诉，请求判令英某公司：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立即销毁库存侵权产品及制造模具和专用工具；</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立即停止制造、销售、许诺销售落入专利号为</w:t>
      </w:r>
      <w:r>
        <w:rPr>
          <w:rFonts w:hint="default" w:ascii="Times New Roman" w:hAnsi="Times New Roman" w:eastAsia="仿宋_GB2312" w:cs="Times New Roman"/>
          <w:kern w:val="2"/>
          <w:sz w:val="32"/>
          <w:szCs w:val="32"/>
          <w:lang w:val="en-US" w:eastAsia="zh-CN" w:bidi="ar"/>
        </w:rPr>
        <w:t>ZL2022xxxx9811.0</w:t>
      </w:r>
      <w:r>
        <w:rPr>
          <w:rFonts w:hint="eastAsia" w:ascii="仿宋_GB2312" w:hAnsi="Times New Roman" w:eastAsia="仿宋_GB2312" w:cs="仿宋_GB2312"/>
          <w:kern w:val="2"/>
          <w:sz w:val="32"/>
          <w:szCs w:val="32"/>
          <w:lang w:val="en-US" w:eastAsia="zh-CN" w:bidi="ar"/>
        </w:rPr>
        <w:t>、名称为“收纳架（木屋</w:t>
      </w:r>
      <w:r>
        <w:rPr>
          <w:rFonts w:hint="default" w:ascii="Times New Roman" w:hAnsi="Times New Roman" w:eastAsia="仿宋_GB2312" w:cs="Times New Roman"/>
          <w:kern w:val="2"/>
          <w:sz w:val="32"/>
          <w:szCs w:val="32"/>
          <w:lang w:val="en-US" w:eastAsia="zh-CN" w:bidi="ar"/>
        </w:rPr>
        <w:t>-YY2203MWSNJ</w:t>
      </w:r>
      <w:r>
        <w:rPr>
          <w:rFonts w:hint="eastAsia" w:ascii="仿宋_GB2312" w:hAnsi="Times New Roman" w:eastAsia="仿宋_GB2312" w:cs="仿宋_GB2312"/>
          <w:kern w:val="2"/>
          <w:sz w:val="32"/>
          <w:szCs w:val="32"/>
          <w:lang w:val="en-US" w:eastAsia="zh-CN" w:bidi="ar"/>
        </w:rPr>
        <w:t>）”外观设计专利权保护范围的产品；</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赔偿其经济损失</w:t>
      </w:r>
      <w:r>
        <w:rPr>
          <w:rFonts w:hint="default" w:ascii="Times New Roman" w:hAnsi="Times New Roman" w:eastAsia="仿宋_GB2312" w:cs="Times New Roman"/>
          <w:kern w:val="2"/>
          <w:sz w:val="32"/>
          <w:szCs w:val="32"/>
          <w:lang w:val="en-US" w:eastAsia="zh-CN" w:bidi="ar"/>
        </w:rPr>
        <w:t>48</w:t>
      </w:r>
      <w:r>
        <w:rPr>
          <w:rFonts w:hint="eastAsia" w:ascii="仿宋_GB2312" w:hAnsi="Times New Roman" w:eastAsia="仿宋_GB2312" w:cs="仿宋_GB2312"/>
          <w:kern w:val="2"/>
          <w:sz w:val="32"/>
          <w:szCs w:val="32"/>
          <w:lang w:val="en-US" w:eastAsia="zh-CN" w:bidi="ar"/>
        </w:rPr>
        <w:t>万元及为调查、制止侵权行为所支出的合理维权费用</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万元，共计</w:t>
      </w:r>
      <w:r>
        <w:rPr>
          <w:rFonts w:hint="default" w:ascii="Times New Roman" w:hAnsi="Times New Roman" w:eastAsia="仿宋_GB2312" w:cs="Times New Roman"/>
          <w:kern w:val="2"/>
          <w:sz w:val="32"/>
          <w:szCs w:val="32"/>
          <w:lang w:val="en-US" w:eastAsia="zh-CN" w:bidi="ar"/>
        </w:rPr>
        <w:t>50</w:t>
      </w:r>
      <w:r>
        <w:rPr>
          <w:rFonts w:hint="eastAsia"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承担本案诉讼费。</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一审法院认定事实：元某公司是专利号为</w:t>
      </w:r>
      <w:r>
        <w:rPr>
          <w:rFonts w:hint="default" w:ascii="Times New Roman" w:hAnsi="Times New Roman" w:eastAsia="仿宋_GB2312" w:cs="Times New Roman"/>
          <w:kern w:val="2"/>
          <w:sz w:val="32"/>
          <w:szCs w:val="32"/>
          <w:lang w:val="en-US" w:eastAsia="zh-CN" w:bidi="ar"/>
        </w:rPr>
        <w:t>ZL2022xxxx9811.0</w:t>
      </w:r>
      <w:r>
        <w:rPr>
          <w:rFonts w:hint="eastAsia" w:ascii="仿宋_GB2312" w:hAnsi="Times New Roman" w:eastAsia="仿宋_GB2312" w:cs="仿宋_GB2312"/>
          <w:kern w:val="2"/>
          <w:sz w:val="32"/>
          <w:szCs w:val="32"/>
          <w:lang w:val="en-US" w:eastAsia="zh-CN" w:bidi="ar"/>
        </w:rPr>
        <w:t>、名称为“收纳架（木屋</w:t>
      </w:r>
      <w:r>
        <w:rPr>
          <w:rFonts w:hint="default" w:ascii="Times New Roman" w:hAnsi="Times New Roman" w:eastAsia="仿宋_GB2312" w:cs="Times New Roman"/>
          <w:kern w:val="2"/>
          <w:sz w:val="32"/>
          <w:szCs w:val="32"/>
          <w:lang w:val="en-US" w:eastAsia="zh-CN" w:bidi="ar"/>
        </w:rPr>
        <w:t>-YY2203MWSNJ</w:t>
      </w:r>
      <w:r>
        <w:rPr>
          <w:rFonts w:hint="eastAsia" w:ascii="仿宋_GB2312" w:hAnsi="Times New Roman" w:eastAsia="仿宋_GB2312" w:cs="仿宋_GB2312"/>
          <w:kern w:val="2"/>
          <w:sz w:val="32"/>
          <w:szCs w:val="32"/>
          <w:lang w:val="en-US" w:eastAsia="zh-CN" w:bidi="ar"/>
        </w:rPr>
        <w:t>）”的外观设计专利权人，该专利于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日申请，于同年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日授权公告，目前处于有效状态。专利简要说明中记载该专利的设计要点在于形状与图案的结合，产品用途为收纳玩具、衣物、袜子等物品，最能表明设计要点的图片或照片为立体图。</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日，国家知识产权局就涉案专利出具专利权评价报告，初步结论为全部外观设计未发现存在不符合授予专利权条件的缺陷。</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15</w:t>
      </w:r>
      <w:r>
        <w:rPr>
          <w:rFonts w:hint="eastAsia" w:ascii="仿宋_GB2312" w:hAnsi="Times New Roman" w:eastAsia="仿宋_GB2312" w:cs="仿宋_GB2312"/>
          <w:kern w:val="2"/>
          <w:sz w:val="32"/>
          <w:szCs w:val="32"/>
          <w:lang w:val="en-US" w:eastAsia="zh-CN" w:bidi="ar"/>
        </w:rPr>
        <w:t>日，元某公司的委托代理人登录天猫平台，查看同年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日商品名称为“英禾玩具收纳架置物架大容量宝宝储物柜婴儿家用多层分类神器柜子”的订单，显示颜色分类为“浅咖色奶油屋收纳（</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）”，支付货款</w:t>
      </w:r>
      <w:r>
        <w:rPr>
          <w:rFonts w:hint="default" w:ascii="Times New Roman" w:hAnsi="Times New Roman" w:eastAsia="仿宋_GB2312" w:cs="Times New Roman"/>
          <w:kern w:val="2"/>
          <w:sz w:val="32"/>
          <w:szCs w:val="32"/>
          <w:lang w:val="en-US" w:eastAsia="zh-CN" w:bidi="ar"/>
        </w:rPr>
        <w:t>647</w:t>
      </w:r>
      <w:r>
        <w:rPr>
          <w:rFonts w:hint="eastAsia" w:ascii="仿宋_GB2312" w:hAnsi="Times New Roman" w:eastAsia="仿宋_GB2312" w:cs="仿宋_GB2312"/>
          <w:kern w:val="2"/>
          <w:sz w:val="32"/>
          <w:szCs w:val="32"/>
          <w:lang w:val="en-US" w:eastAsia="zh-CN" w:bidi="ar"/>
        </w:rPr>
        <w:t>元。查看商品销售页（商品</w:t>
      </w:r>
      <w:r>
        <w:rPr>
          <w:rFonts w:hint="default" w:ascii="Times New Roman" w:hAnsi="Times New Roman" w:eastAsia="仿宋_GB2312" w:cs="Times New Roman"/>
          <w:kern w:val="2"/>
          <w:sz w:val="32"/>
          <w:szCs w:val="32"/>
          <w:lang w:val="en-US" w:eastAsia="zh-CN" w:bidi="ar"/>
        </w:rPr>
        <w:t>ID</w:t>
      </w:r>
      <w:r>
        <w:rPr>
          <w:rFonts w:hint="eastAsia" w:ascii="仿宋_GB2312" w:hAnsi="Times New Roman" w:eastAsia="仿宋_GB2312" w:cs="仿宋_GB2312"/>
          <w:kern w:val="2"/>
          <w:sz w:val="32"/>
          <w:szCs w:val="32"/>
          <w:lang w:val="en-US" w:eastAsia="zh-CN" w:bidi="ar"/>
        </w:rPr>
        <w:t>为</w:t>
      </w:r>
      <w:r>
        <w:rPr>
          <w:rFonts w:hint="default" w:ascii="Times New Roman" w:hAnsi="Times New Roman" w:eastAsia="仿宋_GB2312" w:cs="Times New Roman"/>
          <w:kern w:val="2"/>
          <w:sz w:val="32"/>
          <w:szCs w:val="32"/>
          <w:lang w:val="en-US" w:eastAsia="zh-CN" w:bidi="ar"/>
        </w:rPr>
        <w:t>75081905685</w:t>
      </w:r>
      <w:r>
        <w:rPr>
          <w:rFonts w:hint="eastAsia" w:ascii="仿宋_GB2312" w:hAnsi="Times New Roman" w:eastAsia="仿宋_GB2312" w:cs="仿宋_GB2312"/>
          <w:kern w:val="2"/>
          <w:sz w:val="32"/>
          <w:szCs w:val="32"/>
          <w:lang w:val="en-US" w:eastAsia="zh-CN" w:bidi="ar"/>
        </w:rPr>
        <w:t>），单价</w:t>
      </w:r>
      <w:r>
        <w:rPr>
          <w:rFonts w:hint="default" w:ascii="Times New Roman" w:hAnsi="Times New Roman" w:eastAsia="仿宋_GB2312" w:cs="Times New Roman"/>
          <w:kern w:val="2"/>
          <w:sz w:val="32"/>
          <w:szCs w:val="32"/>
          <w:lang w:val="en-US" w:eastAsia="zh-CN" w:bidi="ar"/>
        </w:rPr>
        <w:t>200</w:t>
      </w:r>
      <w:r>
        <w:rPr>
          <w:rFonts w:hint="eastAsia" w:ascii="仿宋_GB2312" w:hAnsi="Times New Roman" w:eastAsia="仿宋_GB2312" w:cs="仿宋_GB2312"/>
          <w:kern w:val="2"/>
          <w:sz w:val="32"/>
          <w:szCs w:val="32"/>
          <w:lang w:val="en-US" w:eastAsia="zh-CN" w:bidi="ar"/>
        </w:rPr>
        <w:t>元起，已售</w:t>
      </w:r>
      <w:r>
        <w:rPr>
          <w:rFonts w:hint="default" w:ascii="Times New Roman" w:hAnsi="Times New Roman" w:eastAsia="仿宋_GB2312" w:cs="Times New Roman"/>
          <w:kern w:val="2"/>
          <w:sz w:val="32"/>
          <w:szCs w:val="32"/>
          <w:lang w:val="en-US" w:eastAsia="zh-CN" w:bidi="ar"/>
        </w:rPr>
        <w:t>1000+</w:t>
      </w:r>
      <w:r>
        <w:rPr>
          <w:rFonts w:hint="eastAsia" w:ascii="仿宋_GB2312" w:hAnsi="Times New Roman" w:eastAsia="仿宋_GB2312" w:cs="仿宋_GB2312"/>
          <w:kern w:val="2"/>
          <w:sz w:val="32"/>
          <w:szCs w:val="32"/>
          <w:lang w:val="en-US" w:eastAsia="zh-CN" w:bidi="ar"/>
        </w:rPr>
        <w:t>，共</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个颜色分类【分别为：“浅咖色奶油屋收纳柜（</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）”“浅咖色奶油屋收纳柜（</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）”“浅咖色奶油屋收纳柜（</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）”“浅咖色奶油屋收纳柜（</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防尘盖）”“浅咖色奶油屋收纳柜（</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防尘盖）”“浅咖色奶油屋收纳柜（</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防尘盖）”“浅咖色奶油屋收纳柜（主柜）”“浅咖色奶油屋收纳柜（</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）”“浅咖色奶油屋收纳柜（</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）”“浅咖色奶油屋收纳柜（</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）”】，有货。店铺名称为“英禾旗舰店”，</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年店。经营者显示为英某公司。同日，元某公司的委托代理人对前述商品进行了收货确认。杭州市西湖公证处就上述过程出具（</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）浙杭西证字民字第</w:t>
      </w:r>
      <w:r>
        <w:rPr>
          <w:rFonts w:hint="default" w:ascii="Times New Roman" w:hAnsi="Times New Roman" w:eastAsia="仿宋_GB2312" w:cs="Times New Roman"/>
          <w:kern w:val="2"/>
          <w:sz w:val="32"/>
          <w:szCs w:val="32"/>
          <w:lang w:val="en-US" w:eastAsia="zh-CN" w:bidi="ar"/>
        </w:rPr>
        <w:t>7283</w:t>
      </w:r>
      <w:r>
        <w:rPr>
          <w:rFonts w:hint="eastAsia" w:ascii="仿宋_GB2312" w:hAnsi="Times New Roman" w:eastAsia="仿宋_GB2312" w:cs="仿宋_GB2312"/>
          <w:kern w:val="2"/>
          <w:sz w:val="32"/>
          <w:szCs w:val="32"/>
          <w:lang w:val="en-US" w:eastAsia="zh-CN" w:bidi="ar"/>
        </w:rPr>
        <w:t>号公证书。</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日，前述链接项下的产品颜色分类变更如下：“奶油屋收纳柜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）配防尘盖”“奶油屋收纳柜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）配防尘盖”“奶油屋收纳柜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）配防尘盖”“奶油屋收纳柜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茉莉白（主柜）”“奶油屋收纳柜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）”。产品展示图片亦有相应变更。</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22</w:t>
      </w:r>
      <w:r>
        <w:rPr>
          <w:rFonts w:hint="eastAsia" w:ascii="仿宋_GB2312" w:hAnsi="Times New Roman" w:eastAsia="仿宋_GB2312" w:cs="仿宋_GB2312"/>
          <w:kern w:val="2"/>
          <w:sz w:val="32"/>
          <w:szCs w:val="32"/>
          <w:lang w:val="en-US" w:eastAsia="zh-CN" w:bidi="ar"/>
        </w:rPr>
        <w:t>日，在展会中展示有被诉侵权产品。</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一审另查明，英某公司在国际分类</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上注册有多个“英禾”商标，商品类别涵盖家具、玩具箱、婴儿游戏围栏用垫，婴儿床栏用防撞条（非床用织品），商标均在商标专用权期限内。</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一审再查明，英某公司（自然人投资或控股）成立于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万元，经营范围：一般项目：母婴用品制造、母婴用品销售、玩具制造、玩具销售等。</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当庭查验公证实物，外包装上的封条无拆封痕迹。打开外包装，其内的产品经组合为一个收纳架（组合方式唯一）及产品说明书一份。包装盒及产品说明书上均印有英某公司企业名称及公司地址，以及“品牌：英禾</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诺莎</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优安</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贝多喜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亲儿乐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贝际</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优鹿 联合出口”，英某公司确认上述产品系其制造、销售及许诺销售，并陈述其旧款被诉侵权产品于</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日下架。经元某公司</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取证，被诉侵权链接仍在销售，但原被诉侵权产品已升级为新款。英某公司确认升级前后两款产品主要区别在于升级前使用田字窗设计，升级后使用手推门设计。元某公司主张被诉侵权链接项下“浅咖色奶油屋收纳柜”搭配“（</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防尘盖）”“（</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防尘盖）”“（</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防尘盖）”六个组合以及该链接项下产品升级后“奶油屋收纳柜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茉莉白”搭配“（</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）配防尘盖”“（</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）配防尘盖”“（</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）配防尘盖”“（</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）”六个组合产品亦构成侵权，并以产品销售图片作为升级后的被诉侵权产品的比对对象。</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经一审庭审比对，元某公司主张前述被诉侵权产品与授权外观设计均构成近似，英某公司主张前述被诉侵权产品与授权外观设计既不相同也不近似。</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日，名为“</w:t>
      </w:r>
      <w:r>
        <w:rPr>
          <w:rFonts w:hint="default" w:ascii="Times New Roman" w:hAnsi="Times New Roman" w:eastAsia="仿宋_GB2312" w:cs="Times New Roman"/>
          <w:kern w:val="2"/>
          <w:sz w:val="32"/>
          <w:szCs w:val="32"/>
          <w:lang w:val="en-US" w:eastAsia="zh-CN" w:bidi="ar"/>
        </w:rPr>
        <w:t>dewinbaby</w:t>
      </w:r>
      <w:r>
        <w:rPr>
          <w:rFonts w:hint="eastAsia" w:ascii="仿宋_GB2312" w:hAnsi="Times New Roman" w:eastAsia="仿宋_GB2312" w:cs="仿宋_GB2312"/>
          <w:kern w:val="2"/>
          <w:sz w:val="32"/>
          <w:szCs w:val="32"/>
          <w:lang w:val="en-US" w:eastAsia="zh-CN" w:bidi="ar"/>
        </w:rPr>
        <w:t>德蕴宝贝”的新浪微博用户发布微博图片，展示有多张婴幼儿创意收纳架落地衣架等。英某公司主张以上述图片作为现有设计。经一审庭审比对，英某公司认为被诉侵权产品与现有设计仅田字格窗不同，构成近似，元某公司主张被诉侵权产品两边均为板状结构，现有设计整体为框架结构，另两者在收纳盒比例形状、屋顶的造型方面不同，整体视觉效果亦完全不同，故两者既不相同也不近似。</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一审法院认为，涉案专利在有效期限内，法律状态稳定，其权利人已履行缴纳专利年费的义务，故该专利为有效专利，应受国家法律保护。元某公司作为专利权人享有对侵害涉案专利权行为之诉权。</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本案中，多款被诉侵权产品与授权外观设计专利产品均为收纳架，系相同产品。其中，升级前的“浅咖色奶油屋收纳柜”系列与升级后的“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茉莉白”系列被诉侵权产品主要区别在于圆三角屋顶上的镂空格子窗变更为带圆形把手的小门。经一审比对，升级前的被诉侵权产品“浅咖色奶油屋收纳（</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）”及升级后的被诉侵权产品“奶油屋收纳柜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）”与授权外观设计整体形状一致，两者整体均由格子式“∟”型收纳架与</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个收纳盒组成，收纳盒均为横向大小相同，纵向大小不一的矩形。收纳盒放置于“∟”型收纳架的格子中，大格与小格的高度比约</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收纳架最高处有一个圆角三角形屋顶（其中，升级前的被诉侵权产品与授权外观设计屋顶正面均有四字格小窗设计），屋顶下方有两小一大三个收纳盒，另三列纵向各有一小一大两个收纳盒，左（高）收纳架与右（低）收纳架高度比约为</w:t>
      </w:r>
      <w:r>
        <w:rPr>
          <w:rFonts w:hint="default" w:ascii="Times New Roman" w:hAnsi="Times New Roman" w:eastAsia="仿宋_GB2312" w:cs="Times New Roman"/>
          <w:kern w:val="2"/>
          <w:sz w:val="32"/>
          <w:szCs w:val="32"/>
          <w:lang w:val="en-US" w:eastAsia="zh-CN" w:bidi="ar"/>
        </w:rPr>
        <w:t>2:1</w:t>
      </w:r>
      <w:r>
        <w:rPr>
          <w:rFonts w:hint="eastAsia" w:ascii="仿宋_GB2312" w:hAnsi="Times New Roman" w:eastAsia="仿宋_GB2312" w:cs="仿宋_GB2312"/>
          <w:kern w:val="2"/>
          <w:sz w:val="32"/>
          <w:szCs w:val="32"/>
          <w:lang w:val="en-US" w:eastAsia="zh-CN" w:bidi="ar"/>
        </w:rPr>
        <w:t>，宽度比约为</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。收纳架左右面板为长方形，面板上均设有位置、形状相似的镂空圆孔。两者的主要区别有：</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圆三角屋顶的轮廓造型略有不同：被诉侵权产品的屋顶圆角弧度更大，更圆，屋顶正面面板外凸覆盖在方形格子之外，正面顶部有积雪覆盖设计，屋顶上方两侧各有两条镂空的长条形通孔，授权外观设计的屋顶角弧度小，顶部较尖，屋顶正面面板与收纳架方形格子齐边，镶嵌在格子两侧的支架内；</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被诉侵权产品在右侧收纳架顶部置物台后侧和边侧分别有加高护挡，授权外观设计为光滑平面设计；</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被诉侵权产品收纳盒边缘有拉手，授权外观设计收纳盒上无拉手设计；</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被诉侵权产品左右两侧面板上各有一条长条形镂空条，授权外观设计无此设计；</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升级前的被诉侵权产品“浅咖色奶油屋收纳（</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）”田字格窗户外轮廓为不规则圆顶拱门设计，升级后的被诉侵权产品“奶油屋收纳柜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无田字格窗户，而是一个带把手的小门设计，授权外观设计屋顶正面田字格外轮为规则的光滑圆顶拱门设计。上述区别点属于设计细节上的区别，对于整体对视觉效果不足以产生显著影响，两者属于近似设计。</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另，相比前述“浅咖色奶油屋收纳柜”及“奶油屋收纳柜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茉莉白”中“</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”款被诉侵权产品，相应系列中的“（</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）”款仅在“∟”型收纳架最右侧少一列收纳架，“（</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）”款在收纳架最右侧增加一个与左（高）收纳架相同外观的收纳柜，形成左右对称的“凵”型；“（</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防尘盖）”“（</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防尘盖）”“（</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防尘盖）”款仅额外增加了收纳盒的防尘盖，防尘盖对收纳架整体外观无实质影响。该院认为，上述款式变化系对现有外观设计中现有元素的简单拆分或叠加，对整体外观和风格无实质影响，从外观设计专利产品的一般消费者的知识水平和认知能力来看，前述被诉侵权产品的设计与涉案外观设计专利之间在整体视觉效果上无实质性差异，两者属于近似设计。综上，根据整体观察、综合判断的原则，该院认为十六款被诉侵权设计均落入涉案外观设计专利权的保护范围。</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英某公司主张被诉侵权产品系现有设计，并以名为“</w:t>
      </w:r>
      <w:r>
        <w:rPr>
          <w:rFonts w:hint="default" w:ascii="Times New Roman" w:hAnsi="Times New Roman" w:eastAsia="仿宋_GB2312" w:cs="Times New Roman"/>
          <w:kern w:val="2"/>
          <w:sz w:val="32"/>
          <w:szCs w:val="32"/>
          <w:lang w:val="en-US" w:eastAsia="zh-CN" w:bidi="ar"/>
        </w:rPr>
        <w:t>dewinbaby</w:t>
      </w:r>
      <w:r>
        <w:rPr>
          <w:rFonts w:hint="eastAsia" w:ascii="仿宋_GB2312" w:hAnsi="Times New Roman" w:eastAsia="仿宋_GB2312" w:cs="仿宋_GB2312"/>
          <w:kern w:val="2"/>
          <w:sz w:val="32"/>
          <w:szCs w:val="32"/>
          <w:lang w:val="en-US" w:eastAsia="zh-CN" w:bidi="ar"/>
        </w:rPr>
        <w:t>德蕴宝贝”的新浪微博用户于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发布的产品图片作为比对对象。该院认为，英某公司主张现有设计的图片发布时间在涉案专利申请日之前，图片整体清晰可辨，能体现产品主要设计要点，可以用于现有设计比对。经一审庭审比对，英某公司主张的现有设计与被诉侵权产品均为带三角屋顶设计的“∟”型收纳架，收纳盒数量均为</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个。两者的主要区别有：</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产品侧面及三角屋顶正面均为带孔洞的实体板，三角屋顶为大圆角设计，其上有积雪、田字窗设计，现有设计左侧收纳架侧面仅有横栏，三角屋顶正面中间亦镂空，且屋顶三角圆角弧度小，其内镂空部分为尖角；</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被诉侵权产品收纳架各挡板厚度均一致，现有设计收纳架的挡板厚度有明显粗细区别；</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被诉侵权产品左侧收纳架自上而下为“小</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大</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大”三个收纳盒，现有设计左侧收纳架自上而下为“小</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小</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大”三个收纳盒；</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被诉侵权产品收纳盒边缘有拉手，现有设计收纳盒上无拉手设计；</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被诉侵权产品在右侧收纳架顶部置物台后侧和边侧分别有加高护挡，现有设计为光滑平面设计。上述区别中，区别</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和</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为设计细节上的区别，对于整体对视觉效果不足以产生显著影响，区别</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和</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属于整体框架上的不同，区别</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亦属于视觉要部上的不同，对整体视觉效果具有显著影响，整体上看，该现有设计与被诉侵权设计的整体视觉效果存在较大区别，故该院对英某公司主张的现设计抗辩不予采信。</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十一条第二款规定：“外观设计专利权被授予后，任何单位或者个人未经专利权人许可，都不得实施其专利，即不得为生产经营目的制造、许诺销售、销售、进口其外观设计专利产品。”元某公司在英某公司开设的网上店铺中公证购买到了侵权产品，产品销售页面显示有产品销量，表明有库存，可以认定英某公司销售、许诺销售了侵权产品，该院对元某公司要求英某公司立即停止销售、许诺销售侵权产品并销毁侵权产品库存的诉讼请求予以支持。此外，英某公司自认其为生产厂家，且侵权产品包装上印有英某公司的企业名称、地址以及英某公司的商标，且英某公司的经营范围包括母婴用品制造、玩具制造等，故应认定英某公司实施了制造侵权产品的行为，对元某公司要求其停止制造侵权产品的诉请予以支持。在案证据尚不足以证明英某公司持有制造侵权产品的专用模具和专用工具，故对元某公司要求英某公司销售制造模具和专用工具的诉讼请求不予支持。</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如前所述，英某公司未经专利权人许可，以生产经营目的制造、销售、许诺销售侵权产品，侵害了元某公司享有的涉案外观设计专利权，应依法承担停止侵权、赔偿经济损失及支付维权合理费用的民事责任。关于赔偿数额，《中华人民共和国专利法》第七十一条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赔偿数额还应当包括权利人为制止侵权行为所支付的合理开支。”依据现有证据，英某公司的侵权获利或元某公司因被侵权所受到的具体损失均无法查清，因此，该院综合考虑涉案专利的类型，授权时间，侵权行为的性质、情节，侵权产品的销售规模、范围，元某公司为制止侵权所支出的合理费用等因素，按照法定赔偿的方式酌情确定赔偿数额</w:t>
      </w:r>
      <w:r>
        <w:rPr>
          <w:rFonts w:hint="default" w:ascii="Times New Roman" w:hAnsi="Times New Roman" w:eastAsia="仿宋_GB2312" w:cs="Times New Roman"/>
          <w:kern w:val="2"/>
          <w:sz w:val="32"/>
          <w:szCs w:val="32"/>
          <w:lang w:val="en-US" w:eastAsia="zh-CN" w:bidi="ar"/>
        </w:rPr>
        <w:t>115000</w:t>
      </w:r>
      <w:r>
        <w:rPr>
          <w:rFonts w:hint="eastAsia" w:ascii="仿宋_GB2312" w:hAnsi="Times New Roman" w:eastAsia="仿宋_GB2312" w:cs="仿宋_GB2312"/>
          <w:kern w:val="2"/>
          <w:sz w:val="32"/>
          <w:szCs w:val="32"/>
          <w:lang w:val="en-US" w:eastAsia="zh-CN" w:bidi="ar"/>
        </w:rPr>
        <w:t>元，合理费用</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元。</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一审法院依照《中华人民共和国专利法》第十一条第二款、第六十四条第二款、第七十一条，《最高人民法院关于审理侵犯专利权纠纷案件应用法律若干问题的解释》第八条、第十条、第十一条，《中华人民共和国民事诉讼法》第六十七条第一款之规定，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日判决：一、英某公司立即停止制造、销售、许诺销售落入元某公司享有的专利号为</w:t>
      </w:r>
      <w:r>
        <w:rPr>
          <w:rFonts w:hint="default" w:ascii="Times New Roman" w:hAnsi="Times New Roman" w:eastAsia="仿宋_GB2312" w:cs="Times New Roman"/>
          <w:kern w:val="2"/>
          <w:sz w:val="32"/>
          <w:szCs w:val="32"/>
          <w:lang w:val="en-US" w:eastAsia="zh-CN" w:bidi="ar"/>
        </w:rPr>
        <w:t>ZL2022xxxx9811.0</w:t>
      </w:r>
      <w:r>
        <w:rPr>
          <w:rFonts w:hint="eastAsia" w:ascii="仿宋_GB2312" w:hAnsi="Times New Roman" w:eastAsia="仿宋_GB2312" w:cs="仿宋_GB2312"/>
          <w:kern w:val="2"/>
          <w:sz w:val="32"/>
          <w:szCs w:val="32"/>
          <w:lang w:val="en-US" w:eastAsia="zh-CN" w:bidi="ar"/>
        </w:rPr>
        <w:t>、名称为“收纳架（木屋</w:t>
      </w:r>
      <w:r>
        <w:rPr>
          <w:rFonts w:hint="default" w:ascii="Times New Roman" w:hAnsi="Times New Roman" w:eastAsia="仿宋_GB2312" w:cs="Times New Roman"/>
          <w:kern w:val="2"/>
          <w:sz w:val="32"/>
          <w:szCs w:val="32"/>
          <w:lang w:val="en-US" w:eastAsia="zh-CN" w:bidi="ar"/>
        </w:rPr>
        <w:t>-YY2203MWSNJ</w:t>
      </w:r>
      <w:r>
        <w:rPr>
          <w:rFonts w:hint="eastAsia" w:ascii="仿宋_GB2312" w:hAnsi="Times New Roman" w:eastAsia="仿宋_GB2312" w:cs="仿宋_GB2312"/>
          <w:kern w:val="2"/>
          <w:sz w:val="32"/>
          <w:szCs w:val="32"/>
          <w:lang w:val="en-US" w:eastAsia="zh-CN" w:bidi="ar"/>
        </w:rPr>
        <w:t>）”的外观设计专利权保护范围的产品，并销毁库存侵权产品；二、英某公司于判决生效之日起十日内赔偿元某公司经济损失</w:t>
      </w:r>
      <w:r>
        <w:rPr>
          <w:rFonts w:hint="default" w:ascii="Times New Roman" w:hAnsi="Times New Roman" w:eastAsia="仿宋_GB2312" w:cs="Times New Roman"/>
          <w:kern w:val="2"/>
          <w:sz w:val="32"/>
          <w:szCs w:val="32"/>
          <w:lang w:val="en-US" w:eastAsia="zh-CN" w:bidi="ar"/>
        </w:rPr>
        <w:t>115000</w:t>
      </w:r>
      <w:r>
        <w:rPr>
          <w:rFonts w:hint="eastAsia" w:ascii="仿宋_GB2312" w:hAnsi="Times New Roman" w:eastAsia="仿宋_GB2312" w:cs="仿宋_GB2312"/>
          <w:kern w:val="2"/>
          <w:sz w:val="32"/>
          <w:szCs w:val="32"/>
          <w:lang w:val="en-US" w:eastAsia="zh-CN" w:bidi="ar"/>
        </w:rPr>
        <w:t>元，为制止侵权所支付的合理费用</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元，共计</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万元；三、驳回元某公司的其他诉讼请求。如果未按判决指定的期间履行给付金钱义务，应当依照《中华人民共和国民事诉讼法》第二百六十四条之规定，加倍支付迟延履行期间的债务利息。一审案件受理费</w:t>
      </w:r>
      <w:r>
        <w:rPr>
          <w:rFonts w:hint="default" w:ascii="Times New Roman" w:hAnsi="Times New Roman" w:eastAsia="仿宋_GB2312" w:cs="Times New Roman"/>
          <w:kern w:val="2"/>
          <w:sz w:val="32"/>
          <w:szCs w:val="32"/>
          <w:lang w:val="en-US" w:eastAsia="zh-CN" w:bidi="ar"/>
        </w:rPr>
        <w:t>8800</w:t>
      </w:r>
      <w:r>
        <w:rPr>
          <w:rFonts w:hint="eastAsia" w:ascii="仿宋_GB2312" w:hAnsi="Times New Roman" w:eastAsia="仿宋_GB2312" w:cs="仿宋_GB2312"/>
          <w:kern w:val="2"/>
          <w:sz w:val="32"/>
          <w:szCs w:val="32"/>
          <w:lang w:val="en-US" w:eastAsia="zh-CN" w:bidi="ar"/>
        </w:rPr>
        <w:t>元，由元某公司负担</w:t>
      </w:r>
      <w:r>
        <w:rPr>
          <w:rFonts w:hint="default" w:ascii="Times New Roman" w:hAnsi="Times New Roman" w:eastAsia="仿宋_GB2312" w:cs="Times New Roman"/>
          <w:kern w:val="2"/>
          <w:sz w:val="32"/>
          <w:szCs w:val="32"/>
          <w:lang w:val="en-US" w:eastAsia="zh-CN" w:bidi="ar"/>
        </w:rPr>
        <w:t>3344</w:t>
      </w:r>
      <w:r>
        <w:rPr>
          <w:rFonts w:hint="eastAsia" w:ascii="仿宋_GB2312" w:hAnsi="Times New Roman" w:eastAsia="仿宋_GB2312" w:cs="仿宋_GB2312"/>
          <w:kern w:val="2"/>
          <w:sz w:val="32"/>
          <w:szCs w:val="32"/>
          <w:lang w:val="en-US" w:eastAsia="zh-CN" w:bidi="ar"/>
        </w:rPr>
        <w:t>元，英某公司负担</w:t>
      </w:r>
      <w:r>
        <w:rPr>
          <w:rFonts w:hint="default" w:ascii="Times New Roman" w:hAnsi="Times New Roman" w:eastAsia="仿宋_GB2312" w:cs="Times New Roman"/>
          <w:kern w:val="2"/>
          <w:sz w:val="32"/>
          <w:szCs w:val="32"/>
          <w:lang w:val="en-US" w:eastAsia="zh-CN" w:bidi="ar"/>
        </w:rPr>
        <w:t>5456</w:t>
      </w:r>
      <w:r>
        <w:rPr>
          <w:rFonts w:hint="eastAsia" w:ascii="仿宋_GB2312" w:hAnsi="Times New Roman" w:eastAsia="仿宋_GB2312" w:cs="仿宋_GB2312"/>
          <w:kern w:val="2"/>
          <w:sz w:val="32"/>
          <w:szCs w:val="32"/>
          <w:lang w:val="en-US" w:eastAsia="zh-CN" w:bidi="ar"/>
        </w:rPr>
        <w:t>元。</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二审期间，双方当事人均未提交新证据。</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本院对一审法院查明的事实予以确认。</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本院认为，根据英某公司的上诉请求和理由以及元某公司的答辩，二审的争议焦点在于：被诉侵权设计是否落入涉案专利权保护范围。</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案中，被诉侵权产品与涉案专利产品均为收纳架，可以进行比对。一审法院已对被诉侵权设计与授权外观设计在客观上存在的主要相同点和不同点进行了比对分析，本院经审查予以确认，不再赘述。总体而言，被诉侵权产品“浅咖色奶油屋收纳（</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）”及升级后的“奶油屋收纳柜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）”与授权外观设计的整体结构、比例和收纳盒组合方式相同，均由带屋顶的</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列</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层主楼与相对较矮的</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列</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层副楼组成。两者除了一审判决述及的在屋顶形态设计、右侧台面有无加高护挡、收纳盒边缘有无拉手、两侧面板有无镂空条方面的区别点外，还存在后视图有无结构背板的区别。</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从涉案专利权评价报告以及英某公司提交的相关在先设计证据来看，模仿房屋或城堡的带有屋顶的收纳架在涉案专利申请日前已有出现，尤其是英某公司在一审中作为现有设计抗辩证据的用户“</w:t>
      </w:r>
      <w:r>
        <w:rPr>
          <w:rFonts w:hint="default" w:ascii="Times New Roman" w:hAnsi="Times New Roman" w:eastAsia="仿宋_GB2312" w:cs="Times New Roman"/>
          <w:kern w:val="2"/>
          <w:sz w:val="32"/>
          <w:szCs w:val="32"/>
          <w:lang w:val="en-US" w:eastAsia="zh-CN" w:bidi="ar"/>
        </w:rPr>
        <w:t>dewinbaby</w:t>
      </w:r>
      <w:r>
        <w:rPr>
          <w:rFonts w:hint="eastAsia" w:ascii="仿宋_GB2312" w:hAnsi="Times New Roman" w:eastAsia="仿宋_GB2312" w:cs="仿宋_GB2312"/>
          <w:kern w:val="2"/>
          <w:sz w:val="32"/>
          <w:szCs w:val="32"/>
          <w:lang w:val="en-US" w:eastAsia="zh-CN" w:bidi="ar"/>
        </w:rPr>
        <w:t>德蕴宝贝”发布的图片（见附图在先设计</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），所显示的收纳架的基本结构也是由带屋顶的</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列</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层主楼与相对较矮的</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列</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层副楼组成；此外，涉案专利中收纳盒与搁板构成基本置物单元的设计，以及收纳盒上层小、下层大的位置关系，在在先设计中也较为常见。因此，收纳架的基本结构和基本置物单元设计，在侵权比对时的考量权重较小，应当重点关注的是各组成部件的具体设计。被诉侵权设计与授权外观设计虽然具有相似的基本结构和基本置物单元设计，但在各组成部分的具体设计上存在多处区别，其中最具有设计感的屋顶部分，两者不管在组成结构、线条形状，还是在设计风格方面，都存在显著差异；右侧台面有无加高护挡、收纳盒边缘有无拉手，系产品正常使用时容易被直接观察到的部位，对整体视觉效果具有一定影响；收纳架有无结构背板的区别，虽非正常使用时容易被观察到的部位，但在整体中的占比较大，使得被诉侵权设计的后视图与授权外观设计产生明显区别。上述主要区别点与两侧面板有无镂空条等其他区别点相互叠加，导致被诉侵权设计与授权外观设计的整体视觉效果产生实质性差异。综上，本院认为，根据外观设计专利“整体观察、综合判断”的侵权比对原则，被诉侵权设计与授权外观设计不构成近似设计，未落入涉案专利权的保护范围。</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此外，相比前述两款被诉侵权产品“浅咖色奶油屋收纳（</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）”及升级后的“奶油屋收纳柜</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茉莉白（</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）”，其他被诉侵权产品与涉案专利之间的区别更大，故涉案十六款被诉侵权产品的设计与授权外观设计之间均不构成近似，被诉侵权设计未落入涉案专利权的保护范围。一审判决对此认定不当，应予纠正。</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英某公司的上诉理由成立，对其上诉请求予以支持。一审判决认定事实清楚，但适用法律不当，应予改判。依照《中华人民共和国专利法》第六十四条第二款，《最高人民法院关于审理侵犯专利权纠纷案件应用法律若干问题的解释》第十条、第十一条，《</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"https://law.wkinfo.com.cn/document/show?collection=legislation&amp;aid=MTAxMDAxMjQyNjg=&amp;language=中文" </w:instrText>
      </w:r>
      <w:r>
        <w:rPr>
          <w:rFonts w:hint="default" w:ascii="Times New Roman" w:hAnsi="Times New Roman" w:eastAsia="仿宋_GB2312" w:cs="Times New Roman"/>
          <w:kern w:val="2"/>
          <w:sz w:val="28"/>
          <w:szCs w:val="28"/>
          <w:lang w:val="en-US" w:eastAsia="zh-CN" w:bidi="ar"/>
        </w:rPr>
        <w:fldChar w:fldCharType="separate"/>
      </w:r>
      <w:r>
        <w:rPr>
          <w:rStyle w:val="16"/>
          <w:rFonts w:hint="eastAsia" w:ascii="仿宋_GB2312" w:hAnsi="Times New Roman" w:eastAsia="仿宋_GB2312" w:cs="仿宋_GB2312"/>
          <w:kern w:val="2"/>
          <w:sz w:val="32"/>
          <w:szCs w:val="32"/>
        </w:rPr>
        <w:t>中华人民共和国民事诉讼法</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28"/>
          <w:szCs w:val="28"/>
          <w:lang w:val="en-US" w:eastAsia="zh-CN" w:bidi="ar"/>
        </w:rPr>
        <w:fldChar w:fldCharType="begin"/>
      </w:r>
      <w:r>
        <w:rPr>
          <w:rFonts w:hint="default" w:ascii="Times New Roman" w:hAnsi="Times New Roman" w:eastAsia="仿宋_GB2312" w:cs="Times New Roman"/>
          <w:kern w:val="2"/>
          <w:sz w:val="28"/>
          <w:szCs w:val="28"/>
          <w:lang w:val="en-US" w:eastAsia="zh-CN" w:bidi="ar"/>
        </w:rPr>
        <w:instrText xml:space="preserve"> HYPERLINK "" \l "No629_B2Z14T170" </w:instrText>
      </w:r>
      <w:r>
        <w:rPr>
          <w:rFonts w:hint="default" w:ascii="Times New Roman" w:hAnsi="Times New Roman" w:eastAsia="仿宋_GB2312" w:cs="Times New Roman"/>
          <w:kern w:val="2"/>
          <w:sz w:val="28"/>
          <w:szCs w:val="28"/>
          <w:lang w:val="en-US" w:eastAsia="zh-CN" w:bidi="ar"/>
        </w:rPr>
        <w:fldChar w:fldCharType="separate"/>
      </w:r>
      <w:r>
        <w:rPr>
          <w:rStyle w:val="16"/>
          <w:rFonts w:hint="eastAsia" w:ascii="仿宋_GB2312" w:hAnsi="Times New Roman" w:eastAsia="仿宋_GB2312" w:cs="仿宋_GB2312"/>
          <w:kern w:val="2"/>
          <w:sz w:val="32"/>
          <w:szCs w:val="32"/>
        </w:rPr>
        <w:t>第一百七十七条第一款</w:t>
      </w:r>
      <w:bookmarkStart w:id="1" w:name="_GoBack"/>
      <w:bookmarkEnd w:id="1"/>
      <w:r>
        <w:rPr>
          <w:rStyle w:val="16"/>
          <w:rFonts w:hint="eastAsia" w:ascii="仿宋_GB2312" w:hAnsi="Times New Roman" w:eastAsia="仿宋_GB2312" w:cs="仿宋_GB2312"/>
          <w:kern w:val="2"/>
          <w:sz w:val="32"/>
          <w:szCs w:val="32"/>
        </w:rPr>
        <w:t>第二项</w:t>
      </w:r>
      <w:r>
        <w:rPr>
          <w:rFonts w:hint="default" w:ascii="Times New Roman" w:hAnsi="Times New Roman" w:eastAsia="仿宋_GB2312" w:cs="Times New Roman"/>
          <w:kern w:val="2"/>
          <w:sz w:val="28"/>
          <w:szCs w:val="28"/>
          <w:lang w:val="en-US" w:eastAsia="zh-CN" w:bidi="ar"/>
        </w:rPr>
        <w:fldChar w:fldCharType="end"/>
      </w:r>
      <w:r>
        <w:rPr>
          <w:rFonts w:hint="eastAsia" w:ascii="仿宋_GB2312" w:hAnsi="Times New Roman" w:eastAsia="仿宋_GB2312" w:cs="仿宋_GB2312"/>
          <w:kern w:val="2"/>
          <w:sz w:val="32"/>
          <w:szCs w:val="32"/>
          <w:lang w:val="en-US" w:eastAsia="zh-CN" w:bidi="ar"/>
        </w:rPr>
        <w:t>之规定，判决如下：</w:t>
      </w:r>
    </w:p>
    <w:p>
      <w:pPr>
        <w:pStyle w:val="10"/>
        <w:keepNext w:val="0"/>
        <w:keepLines w:val="0"/>
        <w:widowControl w:val="0"/>
        <w:numPr>
          <w:ilvl w:val="0"/>
          <w:numId w:val="1"/>
        </w:numPr>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撤销浙江省杭州市中级人民法院（</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829</w:t>
      </w:r>
      <w:r>
        <w:rPr>
          <w:rFonts w:hint="eastAsia" w:ascii="仿宋_GB2312" w:hAnsi="Times New Roman" w:eastAsia="仿宋_GB2312" w:cs="仿宋_GB2312"/>
          <w:kern w:val="2"/>
          <w:sz w:val="32"/>
          <w:szCs w:val="32"/>
          <w:lang w:val="en-US" w:eastAsia="zh-CN" w:bidi="ar"/>
        </w:rPr>
        <w:t>号民事判决；</w:t>
      </w:r>
    </w:p>
    <w:p>
      <w:pPr>
        <w:pStyle w:val="10"/>
        <w:keepNext w:val="0"/>
        <w:keepLines w:val="0"/>
        <w:widowControl w:val="0"/>
        <w:numPr>
          <w:ilvl w:val="0"/>
          <w:numId w:val="1"/>
        </w:numPr>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驳回浙江元某儿童用品有限公司全部诉讼请求。</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一审案件受理费</w:t>
      </w:r>
      <w:r>
        <w:rPr>
          <w:rFonts w:hint="default" w:ascii="Times New Roman" w:hAnsi="Times New Roman" w:eastAsia="仿宋_GB2312" w:cs="Times New Roman"/>
          <w:kern w:val="2"/>
          <w:sz w:val="32"/>
          <w:szCs w:val="32"/>
          <w:lang w:val="en-US" w:eastAsia="zh-CN" w:bidi="ar"/>
        </w:rPr>
        <w:t>8800</w:t>
      </w:r>
      <w:r>
        <w:rPr>
          <w:rFonts w:hint="eastAsia" w:ascii="仿宋_GB2312" w:hAnsi="Times New Roman" w:eastAsia="仿宋_GB2312" w:cs="仿宋_GB2312"/>
          <w:kern w:val="2"/>
          <w:sz w:val="32"/>
          <w:szCs w:val="32"/>
          <w:lang w:val="en-US" w:eastAsia="zh-CN" w:bidi="ar"/>
        </w:rPr>
        <w:t>元，二审案件受理费</w:t>
      </w:r>
      <w:r>
        <w:rPr>
          <w:rFonts w:hint="default" w:ascii="Times New Roman" w:hAnsi="Times New Roman" w:eastAsia="仿宋_GB2312" w:cs="Times New Roman"/>
          <w:kern w:val="2"/>
          <w:sz w:val="32"/>
          <w:szCs w:val="32"/>
          <w:lang w:val="en-US" w:eastAsia="zh-CN" w:bidi="ar"/>
        </w:rPr>
        <w:t>2700</w:t>
      </w:r>
      <w:r>
        <w:rPr>
          <w:rFonts w:hint="eastAsia" w:ascii="仿宋_GB2312" w:hAnsi="Times New Roman" w:eastAsia="仿宋_GB2312" w:cs="仿宋_GB2312"/>
          <w:kern w:val="2"/>
          <w:sz w:val="32"/>
          <w:szCs w:val="32"/>
          <w:lang w:val="en-US" w:eastAsia="zh-CN" w:bidi="ar"/>
        </w:rPr>
        <w:t>元，均由浙江元某儿童用品有限公司负担。</w:t>
      </w:r>
    </w:p>
    <w:p>
      <w:pPr>
        <w:pStyle w:val="10"/>
        <w:keepNext w:val="0"/>
        <w:keepLines w:val="0"/>
        <w:widowControl w:val="0"/>
        <w:suppressLineNumbers w:val="0"/>
        <w:autoSpaceDE w:val="0"/>
        <w:autoSpaceDN/>
        <w:spacing w:before="0" w:beforeAutospacing="1" w:after="0" w:afterAutospacing="0" w:line="592" w:lineRule="exact"/>
        <w:ind w:left="0" w:right="0" w:firstLine="620" w:firstLineChars="200"/>
        <w:jc w:val="both"/>
        <w:rPr>
          <w:rFonts w:hint="eastAsia"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pPr>
        <w:pStyle w:val="10"/>
        <w:keepNext w:val="0"/>
        <w:keepLines w:val="0"/>
        <w:widowControl w:val="0"/>
        <w:suppressLineNumbers w:val="0"/>
        <w:autoSpaceDE w:val="0"/>
        <w:autoSpaceDN/>
        <w:spacing w:before="0" w:beforeAutospacing="1" w:after="0" w:afterAutospacing="0" w:line="572" w:lineRule="exact"/>
        <w:ind w:left="0" w:right="0" w:firstLine="620" w:firstLineChars="200"/>
        <w:jc w:val="both"/>
        <w:rPr>
          <w:rFonts w:hint="eastAsia" w:ascii="Times New Roman" w:hAnsi="Times New Roman" w:eastAsia="仿宋_GB2312" w:cs="Times New Roman"/>
          <w:kern w:val="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92" w:lineRule="exact"/>
        <w:ind w:firstLine="620" w:firstLineChars="200"/>
        <w:textAlignment w:val="auto"/>
        <w:rPr>
          <w:rFonts w:hint="eastAsia" w:ascii="Times New Roman" w:hAnsi="Times New Roman"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after="0" w:line="572" w:lineRule="exact"/>
        <w:ind w:firstLine="620" w:firstLineChars="200"/>
        <w:textAlignment w:val="auto"/>
        <w:rPr>
          <w:rFonts w:hint="eastAsia" w:ascii="Times New Roman" w:hAnsi="Times New Roman"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after="0" w:line="592" w:lineRule="exact"/>
        <w:ind w:firstLine="620" w:firstLineChars="200"/>
        <w:textAlignment w:val="auto"/>
        <w:rPr>
          <w:rFonts w:hint="eastAsia" w:ascii="Times New Roman" w:hAnsi="Times New Roman" w:cs="Times New Roman"/>
          <w:sz w:val="32"/>
          <w:szCs w:val="32"/>
        </w:rPr>
      </w:pPr>
    </w:p>
    <w:p>
      <w:pPr>
        <w:pStyle w:val="2"/>
        <w:spacing w:after="0" w:line="592" w:lineRule="exact"/>
        <w:rPr>
          <w:sz w:val="32"/>
          <w:szCs w:val="21"/>
        </w:rPr>
      </w:pPr>
    </w:p>
    <w:p>
      <w:pPr>
        <w:tabs>
          <w:tab w:val="left" w:pos="4304"/>
        </w:tabs>
        <w:spacing w:line="592" w:lineRule="exact"/>
        <w:ind w:firstLine="4349" w:firstLineChars="1403"/>
        <w:rPr>
          <w:rFonts w:hint="eastAsia" w:cs="仿宋_GB2312"/>
          <w:sz w:val="32"/>
          <w:szCs w:val="32"/>
        </w:rPr>
      </w:pPr>
      <w:r>
        <w:rPr>
          <w:rFonts w:hint="eastAsia" w:cs="仿宋_GB2312"/>
          <w:sz w:val="32"/>
          <w:szCs w:val="32"/>
        </w:rPr>
        <w:t>审</w:t>
      </w:r>
      <w:r>
        <w:rPr>
          <w:rFonts w:hint="eastAsia" w:cs="仿宋_GB2312"/>
          <w:sz w:val="32"/>
          <w:szCs w:val="32"/>
          <w:lang w:val="en-US" w:eastAsia="zh-CN"/>
        </w:rPr>
        <w:t xml:space="preserve">  </w:t>
      </w:r>
      <w:r>
        <w:rPr>
          <w:rFonts w:hint="eastAsia" w:cs="仿宋_GB2312"/>
          <w:sz w:val="32"/>
          <w:szCs w:val="32"/>
        </w:rPr>
        <w:t>判</w:t>
      </w:r>
      <w:r>
        <w:rPr>
          <w:rFonts w:hint="eastAsia" w:cs="仿宋_GB2312"/>
          <w:sz w:val="32"/>
          <w:szCs w:val="32"/>
          <w:lang w:val="en-US" w:eastAsia="zh-CN"/>
        </w:rPr>
        <w:t xml:space="preserve">  </w:t>
      </w:r>
      <w:r>
        <w:rPr>
          <w:rFonts w:hint="eastAsia" w:cs="仿宋_GB2312"/>
          <w:sz w:val="32"/>
          <w:szCs w:val="32"/>
        </w:rPr>
        <w:t>长</w:t>
      </w:r>
      <w:r>
        <w:rPr>
          <w:rFonts w:hint="eastAsia" w:cs="仿宋_GB2312"/>
          <w:sz w:val="32"/>
          <w:szCs w:val="32"/>
          <w:lang w:val="en-US" w:eastAsia="zh-CN"/>
        </w:rPr>
        <w:t xml:space="preserve">    </w:t>
      </w:r>
      <w:r>
        <w:rPr>
          <w:rFonts w:hint="eastAsia" w:cs="仿宋_GB2312"/>
          <w:sz w:val="32"/>
          <w:szCs w:val="32"/>
        </w:rPr>
        <w:t>何      琼</w:t>
      </w:r>
    </w:p>
    <w:p>
      <w:pPr>
        <w:tabs>
          <w:tab w:val="left" w:pos="4304"/>
        </w:tabs>
        <w:spacing w:line="592" w:lineRule="exact"/>
        <w:ind w:firstLine="4349" w:firstLineChars="1403"/>
        <w:rPr>
          <w:rFonts w:hint="eastAsia" w:cs="仿宋_GB2312"/>
          <w:sz w:val="32"/>
          <w:szCs w:val="32"/>
        </w:rPr>
      </w:pPr>
      <w:r>
        <w:rPr>
          <w:rFonts w:hint="eastAsia" w:cs="仿宋_GB2312"/>
          <w:sz w:val="32"/>
          <w:szCs w:val="32"/>
        </w:rPr>
        <w:t>审  判  员</w:t>
      </w:r>
      <w:r>
        <w:rPr>
          <w:rFonts w:hint="eastAsia" w:cs="仿宋_GB2312"/>
          <w:sz w:val="32"/>
          <w:szCs w:val="32"/>
          <w:lang w:val="en-US" w:eastAsia="zh-CN"/>
        </w:rPr>
        <w:t xml:space="preserve">    </w:t>
      </w:r>
      <w:r>
        <w:rPr>
          <w:rFonts w:hint="eastAsia" w:cs="仿宋_GB2312"/>
          <w:sz w:val="32"/>
          <w:szCs w:val="32"/>
        </w:rPr>
        <w:t>刘  建  中</w:t>
      </w:r>
    </w:p>
    <w:p>
      <w:pPr>
        <w:tabs>
          <w:tab w:val="left" w:pos="4304"/>
        </w:tabs>
        <w:spacing w:line="592" w:lineRule="exact"/>
        <w:ind w:firstLine="4349" w:firstLineChars="1403"/>
        <w:rPr>
          <w:rFonts w:hint="eastAsia" w:cs="仿宋_GB2312"/>
          <w:sz w:val="32"/>
          <w:szCs w:val="32"/>
        </w:rPr>
      </w:pPr>
      <w:r>
        <w:rPr>
          <w:rFonts w:hint="eastAsia" w:cs="仿宋_GB2312"/>
          <w:sz w:val="32"/>
          <w:szCs w:val="32"/>
        </w:rPr>
        <w:t>审  判  员</w:t>
      </w:r>
      <w:r>
        <w:rPr>
          <w:rFonts w:hint="eastAsia" w:cs="仿宋_GB2312"/>
          <w:sz w:val="32"/>
          <w:szCs w:val="32"/>
          <w:lang w:val="en-US" w:eastAsia="zh-CN"/>
        </w:rPr>
        <w:t xml:space="preserve">    </w:t>
      </w:r>
      <w:r>
        <w:rPr>
          <w:rFonts w:hint="eastAsia" w:cs="仿宋_GB2312"/>
          <w:sz w:val="32"/>
          <w:szCs w:val="32"/>
        </w:rPr>
        <w:t>路</w:t>
      </w:r>
      <w:r>
        <w:rPr>
          <w:rFonts w:hint="eastAsia" w:cs="仿宋_GB2312"/>
          <w:sz w:val="32"/>
          <w:szCs w:val="32"/>
          <w:lang w:val="en-US" w:eastAsia="zh-CN"/>
        </w:rPr>
        <w:t xml:space="preserve">      </w:t>
      </w:r>
      <w:r>
        <w:rPr>
          <w:rFonts w:hint="eastAsia" w:cs="仿宋_GB2312"/>
          <w:sz w:val="32"/>
          <w:szCs w:val="32"/>
        </w:rPr>
        <w:t>遥</w:t>
      </w:r>
    </w:p>
    <w:p>
      <w:pPr>
        <w:tabs>
          <w:tab w:val="left" w:pos="4304"/>
        </w:tabs>
        <w:spacing w:line="592" w:lineRule="exact"/>
        <w:ind w:firstLine="4349" w:firstLineChars="1403"/>
        <w:rPr>
          <w:rFonts w:hint="eastAsia" w:cs="仿宋_GB2312"/>
          <w:sz w:val="32"/>
          <w:szCs w:val="32"/>
        </w:rPr>
      </w:pPr>
    </w:p>
    <w:p>
      <w:pPr>
        <w:tabs>
          <w:tab w:val="left" w:pos="5918"/>
        </w:tabs>
        <w:spacing w:line="592" w:lineRule="exact"/>
        <w:rPr>
          <w:sz w:val="32"/>
          <w:szCs w:val="32"/>
        </w:rPr>
      </w:pPr>
    </w:p>
    <w:p>
      <w:pPr>
        <w:pStyle w:val="12"/>
      </w:pPr>
    </w:p>
    <w:p>
      <w:pPr>
        <w:tabs>
          <w:tab w:val="left" w:pos="5918"/>
        </w:tabs>
        <w:spacing w:line="592" w:lineRule="exact"/>
        <w:rPr>
          <w:sz w:val="32"/>
          <w:szCs w:val="32"/>
        </w:rPr>
      </w:pPr>
    </w:p>
    <w:tbl>
      <w:tblPr>
        <w:tblStyle w:val="13"/>
        <w:tblW w:w="0" w:type="auto"/>
        <w:tblInd w:w="4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777" w:type="dxa"/>
            <w:tcBorders>
              <w:top w:val="nil"/>
              <w:left w:val="nil"/>
              <w:bottom w:val="nil"/>
              <w:right w:val="nil"/>
            </w:tcBorders>
            <w:noWrap/>
          </w:tcPr>
          <w:p>
            <w:pPr>
              <w:pStyle w:val="5"/>
              <w:spacing w:line="592" w:lineRule="exact"/>
              <w:jc w:val="distribute"/>
              <w:rPr>
                <w:sz w:val="32"/>
                <w:szCs w:val="32"/>
              </w:rPr>
            </w:pPr>
            <w:r>
              <w:rPr>
                <w:rFonts w:hint="eastAsia" w:cs="仿宋_GB2312"/>
                <w:spacing w:val="-45"/>
                <w:sz w:val="32"/>
                <w:szCs w:val="32"/>
                <w:lang w:eastAsia="zh-CN"/>
              </w:rPr>
              <w:t>二〇二五年一</w:t>
            </w:r>
            <w:r>
              <w:rPr>
                <w:rFonts w:hint="eastAsia" w:cs="仿宋_GB2312"/>
                <w:spacing w:val="-45"/>
                <w:sz w:val="32"/>
                <w:szCs w:val="32"/>
              </w:rPr>
              <w:t>月</w:t>
            </w:r>
            <w:r>
              <w:rPr>
                <w:rFonts w:hint="eastAsia" w:cs="仿宋_GB2312"/>
                <w:spacing w:val="-45"/>
                <w:sz w:val="32"/>
                <w:szCs w:val="32"/>
                <w:lang w:eastAsia="zh-CN"/>
              </w:rPr>
              <w:t>二十二</w:t>
            </w:r>
            <w:r>
              <w:rPr>
                <w:rFonts w:hint="eastAsia" w:cs="仿宋_GB2312"/>
                <w:spacing w:val="-45"/>
                <w:sz w:val="32"/>
                <w:szCs w:val="32"/>
              </w:rPr>
              <w:t>日</w:t>
            </w:r>
          </w:p>
        </w:tc>
      </w:tr>
    </w:tbl>
    <w:p>
      <w:pPr>
        <w:keepNext w:val="0"/>
        <w:keepLines w:val="0"/>
        <w:pageBreakBefore w:val="0"/>
        <w:widowControl w:val="0"/>
        <w:tabs>
          <w:tab w:val="left" w:pos="5649"/>
          <w:tab w:val="left" w:pos="5812"/>
          <w:tab w:val="left" w:pos="6456"/>
          <w:tab w:val="left" w:pos="7801"/>
          <w:tab w:val="left" w:pos="8070"/>
        </w:tabs>
        <w:kinsoku/>
        <w:wordWrap/>
        <w:overflowPunct/>
        <w:topLinePunct w:val="0"/>
        <w:autoSpaceDE/>
        <w:autoSpaceDN/>
        <w:bidi w:val="0"/>
        <w:spacing w:line="572" w:lineRule="exact"/>
        <w:textAlignment w:val="auto"/>
        <w:rPr>
          <w:sz w:val="32"/>
          <w:szCs w:val="32"/>
        </w:rPr>
      </w:pPr>
      <w:r>
        <w:rPr>
          <w:sz w:val="32"/>
          <w:szCs w:val="32"/>
        </w:rPr>
        <w:t xml:space="preserve">             </w:t>
      </w:r>
    </w:p>
    <w:p>
      <w:pPr>
        <w:tabs>
          <w:tab w:val="left" w:pos="5649"/>
          <w:tab w:val="left" w:pos="5918"/>
          <w:tab w:val="left" w:pos="6663"/>
          <w:tab w:val="left" w:pos="7801"/>
          <w:tab w:val="left" w:pos="8070"/>
        </w:tabs>
        <w:spacing w:line="592" w:lineRule="exact"/>
        <w:rPr>
          <w:sz w:val="32"/>
          <w:szCs w:val="32"/>
        </w:rPr>
      </w:pPr>
      <w:r>
        <w:rPr>
          <w:sz w:val="32"/>
          <w:szCs w:val="32"/>
        </w:rPr>
        <w:t xml:space="preserve">                            书  记  员    刘  雨  潇</w:t>
      </w:r>
    </w:p>
    <w:p>
      <w:pPr>
        <w:pStyle w:val="2"/>
        <w:rPr>
          <w:sz w:val="32"/>
          <w:szCs w:val="32"/>
        </w:rPr>
      </w:pPr>
    </w:p>
    <w:p>
      <w:pPr>
        <w:pStyle w:val="2"/>
        <w:rPr>
          <w:sz w:val="32"/>
          <w:szCs w:val="32"/>
        </w:rPr>
      </w:pPr>
    </w:p>
    <w:p>
      <w:pPr>
        <w:pStyle w:val="2"/>
        <w:rPr>
          <w:rFonts w:hint="eastAsia"/>
          <w:sz w:val="32"/>
          <w:szCs w:val="32"/>
          <w:lang w:eastAsia="zh-CN"/>
        </w:rPr>
      </w:pPr>
      <w:r>
        <w:rPr>
          <w:rFonts w:hint="eastAsia"/>
          <w:sz w:val="32"/>
          <w:szCs w:val="32"/>
          <w:lang w:eastAsia="zh-CN"/>
        </w:rPr>
        <w:t>附图：</w:t>
      </w:r>
    </w:p>
    <w:p>
      <w:pPr>
        <w:pStyle w:val="2"/>
        <w:rPr>
          <w:rFonts w:hint="default" w:eastAsia="仿宋_GB2312"/>
          <w:lang w:val="en-US" w:eastAsia="zh-CN"/>
        </w:rPr>
      </w:pPr>
      <w:r>
        <w:pict>
          <v:shape id="_x0000_i1025" o:spt="75" type="#_x0000_t75" style="height:169.75pt;width:214.3pt;" filled="f" o:preferrelative="t" stroked="f" coordsize="21600,21600">
            <v:path/>
            <v:fill on="f" focussize="0,0"/>
            <v:stroke on="f"/>
            <v:imagedata r:id="rId6" cropleft="35179f" croptop="26498f" cropright="13177f" cropbottom="14856f" o:title=""/>
            <o:lock v:ext="edit" aspectratio="t"/>
            <w10:wrap type="none"/>
            <w10:anchorlock/>
          </v:shape>
        </w:pict>
      </w:r>
      <w:r>
        <w:rPr>
          <w:rFonts w:hint="eastAsia"/>
          <w:lang w:val="en-US" w:eastAsia="zh-CN"/>
        </w:rPr>
        <w:t xml:space="preserve">  </w:t>
      </w:r>
      <w:r>
        <w:pict>
          <v:shape id="_x0000_i1026" o:spt="75" type="#_x0000_t75" style="height:169.85pt;width:202.6pt;" filled="f" o:preferrelative="t" stroked="f" coordsize="21600,21600">
            <v:path/>
            <v:fill on="f" focussize="0,0"/>
            <v:stroke on="f"/>
            <v:imagedata r:id="rId7" cropleft="24048f" croptop="31701f" cropright="26787f" cropbottom="11929f" o:title=""/>
            <o:lock v:ext="edit" aspectratio="t"/>
            <w10:wrap type="none"/>
            <w10:anchorlock/>
          </v:shape>
        </w:pict>
      </w:r>
    </w:p>
    <w:p>
      <w:pPr>
        <w:pStyle w:val="2"/>
        <w:ind w:firstLine="1350" w:firstLineChars="500"/>
        <w:rPr>
          <w:rFonts w:hint="eastAsia"/>
          <w:lang w:eastAsia="zh-CN"/>
        </w:rPr>
      </w:pPr>
      <w:r>
        <w:rPr>
          <w:rFonts w:hint="eastAsia"/>
          <w:lang w:eastAsia="zh-CN"/>
        </w:rPr>
        <w:t>涉案专利立体图</w:t>
      </w:r>
      <w:r>
        <w:rPr>
          <w:rFonts w:hint="eastAsia"/>
          <w:lang w:val="en-US" w:eastAsia="zh-CN"/>
        </w:rPr>
        <w:t xml:space="preserve">                </w:t>
      </w:r>
      <w:r>
        <w:rPr>
          <w:rFonts w:hint="eastAsia"/>
          <w:lang w:eastAsia="zh-CN"/>
        </w:rPr>
        <w:t>被诉侵权产品立体图</w:t>
      </w:r>
    </w:p>
    <w:p>
      <w:pPr>
        <w:pStyle w:val="2"/>
        <w:jc w:val="left"/>
      </w:pPr>
      <w:r>
        <w:pict>
          <v:shape id="_x0000_i1027" o:spt="75" type="#_x0000_t75" style="height:182.6pt;width:210.35pt;" filled="f" o:preferrelative="t" stroked="f" coordsize="21600,21600">
            <v:path/>
            <v:fill on="f" focussize="0,0"/>
            <v:stroke on="f"/>
            <v:imagedata r:id="rId8" cropleft="31008f" croptop="22595f" cropright="19872f" cropbottom="20319f" o:title=""/>
            <o:lock v:ext="edit" aspectratio="t"/>
            <w10:wrap type="none"/>
            <w10:anchorlock/>
          </v:shape>
        </w:pict>
      </w:r>
      <w:r>
        <w:rPr>
          <w:rFonts w:hint="eastAsia"/>
          <w:lang w:val="en-US" w:eastAsia="zh-CN"/>
        </w:rPr>
        <w:t xml:space="preserve">   </w:t>
      </w:r>
      <w:r>
        <w:pict>
          <v:shape id="_x0000_i1028" o:spt="75" type="#_x0000_t75" style="height:180.6pt;width:199.55pt;" filled="f" o:preferrelative="t" stroked="f" coordsize="21600,21600">
            <v:path/>
            <v:fill on="f" focussize="0,0"/>
            <v:stroke on="f"/>
            <v:imagedata r:id="rId9" cropleft="37630f" croptop="30101f" cropright="12643f" cropbottom="10875f" o:title=""/>
            <o:lock v:ext="edit" aspectratio="t"/>
            <w10:wrap type="none"/>
            <w10:anchorlock/>
          </v:shape>
        </w:pict>
      </w:r>
    </w:p>
    <w:p>
      <w:pPr>
        <w:pStyle w:val="2"/>
        <w:ind w:firstLine="1620" w:firstLineChars="600"/>
        <w:jc w:val="left"/>
        <w:rPr>
          <w:rFonts w:hint="default" w:eastAsia="仿宋_GB2312"/>
          <w:lang w:val="en-US" w:eastAsia="zh-CN"/>
        </w:rPr>
      </w:pPr>
      <w:r>
        <w:rPr>
          <w:rFonts w:hint="eastAsia"/>
          <w:lang w:eastAsia="zh-CN"/>
        </w:rPr>
        <w:t>在先设计</w:t>
      </w:r>
      <w:r>
        <w:rPr>
          <w:rFonts w:hint="eastAsia"/>
          <w:lang w:val="en-US" w:eastAsia="zh-CN"/>
        </w:rPr>
        <w:t>1                       在先设计2</w:t>
      </w:r>
    </w:p>
    <w:sectPr>
      <w:footerReference r:id="rId3" w:type="default"/>
      <w:footerReference r:id="rId4" w:type="even"/>
      <w:pgSz w:w="11907" w:h="16840"/>
      <w:pgMar w:top="1928" w:right="1304" w:bottom="1497" w:left="1644" w:header="851" w:footer="1531" w:gutter="0"/>
      <w:pgNumType w:start="1"/>
      <w:cols w:space="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397" w:right="397"/>
      <w:rPr>
        <w:rStyle w:val="15"/>
        <w:rFonts w:ascii="仿宋_GB2312"/>
        <w:sz w:val="30"/>
      </w:rPr>
    </w:pPr>
    <w:r>
      <w:rPr>
        <w:rStyle w:val="15"/>
        <w:rFonts w:hint="eastAsia" w:ascii="仿宋_GB2312"/>
        <w:sz w:val="30"/>
      </w:rPr>
      <w:t>·</w:t>
    </w:r>
    <w:r>
      <w:rPr>
        <w:rFonts w:ascii="仿宋_GB2312"/>
        <w:sz w:val="30"/>
      </w:rPr>
      <w:fldChar w:fldCharType="begin"/>
    </w:r>
    <w:r>
      <w:rPr>
        <w:rStyle w:val="15"/>
        <w:rFonts w:ascii="仿宋_GB2312"/>
        <w:sz w:val="30"/>
      </w:rPr>
      <w:instrText xml:space="preserve"> PAGE </w:instrText>
    </w:r>
    <w:r>
      <w:rPr>
        <w:rFonts w:ascii="仿宋_GB2312"/>
        <w:sz w:val="30"/>
      </w:rPr>
      <w:fldChar w:fldCharType="separate"/>
    </w:r>
    <w:r>
      <w:rPr>
        <w:rStyle w:val="15"/>
        <w:rFonts w:ascii="仿宋_GB2312"/>
        <w:sz w:val="30"/>
      </w:rPr>
      <w:t>10</w:t>
    </w:r>
    <w:r>
      <w:rPr>
        <w:rFonts w:ascii="仿宋_GB2312"/>
        <w:sz w:val="30"/>
      </w:rPr>
      <w:fldChar w:fldCharType="end"/>
    </w:r>
    <w:r>
      <w:rPr>
        <w:rStyle w:val="15"/>
        <w:rFonts w:hint="eastAsia" w:ascii="仿宋_GB2312"/>
        <w:sz w:val="30"/>
      </w:rPr>
      <w:t>·</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5"/>
      </w:rPr>
    </w:pPr>
    <w:r>
      <w:fldChar w:fldCharType="begin"/>
    </w:r>
    <w:r>
      <w:rPr>
        <w:rStyle w:val="15"/>
      </w:rPr>
      <w:instrText xml:space="preserve">PAGE  </w:instrText>
    </w:r>
    <w:r>
      <w:fldChar w:fldCharType="separate"/>
    </w:r>
    <w:r>
      <w:rPr>
        <w:rStyle w:val="15"/>
      </w:rPr>
      <w:t>1</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312D"/>
    <w:multiLevelType w:val="multilevel"/>
    <w:tmpl w:val="FBFF312D"/>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false"/>
  <w:bordersDoNotSurroundFooter w:val="false"/>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743A"/>
    <w:rsid w:val="001B4572"/>
    <w:rsid w:val="0039778C"/>
    <w:rsid w:val="004074D0"/>
    <w:rsid w:val="0066743A"/>
    <w:rsid w:val="008858FA"/>
    <w:rsid w:val="00A006D3"/>
    <w:rsid w:val="03F60A33"/>
    <w:rsid w:val="076D33A5"/>
    <w:rsid w:val="07EF5F88"/>
    <w:rsid w:val="09FF1A36"/>
    <w:rsid w:val="0A6FD8BA"/>
    <w:rsid w:val="0BFFB1A3"/>
    <w:rsid w:val="0DD524FE"/>
    <w:rsid w:val="0DFF11F9"/>
    <w:rsid w:val="0FBF41E8"/>
    <w:rsid w:val="0FCF017B"/>
    <w:rsid w:val="0FD267CA"/>
    <w:rsid w:val="0FED6434"/>
    <w:rsid w:val="0FF5B6E7"/>
    <w:rsid w:val="0FF7DD7E"/>
    <w:rsid w:val="0FFEED30"/>
    <w:rsid w:val="12F838FE"/>
    <w:rsid w:val="13BEA50F"/>
    <w:rsid w:val="13F57B3A"/>
    <w:rsid w:val="13FED810"/>
    <w:rsid w:val="14DFBB1B"/>
    <w:rsid w:val="15FE1554"/>
    <w:rsid w:val="16F30A9B"/>
    <w:rsid w:val="16FF2F8B"/>
    <w:rsid w:val="19C7BF4F"/>
    <w:rsid w:val="19DF5CB0"/>
    <w:rsid w:val="1BFB6846"/>
    <w:rsid w:val="1CEA6ED2"/>
    <w:rsid w:val="1DB27ABF"/>
    <w:rsid w:val="1DDF6280"/>
    <w:rsid w:val="1E3F2CB7"/>
    <w:rsid w:val="1ED71855"/>
    <w:rsid w:val="1EDFFC8E"/>
    <w:rsid w:val="1F3DF183"/>
    <w:rsid w:val="1F9E54E7"/>
    <w:rsid w:val="1FAFE733"/>
    <w:rsid w:val="1FBE64C8"/>
    <w:rsid w:val="1FECA549"/>
    <w:rsid w:val="1FEF04A4"/>
    <w:rsid w:val="1FF1F64B"/>
    <w:rsid w:val="1FF354F8"/>
    <w:rsid w:val="1FF624B7"/>
    <w:rsid w:val="1FF7A7A2"/>
    <w:rsid w:val="1FFB3310"/>
    <w:rsid w:val="1FFFBBCF"/>
    <w:rsid w:val="1FFFD89A"/>
    <w:rsid w:val="22DFD1ED"/>
    <w:rsid w:val="237639F2"/>
    <w:rsid w:val="24E78805"/>
    <w:rsid w:val="26CA5774"/>
    <w:rsid w:val="27B68510"/>
    <w:rsid w:val="296BEB5F"/>
    <w:rsid w:val="2A6F1D54"/>
    <w:rsid w:val="2A9E43C5"/>
    <w:rsid w:val="2AF74D55"/>
    <w:rsid w:val="2B7D9B54"/>
    <w:rsid w:val="2B7F4045"/>
    <w:rsid w:val="2BBF7EAA"/>
    <w:rsid w:val="2BEDAD47"/>
    <w:rsid w:val="2C7D7B9B"/>
    <w:rsid w:val="2CFF91AB"/>
    <w:rsid w:val="2D13B69E"/>
    <w:rsid w:val="2DBB6929"/>
    <w:rsid w:val="2DDF7E25"/>
    <w:rsid w:val="2DE733D7"/>
    <w:rsid w:val="2DED3709"/>
    <w:rsid w:val="2E3F2CAF"/>
    <w:rsid w:val="2E99D370"/>
    <w:rsid w:val="2EE769D9"/>
    <w:rsid w:val="2F5629DA"/>
    <w:rsid w:val="2F7269D9"/>
    <w:rsid w:val="2F7A4508"/>
    <w:rsid w:val="2F7BB435"/>
    <w:rsid w:val="2F7D15EA"/>
    <w:rsid w:val="2F9896F4"/>
    <w:rsid w:val="2F9E3E1F"/>
    <w:rsid w:val="2F9FA504"/>
    <w:rsid w:val="2FBE3FBA"/>
    <w:rsid w:val="2FD64319"/>
    <w:rsid w:val="2FE43374"/>
    <w:rsid w:val="2FF1BA5F"/>
    <w:rsid w:val="2FF45D85"/>
    <w:rsid w:val="2FF6A5F7"/>
    <w:rsid w:val="2FFB6DC8"/>
    <w:rsid w:val="2FFFDCD0"/>
    <w:rsid w:val="30F9B887"/>
    <w:rsid w:val="30FFD20A"/>
    <w:rsid w:val="329B1840"/>
    <w:rsid w:val="337F34CB"/>
    <w:rsid w:val="338D3871"/>
    <w:rsid w:val="33C6DC48"/>
    <w:rsid w:val="33EE89AB"/>
    <w:rsid w:val="33FC3204"/>
    <w:rsid w:val="33FF6EDC"/>
    <w:rsid w:val="33FFE341"/>
    <w:rsid w:val="35E775DD"/>
    <w:rsid w:val="35FE6937"/>
    <w:rsid w:val="35FF7044"/>
    <w:rsid w:val="363753E1"/>
    <w:rsid w:val="36779938"/>
    <w:rsid w:val="36DAC73C"/>
    <w:rsid w:val="36EFC279"/>
    <w:rsid w:val="36FFA1DD"/>
    <w:rsid w:val="36FFEE4B"/>
    <w:rsid w:val="370F641C"/>
    <w:rsid w:val="3717285C"/>
    <w:rsid w:val="373B4166"/>
    <w:rsid w:val="373B6EF0"/>
    <w:rsid w:val="37BFDBCE"/>
    <w:rsid w:val="37CE69CD"/>
    <w:rsid w:val="37EE2DC7"/>
    <w:rsid w:val="37F7BDAC"/>
    <w:rsid w:val="37FA302A"/>
    <w:rsid w:val="37FA4D9C"/>
    <w:rsid w:val="37FD22D8"/>
    <w:rsid w:val="37FEA64B"/>
    <w:rsid w:val="39FE41E9"/>
    <w:rsid w:val="3AB7A771"/>
    <w:rsid w:val="3AF7F727"/>
    <w:rsid w:val="3AFB0C24"/>
    <w:rsid w:val="3AFEB48A"/>
    <w:rsid w:val="3B2B20C6"/>
    <w:rsid w:val="3B3C2DEF"/>
    <w:rsid w:val="3B3FB082"/>
    <w:rsid w:val="3B49DE58"/>
    <w:rsid w:val="3B79E869"/>
    <w:rsid w:val="3B7D7131"/>
    <w:rsid w:val="3B7FF8E2"/>
    <w:rsid w:val="3BBF136F"/>
    <w:rsid w:val="3BDBF103"/>
    <w:rsid w:val="3BE78CD0"/>
    <w:rsid w:val="3BEED2B6"/>
    <w:rsid w:val="3BFB7321"/>
    <w:rsid w:val="3C7A8EC1"/>
    <w:rsid w:val="3C7DC4D7"/>
    <w:rsid w:val="3CBFA37F"/>
    <w:rsid w:val="3D5CA66F"/>
    <w:rsid w:val="3D6FA0C0"/>
    <w:rsid w:val="3D6FD484"/>
    <w:rsid w:val="3D7F7155"/>
    <w:rsid w:val="3DABE045"/>
    <w:rsid w:val="3DCD90BB"/>
    <w:rsid w:val="3DDC6E6A"/>
    <w:rsid w:val="3DEA90F9"/>
    <w:rsid w:val="3DF3E071"/>
    <w:rsid w:val="3DFB6F05"/>
    <w:rsid w:val="3DFB9007"/>
    <w:rsid w:val="3DFFCD65"/>
    <w:rsid w:val="3E5BD8AF"/>
    <w:rsid w:val="3E921202"/>
    <w:rsid w:val="3E978D0E"/>
    <w:rsid w:val="3EBD5CB6"/>
    <w:rsid w:val="3ECB68D1"/>
    <w:rsid w:val="3EDCB687"/>
    <w:rsid w:val="3EE59216"/>
    <w:rsid w:val="3EED6EF4"/>
    <w:rsid w:val="3EFA44C0"/>
    <w:rsid w:val="3EFB5EE8"/>
    <w:rsid w:val="3EFFAB92"/>
    <w:rsid w:val="3F5AFD62"/>
    <w:rsid w:val="3F6EC56E"/>
    <w:rsid w:val="3F753C4E"/>
    <w:rsid w:val="3F7B30D6"/>
    <w:rsid w:val="3F7E368B"/>
    <w:rsid w:val="3F7F8E46"/>
    <w:rsid w:val="3F9A3BD9"/>
    <w:rsid w:val="3FAF81A0"/>
    <w:rsid w:val="3FBDA622"/>
    <w:rsid w:val="3FBF5AF0"/>
    <w:rsid w:val="3FCFAA3D"/>
    <w:rsid w:val="3FDAC72C"/>
    <w:rsid w:val="3FDFB8EF"/>
    <w:rsid w:val="3FDFE96F"/>
    <w:rsid w:val="3FEB0EAE"/>
    <w:rsid w:val="3FED22D8"/>
    <w:rsid w:val="3FEFC149"/>
    <w:rsid w:val="3FF8750F"/>
    <w:rsid w:val="3FFA5030"/>
    <w:rsid w:val="3FFA5E3E"/>
    <w:rsid w:val="3FFDEF08"/>
    <w:rsid w:val="3FFED1E3"/>
    <w:rsid w:val="3FFF779B"/>
    <w:rsid w:val="3FFF93A1"/>
    <w:rsid w:val="433A4522"/>
    <w:rsid w:val="437F63D5"/>
    <w:rsid w:val="43FF0D31"/>
    <w:rsid w:val="44FBC9D8"/>
    <w:rsid w:val="457F9A9A"/>
    <w:rsid w:val="45FF09E9"/>
    <w:rsid w:val="46370CDB"/>
    <w:rsid w:val="471D5EAB"/>
    <w:rsid w:val="479F715D"/>
    <w:rsid w:val="47D7972A"/>
    <w:rsid w:val="47DFBE65"/>
    <w:rsid w:val="47FE085C"/>
    <w:rsid w:val="487DF9D8"/>
    <w:rsid w:val="4B0DD1A5"/>
    <w:rsid w:val="4BF9B56B"/>
    <w:rsid w:val="4C9FBF15"/>
    <w:rsid w:val="4DEF23E8"/>
    <w:rsid w:val="4DF72648"/>
    <w:rsid w:val="4DF7FA78"/>
    <w:rsid w:val="4E9ABE19"/>
    <w:rsid w:val="4EFF8B7E"/>
    <w:rsid w:val="4F173685"/>
    <w:rsid w:val="4F478657"/>
    <w:rsid w:val="4F4B225A"/>
    <w:rsid w:val="4F7F7B4E"/>
    <w:rsid w:val="4FAFE4F3"/>
    <w:rsid w:val="4FF5D0BD"/>
    <w:rsid w:val="4FFA62F8"/>
    <w:rsid w:val="4FFA9F3F"/>
    <w:rsid w:val="4FFB04DE"/>
    <w:rsid w:val="4FFF1E95"/>
    <w:rsid w:val="4FFF259F"/>
    <w:rsid w:val="51F3EBA5"/>
    <w:rsid w:val="51FED7AB"/>
    <w:rsid w:val="536B8585"/>
    <w:rsid w:val="53BE2B8F"/>
    <w:rsid w:val="54FFF68B"/>
    <w:rsid w:val="557CA52C"/>
    <w:rsid w:val="557FCC6B"/>
    <w:rsid w:val="55CF7F10"/>
    <w:rsid w:val="562F74DF"/>
    <w:rsid w:val="566D7595"/>
    <w:rsid w:val="56BF2978"/>
    <w:rsid w:val="56FB322C"/>
    <w:rsid w:val="573E84EE"/>
    <w:rsid w:val="5766C285"/>
    <w:rsid w:val="5772BD8E"/>
    <w:rsid w:val="577393D9"/>
    <w:rsid w:val="57739CFB"/>
    <w:rsid w:val="57779D37"/>
    <w:rsid w:val="577BD46F"/>
    <w:rsid w:val="57ACCB4C"/>
    <w:rsid w:val="57AF240E"/>
    <w:rsid w:val="57B5056D"/>
    <w:rsid w:val="57B6F9F6"/>
    <w:rsid w:val="57BF7FD9"/>
    <w:rsid w:val="57D77116"/>
    <w:rsid w:val="57EA000A"/>
    <w:rsid w:val="57F7A199"/>
    <w:rsid w:val="57FF1E64"/>
    <w:rsid w:val="58E39033"/>
    <w:rsid w:val="596FA164"/>
    <w:rsid w:val="59C7F6D1"/>
    <w:rsid w:val="59FEF96A"/>
    <w:rsid w:val="59FFA09C"/>
    <w:rsid w:val="5A7E37F3"/>
    <w:rsid w:val="5A8F1359"/>
    <w:rsid w:val="5ABEC97E"/>
    <w:rsid w:val="5AD3A3D5"/>
    <w:rsid w:val="5B379050"/>
    <w:rsid w:val="5B77D8B9"/>
    <w:rsid w:val="5BD462C2"/>
    <w:rsid w:val="5BDD5388"/>
    <w:rsid w:val="5BEFF85B"/>
    <w:rsid w:val="5BFFA299"/>
    <w:rsid w:val="5BFFE128"/>
    <w:rsid w:val="5CDF1211"/>
    <w:rsid w:val="5CE826E5"/>
    <w:rsid w:val="5CEF86EF"/>
    <w:rsid w:val="5CFB4912"/>
    <w:rsid w:val="5CFF88F8"/>
    <w:rsid w:val="5D3F583C"/>
    <w:rsid w:val="5D4B1900"/>
    <w:rsid w:val="5DCB5B57"/>
    <w:rsid w:val="5DDEAF06"/>
    <w:rsid w:val="5DE9453A"/>
    <w:rsid w:val="5DF1BA7A"/>
    <w:rsid w:val="5DFFEA8F"/>
    <w:rsid w:val="5E7DBADB"/>
    <w:rsid w:val="5EE1436C"/>
    <w:rsid w:val="5EE772ED"/>
    <w:rsid w:val="5EFA7CCD"/>
    <w:rsid w:val="5EFEA8BF"/>
    <w:rsid w:val="5EFF21C5"/>
    <w:rsid w:val="5F1D81B3"/>
    <w:rsid w:val="5F2C60EC"/>
    <w:rsid w:val="5F511173"/>
    <w:rsid w:val="5F79D377"/>
    <w:rsid w:val="5F8F90C3"/>
    <w:rsid w:val="5F9E1C07"/>
    <w:rsid w:val="5F9E90DB"/>
    <w:rsid w:val="5FABB786"/>
    <w:rsid w:val="5FB1096B"/>
    <w:rsid w:val="5FB994A4"/>
    <w:rsid w:val="5FBF4FE2"/>
    <w:rsid w:val="5FBF90FB"/>
    <w:rsid w:val="5FD54001"/>
    <w:rsid w:val="5FDE61B9"/>
    <w:rsid w:val="5FDEE588"/>
    <w:rsid w:val="5FDF1FE8"/>
    <w:rsid w:val="5FE5D646"/>
    <w:rsid w:val="5FED89F4"/>
    <w:rsid w:val="5FF52882"/>
    <w:rsid w:val="5FF5DB54"/>
    <w:rsid w:val="5FF77F2D"/>
    <w:rsid w:val="5FF78277"/>
    <w:rsid w:val="5FFB318B"/>
    <w:rsid w:val="5FFC6B78"/>
    <w:rsid w:val="5FFEA02D"/>
    <w:rsid w:val="5FFF2264"/>
    <w:rsid w:val="5FFF31B2"/>
    <w:rsid w:val="5FFFBD56"/>
    <w:rsid w:val="6195AB18"/>
    <w:rsid w:val="63BFD95A"/>
    <w:rsid w:val="63CFBBEC"/>
    <w:rsid w:val="63F7B499"/>
    <w:rsid w:val="63FCB0F0"/>
    <w:rsid w:val="63FF0CDD"/>
    <w:rsid w:val="63FFEA2B"/>
    <w:rsid w:val="6477D368"/>
    <w:rsid w:val="64CF53D7"/>
    <w:rsid w:val="64FFF62F"/>
    <w:rsid w:val="657DDB2B"/>
    <w:rsid w:val="657F48C2"/>
    <w:rsid w:val="65ED4FE2"/>
    <w:rsid w:val="66D67D94"/>
    <w:rsid w:val="66DFDC01"/>
    <w:rsid w:val="673D8472"/>
    <w:rsid w:val="673F166B"/>
    <w:rsid w:val="67652F2D"/>
    <w:rsid w:val="6774C7C8"/>
    <w:rsid w:val="67AF9DC9"/>
    <w:rsid w:val="67B71EA8"/>
    <w:rsid w:val="67DC8FE6"/>
    <w:rsid w:val="67DFD82A"/>
    <w:rsid w:val="67F1236E"/>
    <w:rsid w:val="67F7E42A"/>
    <w:rsid w:val="67FB4564"/>
    <w:rsid w:val="67FF4762"/>
    <w:rsid w:val="69C588E5"/>
    <w:rsid w:val="69D77D9C"/>
    <w:rsid w:val="69FF39AD"/>
    <w:rsid w:val="6A6F4729"/>
    <w:rsid w:val="6A7AE5DE"/>
    <w:rsid w:val="6ADD543B"/>
    <w:rsid w:val="6B795A01"/>
    <w:rsid w:val="6BBF8608"/>
    <w:rsid w:val="6BDCE06E"/>
    <w:rsid w:val="6BF74824"/>
    <w:rsid w:val="6BFB1504"/>
    <w:rsid w:val="6BFB35C2"/>
    <w:rsid w:val="6BFB8C4E"/>
    <w:rsid w:val="6C7D053B"/>
    <w:rsid w:val="6D3F9100"/>
    <w:rsid w:val="6D93BB90"/>
    <w:rsid w:val="6DBB5A7F"/>
    <w:rsid w:val="6DD4F4D9"/>
    <w:rsid w:val="6DEE6623"/>
    <w:rsid w:val="6DF2E4EF"/>
    <w:rsid w:val="6DFAA902"/>
    <w:rsid w:val="6E4AF972"/>
    <w:rsid w:val="6E7E0D79"/>
    <w:rsid w:val="6EBC9133"/>
    <w:rsid w:val="6EBF20DA"/>
    <w:rsid w:val="6EDF7A6E"/>
    <w:rsid w:val="6EDFCA5A"/>
    <w:rsid w:val="6EFB062B"/>
    <w:rsid w:val="6EFF68DC"/>
    <w:rsid w:val="6EFF9141"/>
    <w:rsid w:val="6F678475"/>
    <w:rsid w:val="6F6F62CE"/>
    <w:rsid w:val="6F7BFC8E"/>
    <w:rsid w:val="6F7DCD1D"/>
    <w:rsid w:val="6F7FA2E8"/>
    <w:rsid w:val="6F7FEA7F"/>
    <w:rsid w:val="6FB728B8"/>
    <w:rsid w:val="6FBB27F8"/>
    <w:rsid w:val="6FBF9316"/>
    <w:rsid w:val="6FBFC3D1"/>
    <w:rsid w:val="6FBFE59F"/>
    <w:rsid w:val="6FCF6C0F"/>
    <w:rsid w:val="6FCFF6C5"/>
    <w:rsid w:val="6FD5AEA6"/>
    <w:rsid w:val="6FDA2533"/>
    <w:rsid w:val="6FDDC0C9"/>
    <w:rsid w:val="6FDF3ED1"/>
    <w:rsid w:val="6FE7BA3A"/>
    <w:rsid w:val="6FECAC4B"/>
    <w:rsid w:val="6FF564A4"/>
    <w:rsid w:val="6FF6E261"/>
    <w:rsid w:val="6FF771F4"/>
    <w:rsid w:val="6FF9040F"/>
    <w:rsid w:val="6FFE4414"/>
    <w:rsid w:val="6FFF438D"/>
    <w:rsid w:val="6FFFD527"/>
    <w:rsid w:val="70CB2F05"/>
    <w:rsid w:val="71D15A6E"/>
    <w:rsid w:val="71FD6B00"/>
    <w:rsid w:val="727E52A6"/>
    <w:rsid w:val="727F7FB1"/>
    <w:rsid w:val="72AC6403"/>
    <w:rsid w:val="72FF44AC"/>
    <w:rsid w:val="734F6261"/>
    <w:rsid w:val="735E7AE6"/>
    <w:rsid w:val="7379A35F"/>
    <w:rsid w:val="739BC26E"/>
    <w:rsid w:val="73AF36CE"/>
    <w:rsid w:val="73DB39FD"/>
    <w:rsid w:val="73FDB6CE"/>
    <w:rsid w:val="73FF5968"/>
    <w:rsid w:val="73FFF2DA"/>
    <w:rsid w:val="74C4AD17"/>
    <w:rsid w:val="74F49EB4"/>
    <w:rsid w:val="74FB60A8"/>
    <w:rsid w:val="74FDFE20"/>
    <w:rsid w:val="75296C62"/>
    <w:rsid w:val="752FF41C"/>
    <w:rsid w:val="757DE146"/>
    <w:rsid w:val="757E9C40"/>
    <w:rsid w:val="759BFD14"/>
    <w:rsid w:val="75BFA8DD"/>
    <w:rsid w:val="75E72E9C"/>
    <w:rsid w:val="75ED5D32"/>
    <w:rsid w:val="75EDB437"/>
    <w:rsid w:val="75EF0BD5"/>
    <w:rsid w:val="75F711A6"/>
    <w:rsid w:val="75FBF4A0"/>
    <w:rsid w:val="75FF1C58"/>
    <w:rsid w:val="766E240B"/>
    <w:rsid w:val="76ADA16C"/>
    <w:rsid w:val="76BAAB2B"/>
    <w:rsid w:val="76BB5540"/>
    <w:rsid w:val="76BDBEC6"/>
    <w:rsid w:val="76D340AB"/>
    <w:rsid w:val="76E71ADD"/>
    <w:rsid w:val="76FB2B95"/>
    <w:rsid w:val="76FB8753"/>
    <w:rsid w:val="76FED0EF"/>
    <w:rsid w:val="76FFD433"/>
    <w:rsid w:val="771B9F08"/>
    <w:rsid w:val="775F9431"/>
    <w:rsid w:val="7775BFEE"/>
    <w:rsid w:val="777B9B70"/>
    <w:rsid w:val="777F9DE4"/>
    <w:rsid w:val="77B7978F"/>
    <w:rsid w:val="77BBC035"/>
    <w:rsid w:val="77BD2556"/>
    <w:rsid w:val="77BEE6FE"/>
    <w:rsid w:val="77BF4E2F"/>
    <w:rsid w:val="77BFEBB1"/>
    <w:rsid w:val="77C63C13"/>
    <w:rsid w:val="77C92B4F"/>
    <w:rsid w:val="77CFEE8B"/>
    <w:rsid w:val="77DF8FD0"/>
    <w:rsid w:val="77DFAE28"/>
    <w:rsid w:val="77DFB76E"/>
    <w:rsid w:val="77E3666D"/>
    <w:rsid w:val="77EF0318"/>
    <w:rsid w:val="77FB2290"/>
    <w:rsid w:val="77FBE597"/>
    <w:rsid w:val="77FF098E"/>
    <w:rsid w:val="77FF4455"/>
    <w:rsid w:val="78BF90CB"/>
    <w:rsid w:val="78D7A5CD"/>
    <w:rsid w:val="78FD8705"/>
    <w:rsid w:val="78FD8D9C"/>
    <w:rsid w:val="78FF96E3"/>
    <w:rsid w:val="790FCDA8"/>
    <w:rsid w:val="797E6D27"/>
    <w:rsid w:val="799B2CD4"/>
    <w:rsid w:val="79C55AFD"/>
    <w:rsid w:val="79DE31E1"/>
    <w:rsid w:val="7A5B0B1E"/>
    <w:rsid w:val="7A7B1765"/>
    <w:rsid w:val="7A7EDAFA"/>
    <w:rsid w:val="7ADBF4BB"/>
    <w:rsid w:val="7AEDAB8E"/>
    <w:rsid w:val="7AEE861C"/>
    <w:rsid w:val="7AF95D71"/>
    <w:rsid w:val="7AFF1998"/>
    <w:rsid w:val="7AFF770F"/>
    <w:rsid w:val="7B9B00B6"/>
    <w:rsid w:val="7B9BB3A7"/>
    <w:rsid w:val="7B9D24D7"/>
    <w:rsid w:val="7BACCEF9"/>
    <w:rsid w:val="7BBB5A27"/>
    <w:rsid w:val="7BBE063D"/>
    <w:rsid w:val="7BBE11B1"/>
    <w:rsid w:val="7BCF4213"/>
    <w:rsid w:val="7BCFF386"/>
    <w:rsid w:val="7BDC559C"/>
    <w:rsid w:val="7BE477CE"/>
    <w:rsid w:val="7BE8F6B2"/>
    <w:rsid w:val="7BF3BECE"/>
    <w:rsid w:val="7BF5A01B"/>
    <w:rsid w:val="7BF6D526"/>
    <w:rsid w:val="7BF77A88"/>
    <w:rsid w:val="7BF7C2B2"/>
    <w:rsid w:val="7BFB8EDA"/>
    <w:rsid w:val="7BFD2FDD"/>
    <w:rsid w:val="7BFEBF3E"/>
    <w:rsid w:val="7BFF271D"/>
    <w:rsid w:val="7BFFB69C"/>
    <w:rsid w:val="7BFFEDD9"/>
    <w:rsid w:val="7C5C3BAC"/>
    <w:rsid w:val="7C6775D8"/>
    <w:rsid w:val="7C7D9C50"/>
    <w:rsid w:val="7C7FEFC5"/>
    <w:rsid w:val="7CA3E458"/>
    <w:rsid w:val="7CD7ADD5"/>
    <w:rsid w:val="7CEF354C"/>
    <w:rsid w:val="7CF62D98"/>
    <w:rsid w:val="7CFB5783"/>
    <w:rsid w:val="7D3F228E"/>
    <w:rsid w:val="7D5AF732"/>
    <w:rsid w:val="7D5DADF0"/>
    <w:rsid w:val="7D7B123D"/>
    <w:rsid w:val="7D7BD9AA"/>
    <w:rsid w:val="7D7D2DAD"/>
    <w:rsid w:val="7D93EC21"/>
    <w:rsid w:val="7DAE67D6"/>
    <w:rsid w:val="7DB77A97"/>
    <w:rsid w:val="7DBD8FA1"/>
    <w:rsid w:val="7DBEE096"/>
    <w:rsid w:val="7DCB9220"/>
    <w:rsid w:val="7DCE674A"/>
    <w:rsid w:val="7DD76B5A"/>
    <w:rsid w:val="7DDF63ED"/>
    <w:rsid w:val="7DE58D6E"/>
    <w:rsid w:val="7DEBA60D"/>
    <w:rsid w:val="7DEF0B2C"/>
    <w:rsid w:val="7DF3E646"/>
    <w:rsid w:val="7DF6FBF2"/>
    <w:rsid w:val="7DF7DC6A"/>
    <w:rsid w:val="7DFB2CC2"/>
    <w:rsid w:val="7DFEA88E"/>
    <w:rsid w:val="7DFF7440"/>
    <w:rsid w:val="7DFFF57B"/>
    <w:rsid w:val="7E1F9B7A"/>
    <w:rsid w:val="7E27E4E8"/>
    <w:rsid w:val="7E4EEA61"/>
    <w:rsid w:val="7E5BE79A"/>
    <w:rsid w:val="7E5F0294"/>
    <w:rsid w:val="7E6F330D"/>
    <w:rsid w:val="7E7A5659"/>
    <w:rsid w:val="7E7BF025"/>
    <w:rsid w:val="7E7D6619"/>
    <w:rsid w:val="7E7F086A"/>
    <w:rsid w:val="7E7FA646"/>
    <w:rsid w:val="7EB74236"/>
    <w:rsid w:val="7EB9DADE"/>
    <w:rsid w:val="7EBBE237"/>
    <w:rsid w:val="7EBC4B77"/>
    <w:rsid w:val="7EDB3165"/>
    <w:rsid w:val="7EDF7AC1"/>
    <w:rsid w:val="7EE5B035"/>
    <w:rsid w:val="7EE7E122"/>
    <w:rsid w:val="7EED6003"/>
    <w:rsid w:val="7EEE9462"/>
    <w:rsid w:val="7EEEBA5B"/>
    <w:rsid w:val="7EEEDDFF"/>
    <w:rsid w:val="7EF654FD"/>
    <w:rsid w:val="7EFBB9A6"/>
    <w:rsid w:val="7EFC8496"/>
    <w:rsid w:val="7EFD22EA"/>
    <w:rsid w:val="7EFD5FC1"/>
    <w:rsid w:val="7EFDA148"/>
    <w:rsid w:val="7EFE1057"/>
    <w:rsid w:val="7EFEEB7A"/>
    <w:rsid w:val="7EFF3AD6"/>
    <w:rsid w:val="7EFF7CF3"/>
    <w:rsid w:val="7F07FA0F"/>
    <w:rsid w:val="7F0A4AB1"/>
    <w:rsid w:val="7F0D5EFE"/>
    <w:rsid w:val="7F0F137B"/>
    <w:rsid w:val="7F2C9627"/>
    <w:rsid w:val="7F35BB71"/>
    <w:rsid w:val="7F3A67C3"/>
    <w:rsid w:val="7F4F0A59"/>
    <w:rsid w:val="7F5D70C4"/>
    <w:rsid w:val="7F5F4BA0"/>
    <w:rsid w:val="7F6D1247"/>
    <w:rsid w:val="7F6F29E7"/>
    <w:rsid w:val="7F733867"/>
    <w:rsid w:val="7F734714"/>
    <w:rsid w:val="7F771F27"/>
    <w:rsid w:val="7F7BD0CA"/>
    <w:rsid w:val="7F7D3E96"/>
    <w:rsid w:val="7F7D58EC"/>
    <w:rsid w:val="7F7E2B39"/>
    <w:rsid w:val="7F7F93F7"/>
    <w:rsid w:val="7F7FEBA7"/>
    <w:rsid w:val="7F8E6F88"/>
    <w:rsid w:val="7F9BE0C6"/>
    <w:rsid w:val="7F9D91B2"/>
    <w:rsid w:val="7F9F4252"/>
    <w:rsid w:val="7F9FCE65"/>
    <w:rsid w:val="7FABE02F"/>
    <w:rsid w:val="7FAFA0C0"/>
    <w:rsid w:val="7FAFC028"/>
    <w:rsid w:val="7FB5706C"/>
    <w:rsid w:val="7FB716ED"/>
    <w:rsid w:val="7FBA787C"/>
    <w:rsid w:val="7FBB5BB2"/>
    <w:rsid w:val="7FBC950B"/>
    <w:rsid w:val="7FBD12A2"/>
    <w:rsid w:val="7FBD46A6"/>
    <w:rsid w:val="7FBEF4E4"/>
    <w:rsid w:val="7FBF58CB"/>
    <w:rsid w:val="7FC6C2C1"/>
    <w:rsid w:val="7FCF3C4D"/>
    <w:rsid w:val="7FCF78E8"/>
    <w:rsid w:val="7FD30B79"/>
    <w:rsid w:val="7FD85BB7"/>
    <w:rsid w:val="7FDD9113"/>
    <w:rsid w:val="7FDE2DD5"/>
    <w:rsid w:val="7FDE62C9"/>
    <w:rsid w:val="7FDF1F10"/>
    <w:rsid w:val="7FDF24D3"/>
    <w:rsid w:val="7FDF6867"/>
    <w:rsid w:val="7FDF7F57"/>
    <w:rsid w:val="7FDF977F"/>
    <w:rsid w:val="7FDFC29D"/>
    <w:rsid w:val="7FDFD94A"/>
    <w:rsid w:val="7FDFE519"/>
    <w:rsid w:val="7FE7BD74"/>
    <w:rsid w:val="7FEECEEB"/>
    <w:rsid w:val="7FEF1254"/>
    <w:rsid w:val="7FEFA7C7"/>
    <w:rsid w:val="7FEFE053"/>
    <w:rsid w:val="7FF472B2"/>
    <w:rsid w:val="7FF8355C"/>
    <w:rsid w:val="7FF8D748"/>
    <w:rsid w:val="7FFB0641"/>
    <w:rsid w:val="7FFB7A1B"/>
    <w:rsid w:val="7FFBB6B6"/>
    <w:rsid w:val="7FFD2E40"/>
    <w:rsid w:val="7FFD5BB8"/>
    <w:rsid w:val="7FFD9CEB"/>
    <w:rsid w:val="7FFDE476"/>
    <w:rsid w:val="7FFE16C8"/>
    <w:rsid w:val="7FFE9C50"/>
    <w:rsid w:val="7FFF1CE1"/>
    <w:rsid w:val="7FFF60FE"/>
    <w:rsid w:val="7FFF7A00"/>
    <w:rsid w:val="7FFFD2E9"/>
    <w:rsid w:val="7FFFD601"/>
    <w:rsid w:val="7FFFDDCF"/>
    <w:rsid w:val="7FFFF920"/>
    <w:rsid w:val="832F0F43"/>
    <w:rsid w:val="86BFC6FD"/>
    <w:rsid w:val="89E102AE"/>
    <w:rsid w:val="8AF74999"/>
    <w:rsid w:val="8BEBB669"/>
    <w:rsid w:val="8BF396B8"/>
    <w:rsid w:val="8CF2A467"/>
    <w:rsid w:val="8FBE8389"/>
    <w:rsid w:val="8FBF988C"/>
    <w:rsid w:val="8FF3E317"/>
    <w:rsid w:val="8FF6ADAB"/>
    <w:rsid w:val="926D601A"/>
    <w:rsid w:val="937B2E3A"/>
    <w:rsid w:val="93D71006"/>
    <w:rsid w:val="95FD9297"/>
    <w:rsid w:val="97BF14D6"/>
    <w:rsid w:val="97FD43FE"/>
    <w:rsid w:val="97FE2EBB"/>
    <w:rsid w:val="98DF3C4C"/>
    <w:rsid w:val="98FED9AF"/>
    <w:rsid w:val="99F669D9"/>
    <w:rsid w:val="9BFB893A"/>
    <w:rsid w:val="9BFCC901"/>
    <w:rsid w:val="9BFEF8B8"/>
    <w:rsid w:val="9CCFC21E"/>
    <w:rsid w:val="9D4B5CFF"/>
    <w:rsid w:val="9DEFE989"/>
    <w:rsid w:val="9DFA1A4B"/>
    <w:rsid w:val="9DFA52B3"/>
    <w:rsid w:val="9DFC7CD1"/>
    <w:rsid w:val="9E7DD2DF"/>
    <w:rsid w:val="9E9D477B"/>
    <w:rsid w:val="9EB98988"/>
    <w:rsid w:val="9F7D5202"/>
    <w:rsid w:val="9F9FF679"/>
    <w:rsid w:val="9FE7A0DA"/>
    <w:rsid w:val="9FED75F2"/>
    <w:rsid w:val="9FED90F0"/>
    <w:rsid w:val="9FEDAEC9"/>
    <w:rsid w:val="9FFB09AF"/>
    <w:rsid w:val="9FFDE107"/>
    <w:rsid w:val="9FFE46DA"/>
    <w:rsid w:val="A1775862"/>
    <w:rsid w:val="A5DFE1F8"/>
    <w:rsid w:val="A5EFE3F7"/>
    <w:rsid w:val="A73DCA5F"/>
    <w:rsid w:val="A77F169A"/>
    <w:rsid w:val="A78FDB7E"/>
    <w:rsid w:val="A7FFAD31"/>
    <w:rsid w:val="AAF6EBDB"/>
    <w:rsid w:val="AB1EABFB"/>
    <w:rsid w:val="AB3148C0"/>
    <w:rsid w:val="AB6B4644"/>
    <w:rsid w:val="ABFE8D86"/>
    <w:rsid w:val="ACEF3859"/>
    <w:rsid w:val="AD5F5AE9"/>
    <w:rsid w:val="ADA8D621"/>
    <w:rsid w:val="ADDB6056"/>
    <w:rsid w:val="ADFDE090"/>
    <w:rsid w:val="AECD58CC"/>
    <w:rsid w:val="AEFE2F5D"/>
    <w:rsid w:val="AF1BC274"/>
    <w:rsid w:val="AF8E650D"/>
    <w:rsid w:val="AFBE6340"/>
    <w:rsid w:val="AFBEA5F8"/>
    <w:rsid w:val="AFBF381A"/>
    <w:rsid w:val="AFCE1FB2"/>
    <w:rsid w:val="AFD6C55C"/>
    <w:rsid w:val="AFDB7FE7"/>
    <w:rsid w:val="B0F78EC9"/>
    <w:rsid w:val="B27D810C"/>
    <w:rsid w:val="B2DA8F6E"/>
    <w:rsid w:val="B2DB2A59"/>
    <w:rsid w:val="B3B3070A"/>
    <w:rsid w:val="B3E9B0DC"/>
    <w:rsid w:val="B3FED356"/>
    <w:rsid w:val="B41113CC"/>
    <w:rsid w:val="B5CB62FC"/>
    <w:rsid w:val="B5EE5247"/>
    <w:rsid w:val="B6EF9352"/>
    <w:rsid w:val="B6FB2D84"/>
    <w:rsid w:val="B76AC424"/>
    <w:rsid w:val="B77D7CF0"/>
    <w:rsid w:val="B77FE882"/>
    <w:rsid w:val="B7B78AEB"/>
    <w:rsid w:val="B7EF9D4B"/>
    <w:rsid w:val="B7F61827"/>
    <w:rsid w:val="B7FD1D5B"/>
    <w:rsid w:val="B7FF02FA"/>
    <w:rsid w:val="B8FD9936"/>
    <w:rsid w:val="B95151C2"/>
    <w:rsid w:val="B9767C63"/>
    <w:rsid w:val="B9AF2A72"/>
    <w:rsid w:val="B9EF2949"/>
    <w:rsid w:val="BA5F9102"/>
    <w:rsid w:val="BAC63927"/>
    <w:rsid w:val="BB3FBFFC"/>
    <w:rsid w:val="BB3FDA13"/>
    <w:rsid w:val="BB6B3CD7"/>
    <w:rsid w:val="BB7BCEBF"/>
    <w:rsid w:val="BB8F50EA"/>
    <w:rsid w:val="BB9DB120"/>
    <w:rsid w:val="BB9DCBAD"/>
    <w:rsid w:val="BBAEFE49"/>
    <w:rsid w:val="BBCBA0E0"/>
    <w:rsid w:val="BBD25BF9"/>
    <w:rsid w:val="BBEDAFD3"/>
    <w:rsid w:val="BBF6825A"/>
    <w:rsid w:val="BBFBABA4"/>
    <w:rsid w:val="BBFFF723"/>
    <w:rsid w:val="BC56C643"/>
    <w:rsid w:val="BC667D38"/>
    <w:rsid w:val="BCEF461B"/>
    <w:rsid w:val="BCFC51B2"/>
    <w:rsid w:val="BD7FB350"/>
    <w:rsid w:val="BDB7B564"/>
    <w:rsid w:val="BDBF6794"/>
    <w:rsid w:val="BDD76E75"/>
    <w:rsid w:val="BDEC4102"/>
    <w:rsid w:val="BDF74D64"/>
    <w:rsid w:val="BDF7D170"/>
    <w:rsid w:val="BDFFABBF"/>
    <w:rsid w:val="BE79DDFE"/>
    <w:rsid w:val="BEAD82D9"/>
    <w:rsid w:val="BEBB508D"/>
    <w:rsid w:val="BED6DE34"/>
    <w:rsid w:val="BEFFA8AE"/>
    <w:rsid w:val="BF2F2C6F"/>
    <w:rsid w:val="BF5FB18F"/>
    <w:rsid w:val="BF73C9B2"/>
    <w:rsid w:val="BF7ED264"/>
    <w:rsid w:val="BF7F6EBC"/>
    <w:rsid w:val="BF9E0FDA"/>
    <w:rsid w:val="BFA7BA3E"/>
    <w:rsid w:val="BFB50B39"/>
    <w:rsid w:val="BFBBE7F2"/>
    <w:rsid w:val="BFBD076D"/>
    <w:rsid w:val="BFCD6472"/>
    <w:rsid w:val="BFDE3259"/>
    <w:rsid w:val="BFDF546A"/>
    <w:rsid w:val="BFDFFCE0"/>
    <w:rsid w:val="BFE96950"/>
    <w:rsid w:val="BFEC29E0"/>
    <w:rsid w:val="BFF39D5C"/>
    <w:rsid w:val="BFF4647F"/>
    <w:rsid w:val="BFF5A14D"/>
    <w:rsid w:val="BFF68E1B"/>
    <w:rsid w:val="BFFD7B68"/>
    <w:rsid w:val="BFFE08A5"/>
    <w:rsid w:val="BFFFD1C1"/>
    <w:rsid w:val="C1FF5EAF"/>
    <w:rsid w:val="C33F56B0"/>
    <w:rsid w:val="C63B2D81"/>
    <w:rsid w:val="C677CB0C"/>
    <w:rsid w:val="C6F5D2AF"/>
    <w:rsid w:val="C6F7B304"/>
    <w:rsid w:val="C6FDF9F1"/>
    <w:rsid w:val="C72DAE0B"/>
    <w:rsid w:val="C77F5735"/>
    <w:rsid w:val="C7AF9867"/>
    <w:rsid w:val="C7FB1EBD"/>
    <w:rsid w:val="C9AD6EA4"/>
    <w:rsid w:val="CAB900B6"/>
    <w:rsid w:val="CAF7F9E8"/>
    <w:rsid w:val="CBB75F9A"/>
    <w:rsid w:val="CBF9EB14"/>
    <w:rsid w:val="CD7F9DD3"/>
    <w:rsid w:val="CDDBDAA5"/>
    <w:rsid w:val="CDDED5A5"/>
    <w:rsid w:val="CDE98D57"/>
    <w:rsid w:val="CDF5681C"/>
    <w:rsid w:val="CDFB08DD"/>
    <w:rsid w:val="CDFB8F2E"/>
    <w:rsid w:val="CDFBB7CC"/>
    <w:rsid w:val="CDFE319F"/>
    <w:rsid w:val="CEBDB5D9"/>
    <w:rsid w:val="CEBFE8B4"/>
    <w:rsid w:val="CEC54D34"/>
    <w:rsid w:val="CEFFAA64"/>
    <w:rsid w:val="CF3F0603"/>
    <w:rsid w:val="CF3F62E3"/>
    <w:rsid w:val="CF476864"/>
    <w:rsid w:val="CF575042"/>
    <w:rsid w:val="CFBA9173"/>
    <w:rsid w:val="CFBD1547"/>
    <w:rsid w:val="CFD7971D"/>
    <w:rsid w:val="CFDD46CC"/>
    <w:rsid w:val="CFDF1C9B"/>
    <w:rsid w:val="CFDFE90C"/>
    <w:rsid w:val="CFF7DC56"/>
    <w:rsid w:val="CFFB15E5"/>
    <w:rsid w:val="CFFE3718"/>
    <w:rsid w:val="CFFF1F62"/>
    <w:rsid w:val="CFFF7263"/>
    <w:rsid w:val="CFFFD28A"/>
    <w:rsid w:val="D1BFDFBD"/>
    <w:rsid w:val="D1EF4A5B"/>
    <w:rsid w:val="D2FF1536"/>
    <w:rsid w:val="D37F55EE"/>
    <w:rsid w:val="D3FFE233"/>
    <w:rsid w:val="D5D727F5"/>
    <w:rsid w:val="D69E5521"/>
    <w:rsid w:val="D6BE1768"/>
    <w:rsid w:val="D6F61F3C"/>
    <w:rsid w:val="D6FDC0A4"/>
    <w:rsid w:val="D6FDC3EB"/>
    <w:rsid w:val="D76F37D4"/>
    <w:rsid w:val="D76F7C34"/>
    <w:rsid w:val="D7BDFE9C"/>
    <w:rsid w:val="D7DDDAB9"/>
    <w:rsid w:val="D7F7B1C5"/>
    <w:rsid w:val="D7FB2DDA"/>
    <w:rsid w:val="D7FD2A04"/>
    <w:rsid w:val="D7FEA7CD"/>
    <w:rsid w:val="D7FEAFF5"/>
    <w:rsid w:val="D7FF586D"/>
    <w:rsid w:val="D7FFC459"/>
    <w:rsid w:val="D9B6EB4C"/>
    <w:rsid w:val="D9FFB709"/>
    <w:rsid w:val="DAC7DAAE"/>
    <w:rsid w:val="DAF19E52"/>
    <w:rsid w:val="DB4D34A2"/>
    <w:rsid w:val="DB6CD01E"/>
    <w:rsid w:val="DB77EBCD"/>
    <w:rsid w:val="DB7FA21E"/>
    <w:rsid w:val="DBBB99E1"/>
    <w:rsid w:val="DBBE2099"/>
    <w:rsid w:val="DBBFC6A2"/>
    <w:rsid w:val="DBFD912E"/>
    <w:rsid w:val="DBFE195B"/>
    <w:rsid w:val="DBFFC6F6"/>
    <w:rsid w:val="DC5A8DB4"/>
    <w:rsid w:val="DCBEFC58"/>
    <w:rsid w:val="DCFDF770"/>
    <w:rsid w:val="DD4D2FAB"/>
    <w:rsid w:val="DD79CC41"/>
    <w:rsid w:val="DDBF8D13"/>
    <w:rsid w:val="DDCD1406"/>
    <w:rsid w:val="DDD36903"/>
    <w:rsid w:val="DDDA543F"/>
    <w:rsid w:val="DDDFE2FE"/>
    <w:rsid w:val="DDEBB46F"/>
    <w:rsid w:val="DDF3635C"/>
    <w:rsid w:val="DDF73E06"/>
    <w:rsid w:val="DDFAF4ED"/>
    <w:rsid w:val="DDFEC627"/>
    <w:rsid w:val="DDFF18B4"/>
    <w:rsid w:val="DDFF8EEA"/>
    <w:rsid w:val="DDFF9CDD"/>
    <w:rsid w:val="DE57AAEC"/>
    <w:rsid w:val="DE5EA030"/>
    <w:rsid w:val="DE9EA366"/>
    <w:rsid w:val="DECF03F2"/>
    <w:rsid w:val="DEEE4637"/>
    <w:rsid w:val="DEEF535D"/>
    <w:rsid w:val="DEEF70C8"/>
    <w:rsid w:val="DEF943B9"/>
    <w:rsid w:val="DF4F69B0"/>
    <w:rsid w:val="DF67CAB8"/>
    <w:rsid w:val="DF6E3515"/>
    <w:rsid w:val="DF71559B"/>
    <w:rsid w:val="DF764407"/>
    <w:rsid w:val="DF771B1F"/>
    <w:rsid w:val="DF7BD32A"/>
    <w:rsid w:val="DF9F58F7"/>
    <w:rsid w:val="DF9FCE97"/>
    <w:rsid w:val="DFAFB49E"/>
    <w:rsid w:val="DFB94222"/>
    <w:rsid w:val="DFBD4576"/>
    <w:rsid w:val="DFBF6ECA"/>
    <w:rsid w:val="DFC61CA5"/>
    <w:rsid w:val="DFCF6FC7"/>
    <w:rsid w:val="DFDFC623"/>
    <w:rsid w:val="DFE68276"/>
    <w:rsid w:val="DFE77899"/>
    <w:rsid w:val="DFED33FD"/>
    <w:rsid w:val="DFEFD79F"/>
    <w:rsid w:val="DFEFE354"/>
    <w:rsid w:val="DFEFF5A7"/>
    <w:rsid w:val="DFF505F3"/>
    <w:rsid w:val="DFF769E5"/>
    <w:rsid w:val="DFF7E9E8"/>
    <w:rsid w:val="DFFA8D18"/>
    <w:rsid w:val="DFFB0250"/>
    <w:rsid w:val="DFFE1593"/>
    <w:rsid w:val="DFFF4D97"/>
    <w:rsid w:val="DFFF763B"/>
    <w:rsid w:val="DFFF828E"/>
    <w:rsid w:val="DFFFAE0C"/>
    <w:rsid w:val="E1FF9252"/>
    <w:rsid w:val="E23EE313"/>
    <w:rsid w:val="E3DF25B8"/>
    <w:rsid w:val="E3EDB9A5"/>
    <w:rsid w:val="E55FD16D"/>
    <w:rsid w:val="E57F2958"/>
    <w:rsid w:val="E57F435F"/>
    <w:rsid w:val="E5B630DB"/>
    <w:rsid w:val="E5DE5402"/>
    <w:rsid w:val="E5EE07DC"/>
    <w:rsid w:val="E66F62E6"/>
    <w:rsid w:val="E6E997C4"/>
    <w:rsid w:val="E6F05054"/>
    <w:rsid w:val="E71E90CE"/>
    <w:rsid w:val="E71F4E20"/>
    <w:rsid w:val="E75F45F2"/>
    <w:rsid w:val="E7769759"/>
    <w:rsid w:val="E7AA3F75"/>
    <w:rsid w:val="E7B3C360"/>
    <w:rsid w:val="E7BE4648"/>
    <w:rsid w:val="E7EFF1DF"/>
    <w:rsid w:val="E7FFF95E"/>
    <w:rsid w:val="E977189B"/>
    <w:rsid w:val="E97F1399"/>
    <w:rsid w:val="E9F71EFB"/>
    <w:rsid w:val="E9FF6C25"/>
    <w:rsid w:val="EA594070"/>
    <w:rsid w:val="EA7BCF71"/>
    <w:rsid w:val="EAAD21FF"/>
    <w:rsid w:val="EAF7C32F"/>
    <w:rsid w:val="EB9F3440"/>
    <w:rsid w:val="EBA7F57D"/>
    <w:rsid w:val="EBCFE8D7"/>
    <w:rsid w:val="EBD71702"/>
    <w:rsid w:val="EBDD36E8"/>
    <w:rsid w:val="EBF41DA1"/>
    <w:rsid w:val="EBF91739"/>
    <w:rsid w:val="EBFE152E"/>
    <w:rsid w:val="EC53C056"/>
    <w:rsid w:val="EC6FFDF7"/>
    <w:rsid w:val="ECAE8611"/>
    <w:rsid w:val="ECBE8439"/>
    <w:rsid w:val="ECC70F0B"/>
    <w:rsid w:val="ED2F2F57"/>
    <w:rsid w:val="ED5DB38A"/>
    <w:rsid w:val="ED7DCADE"/>
    <w:rsid w:val="EDBC299B"/>
    <w:rsid w:val="EDDAB08F"/>
    <w:rsid w:val="EDDF5EE7"/>
    <w:rsid w:val="EDF1DA91"/>
    <w:rsid w:val="EDF55EF8"/>
    <w:rsid w:val="EDFB098B"/>
    <w:rsid w:val="EDFD51A8"/>
    <w:rsid w:val="EDFF14E0"/>
    <w:rsid w:val="EE93C11F"/>
    <w:rsid w:val="EEBF987B"/>
    <w:rsid w:val="EEE74F43"/>
    <w:rsid w:val="EEF75237"/>
    <w:rsid w:val="EEFB39E6"/>
    <w:rsid w:val="EEFD7915"/>
    <w:rsid w:val="EEFF4C9F"/>
    <w:rsid w:val="EF1FA30F"/>
    <w:rsid w:val="EF3746AF"/>
    <w:rsid w:val="EF39C881"/>
    <w:rsid w:val="EF62C348"/>
    <w:rsid w:val="EF6BED2D"/>
    <w:rsid w:val="EF6E1DD4"/>
    <w:rsid w:val="EF772EC9"/>
    <w:rsid w:val="EF773303"/>
    <w:rsid w:val="EF77C8FD"/>
    <w:rsid w:val="EF79C7D0"/>
    <w:rsid w:val="EF7B91D5"/>
    <w:rsid w:val="EF7E1B4D"/>
    <w:rsid w:val="EF7FFA50"/>
    <w:rsid w:val="EF9E168D"/>
    <w:rsid w:val="EFA7692A"/>
    <w:rsid w:val="EFBD05E4"/>
    <w:rsid w:val="EFBE4B26"/>
    <w:rsid w:val="EFBF3F78"/>
    <w:rsid w:val="EFD6361F"/>
    <w:rsid w:val="EFDB362F"/>
    <w:rsid w:val="EFDF3061"/>
    <w:rsid w:val="EFE79BF7"/>
    <w:rsid w:val="EFEB035C"/>
    <w:rsid w:val="EFEF0043"/>
    <w:rsid w:val="EFEF9C6A"/>
    <w:rsid w:val="EFF25628"/>
    <w:rsid w:val="EFF794E8"/>
    <w:rsid w:val="EFFCB897"/>
    <w:rsid w:val="EFFD1516"/>
    <w:rsid w:val="EFFE2622"/>
    <w:rsid w:val="EFFF04E3"/>
    <w:rsid w:val="EFFFAEF3"/>
    <w:rsid w:val="F15F5C3E"/>
    <w:rsid w:val="F1FE3534"/>
    <w:rsid w:val="F1FFA53B"/>
    <w:rsid w:val="F1FFF4F7"/>
    <w:rsid w:val="F24DFF19"/>
    <w:rsid w:val="F2ADA96A"/>
    <w:rsid w:val="F2D7FE0A"/>
    <w:rsid w:val="F309F4D7"/>
    <w:rsid w:val="F35B011A"/>
    <w:rsid w:val="F369FDFD"/>
    <w:rsid w:val="F3776588"/>
    <w:rsid w:val="F38D895D"/>
    <w:rsid w:val="F3B5B562"/>
    <w:rsid w:val="F3DFBA2C"/>
    <w:rsid w:val="F3F4A64A"/>
    <w:rsid w:val="F3F56AE1"/>
    <w:rsid w:val="F3FB3722"/>
    <w:rsid w:val="F3FB94C3"/>
    <w:rsid w:val="F3FF1564"/>
    <w:rsid w:val="F3FF68A1"/>
    <w:rsid w:val="F3FF6EA2"/>
    <w:rsid w:val="F437F28A"/>
    <w:rsid w:val="F493912F"/>
    <w:rsid w:val="F4EF43A3"/>
    <w:rsid w:val="F4FB65B7"/>
    <w:rsid w:val="F50D6633"/>
    <w:rsid w:val="F56F4402"/>
    <w:rsid w:val="F5EF243C"/>
    <w:rsid w:val="F5F10C8D"/>
    <w:rsid w:val="F5FD4936"/>
    <w:rsid w:val="F5FDE307"/>
    <w:rsid w:val="F5FF2821"/>
    <w:rsid w:val="F5FF3664"/>
    <w:rsid w:val="F5FFDD71"/>
    <w:rsid w:val="F64FC9BB"/>
    <w:rsid w:val="F66CEBEA"/>
    <w:rsid w:val="F672BF32"/>
    <w:rsid w:val="F6D5AB99"/>
    <w:rsid w:val="F6F267F3"/>
    <w:rsid w:val="F6F9B95C"/>
    <w:rsid w:val="F6FCB7C0"/>
    <w:rsid w:val="F6FE333A"/>
    <w:rsid w:val="F6FEE513"/>
    <w:rsid w:val="F6FFBA27"/>
    <w:rsid w:val="F6FFBB3B"/>
    <w:rsid w:val="F75D7BA5"/>
    <w:rsid w:val="F75F92C9"/>
    <w:rsid w:val="F767E220"/>
    <w:rsid w:val="F76EE4AA"/>
    <w:rsid w:val="F7753FB3"/>
    <w:rsid w:val="F7757CBB"/>
    <w:rsid w:val="F7771364"/>
    <w:rsid w:val="F77B7E63"/>
    <w:rsid w:val="F77F05D0"/>
    <w:rsid w:val="F77F4C0A"/>
    <w:rsid w:val="F79E3E57"/>
    <w:rsid w:val="F7AB87CD"/>
    <w:rsid w:val="F7AD4247"/>
    <w:rsid w:val="F7AF8583"/>
    <w:rsid w:val="F7B918E8"/>
    <w:rsid w:val="F7BB2E58"/>
    <w:rsid w:val="F7CF9670"/>
    <w:rsid w:val="F7D8EF80"/>
    <w:rsid w:val="F7D90F70"/>
    <w:rsid w:val="F7D96A1C"/>
    <w:rsid w:val="F7E274D5"/>
    <w:rsid w:val="F7E6625C"/>
    <w:rsid w:val="F7E7B3C7"/>
    <w:rsid w:val="F7EDCBCD"/>
    <w:rsid w:val="F7EF0A9C"/>
    <w:rsid w:val="F7EFB1DA"/>
    <w:rsid w:val="F7FE85D4"/>
    <w:rsid w:val="F7FEDAD0"/>
    <w:rsid w:val="F7FF64D4"/>
    <w:rsid w:val="F7FF795D"/>
    <w:rsid w:val="F815C1D8"/>
    <w:rsid w:val="F87BA8E6"/>
    <w:rsid w:val="F8AF6E04"/>
    <w:rsid w:val="F94DE23C"/>
    <w:rsid w:val="F97BB6BD"/>
    <w:rsid w:val="F97DF45B"/>
    <w:rsid w:val="F99DA86E"/>
    <w:rsid w:val="F9B73127"/>
    <w:rsid w:val="F9CD01C3"/>
    <w:rsid w:val="F9CF8CB2"/>
    <w:rsid w:val="F9D668D1"/>
    <w:rsid w:val="F9DF17FE"/>
    <w:rsid w:val="F9EB94D3"/>
    <w:rsid w:val="F9FED37C"/>
    <w:rsid w:val="F9FF1188"/>
    <w:rsid w:val="F9FFE7F1"/>
    <w:rsid w:val="FA5DA317"/>
    <w:rsid w:val="FA7760B2"/>
    <w:rsid w:val="FA8933FE"/>
    <w:rsid w:val="FACB097E"/>
    <w:rsid w:val="FAF189E5"/>
    <w:rsid w:val="FAF41D82"/>
    <w:rsid w:val="FAF63EF4"/>
    <w:rsid w:val="FAFB8586"/>
    <w:rsid w:val="FAFDF7F1"/>
    <w:rsid w:val="FAFE9119"/>
    <w:rsid w:val="FB1B6D54"/>
    <w:rsid w:val="FB2EB301"/>
    <w:rsid w:val="FB3BD7B7"/>
    <w:rsid w:val="FB5B07B3"/>
    <w:rsid w:val="FB5FBA36"/>
    <w:rsid w:val="FB6E079A"/>
    <w:rsid w:val="FB78136C"/>
    <w:rsid w:val="FB792B03"/>
    <w:rsid w:val="FB7B6510"/>
    <w:rsid w:val="FB7BF5AC"/>
    <w:rsid w:val="FB7DAE4C"/>
    <w:rsid w:val="FB7E255A"/>
    <w:rsid w:val="FB9EE229"/>
    <w:rsid w:val="FBA2F8CA"/>
    <w:rsid w:val="FBAB4107"/>
    <w:rsid w:val="FBB6C5E1"/>
    <w:rsid w:val="FBBB6B09"/>
    <w:rsid w:val="FBBEF53B"/>
    <w:rsid w:val="FBC7EC2E"/>
    <w:rsid w:val="FBCA69DB"/>
    <w:rsid w:val="FBCF149D"/>
    <w:rsid w:val="FBCF3653"/>
    <w:rsid w:val="FBD14BA1"/>
    <w:rsid w:val="FBDD72BC"/>
    <w:rsid w:val="FBDF6A3F"/>
    <w:rsid w:val="FBEA910B"/>
    <w:rsid w:val="FBED9406"/>
    <w:rsid w:val="FBEE187C"/>
    <w:rsid w:val="FBEFB5EC"/>
    <w:rsid w:val="FBF28C2D"/>
    <w:rsid w:val="FBF30350"/>
    <w:rsid w:val="FBF68116"/>
    <w:rsid w:val="FBF6BB22"/>
    <w:rsid w:val="FBF7D001"/>
    <w:rsid w:val="FBFB49A0"/>
    <w:rsid w:val="FBFBA0DB"/>
    <w:rsid w:val="FBFDF2FD"/>
    <w:rsid w:val="FBFE086C"/>
    <w:rsid w:val="FBFE53DE"/>
    <w:rsid w:val="FBFF856A"/>
    <w:rsid w:val="FC7FED3B"/>
    <w:rsid w:val="FCA7D01F"/>
    <w:rsid w:val="FCBE9FC5"/>
    <w:rsid w:val="FCDF2309"/>
    <w:rsid w:val="FCFFD737"/>
    <w:rsid w:val="FD0E52EF"/>
    <w:rsid w:val="FD338641"/>
    <w:rsid w:val="FD3FFBE3"/>
    <w:rsid w:val="FD471AE0"/>
    <w:rsid w:val="FD5E20A3"/>
    <w:rsid w:val="FD5FD42F"/>
    <w:rsid w:val="FD6D50A3"/>
    <w:rsid w:val="FD7C5F20"/>
    <w:rsid w:val="FD7E1EF0"/>
    <w:rsid w:val="FDABA8D4"/>
    <w:rsid w:val="FDB2B246"/>
    <w:rsid w:val="FDB636F5"/>
    <w:rsid w:val="FDD7464E"/>
    <w:rsid w:val="FDDB7A46"/>
    <w:rsid w:val="FDE79D46"/>
    <w:rsid w:val="FDEA5A3D"/>
    <w:rsid w:val="FDF30F3D"/>
    <w:rsid w:val="FDF314A6"/>
    <w:rsid w:val="FDF7A6CB"/>
    <w:rsid w:val="FDFA980E"/>
    <w:rsid w:val="FDFB39E1"/>
    <w:rsid w:val="FDFBA208"/>
    <w:rsid w:val="FDFBD123"/>
    <w:rsid w:val="FDFD04F5"/>
    <w:rsid w:val="FDFD6EA7"/>
    <w:rsid w:val="FDFDBC9E"/>
    <w:rsid w:val="FDFDBD3D"/>
    <w:rsid w:val="FDFE503B"/>
    <w:rsid w:val="FDFEE145"/>
    <w:rsid w:val="FDFF0595"/>
    <w:rsid w:val="FDFFA11B"/>
    <w:rsid w:val="FE0A198F"/>
    <w:rsid w:val="FE3E33FF"/>
    <w:rsid w:val="FE3E8201"/>
    <w:rsid w:val="FE3FD170"/>
    <w:rsid w:val="FE577F3A"/>
    <w:rsid w:val="FE5F972F"/>
    <w:rsid w:val="FE632206"/>
    <w:rsid w:val="FE76D35C"/>
    <w:rsid w:val="FE7E6C87"/>
    <w:rsid w:val="FE7F4991"/>
    <w:rsid w:val="FE9EC951"/>
    <w:rsid w:val="FEAF27EB"/>
    <w:rsid w:val="FEB54EE3"/>
    <w:rsid w:val="FEB7C12E"/>
    <w:rsid w:val="FEBB8F38"/>
    <w:rsid w:val="FECF6C42"/>
    <w:rsid w:val="FEDF6157"/>
    <w:rsid w:val="FEDFA75D"/>
    <w:rsid w:val="FEE8896F"/>
    <w:rsid w:val="FEEB26D7"/>
    <w:rsid w:val="FEEF44AC"/>
    <w:rsid w:val="FEEF8600"/>
    <w:rsid w:val="FEEFEA44"/>
    <w:rsid w:val="FEF16EB8"/>
    <w:rsid w:val="FEF7F2D5"/>
    <w:rsid w:val="FEFB1A0A"/>
    <w:rsid w:val="FEFBB63E"/>
    <w:rsid w:val="FEFBBDDB"/>
    <w:rsid w:val="FEFDE12D"/>
    <w:rsid w:val="FEFE23C3"/>
    <w:rsid w:val="FEFF4289"/>
    <w:rsid w:val="FEFFF31B"/>
    <w:rsid w:val="FF1DB2D3"/>
    <w:rsid w:val="FF274FB2"/>
    <w:rsid w:val="FF2CC795"/>
    <w:rsid w:val="FF3ECBC5"/>
    <w:rsid w:val="FF4EF693"/>
    <w:rsid w:val="FF51A474"/>
    <w:rsid w:val="FF58D269"/>
    <w:rsid w:val="FF5F4538"/>
    <w:rsid w:val="FF61C978"/>
    <w:rsid w:val="FF6B3694"/>
    <w:rsid w:val="FF6E826F"/>
    <w:rsid w:val="FF6F1C5A"/>
    <w:rsid w:val="FF74C0AA"/>
    <w:rsid w:val="FF7A13AF"/>
    <w:rsid w:val="FF7B3E72"/>
    <w:rsid w:val="FF7BD5A3"/>
    <w:rsid w:val="FF7DF3AF"/>
    <w:rsid w:val="FF7F1330"/>
    <w:rsid w:val="FF7F56E3"/>
    <w:rsid w:val="FF7F6320"/>
    <w:rsid w:val="FF7F6C39"/>
    <w:rsid w:val="FF7FEA4C"/>
    <w:rsid w:val="FF7FF3B0"/>
    <w:rsid w:val="FF874E5D"/>
    <w:rsid w:val="FF972825"/>
    <w:rsid w:val="FF973EA2"/>
    <w:rsid w:val="FF9DD61B"/>
    <w:rsid w:val="FF9F7D1A"/>
    <w:rsid w:val="FF9FBB7E"/>
    <w:rsid w:val="FFAB2BCB"/>
    <w:rsid w:val="FFAB987B"/>
    <w:rsid w:val="FFAFE34D"/>
    <w:rsid w:val="FFB51B81"/>
    <w:rsid w:val="FFB669F6"/>
    <w:rsid w:val="FFB7023F"/>
    <w:rsid w:val="FFB786DE"/>
    <w:rsid w:val="FFB7B7E5"/>
    <w:rsid w:val="FFB7F954"/>
    <w:rsid w:val="FFB9D38C"/>
    <w:rsid w:val="FFBA1370"/>
    <w:rsid w:val="FFBC04B3"/>
    <w:rsid w:val="FFBD51D2"/>
    <w:rsid w:val="FFBDD770"/>
    <w:rsid w:val="FFBFD0A7"/>
    <w:rsid w:val="FFBFE514"/>
    <w:rsid w:val="FFC4D8F8"/>
    <w:rsid w:val="FFCB852D"/>
    <w:rsid w:val="FFCE2707"/>
    <w:rsid w:val="FFD77314"/>
    <w:rsid w:val="FFD7C27D"/>
    <w:rsid w:val="FFDC462A"/>
    <w:rsid w:val="FFDECD79"/>
    <w:rsid w:val="FFDF5DF7"/>
    <w:rsid w:val="FFDF89D6"/>
    <w:rsid w:val="FFE68352"/>
    <w:rsid w:val="FFE700E5"/>
    <w:rsid w:val="FFEA24FB"/>
    <w:rsid w:val="FFED9412"/>
    <w:rsid w:val="FFEF228A"/>
    <w:rsid w:val="FFEF9262"/>
    <w:rsid w:val="FFF54589"/>
    <w:rsid w:val="FFF5EA64"/>
    <w:rsid w:val="FFF66F23"/>
    <w:rsid w:val="FFF7006A"/>
    <w:rsid w:val="FFF7A0A5"/>
    <w:rsid w:val="FFF7FC50"/>
    <w:rsid w:val="FFF9D18D"/>
    <w:rsid w:val="FFFA2E86"/>
    <w:rsid w:val="FFFB3CC4"/>
    <w:rsid w:val="FFFB54C1"/>
    <w:rsid w:val="FFFBBF96"/>
    <w:rsid w:val="FFFBE8D7"/>
    <w:rsid w:val="FFFD18B1"/>
    <w:rsid w:val="FFFD562A"/>
    <w:rsid w:val="FFFD5DF5"/>
    <w:rsid w:val="FFFDAEFE"/>
    <w:rsid w:val="FFFDDA30"/>
    <w:rsid w:val="FFFE495F"/>
    <w:rsid w:val="FFFE801C"/>
    <w:rsid w:val="FFFFD042"/>
    <w:rsid w:val="FFFFEC1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40" w:line="276" w:lineRule="auto"/>
    </w:pPr>
  </w:style>
  <w:style w:type="paragraph" w:styleId="3">
    <w:name w:val="annotation text"/>
    <w:basedOn w:val="1"/>
    <w:link w:val="20"/>
    <w:qFormat/>
    <w:uiPriority w:val="0"/>
    <w:pPr>
      <w:jc w:val="left"/>
    </w:pPr>
  </w:style>
  <w:style w:type="paragraph" w:styleId="4">
    <w:name w:val="Plain Text"/>
    <w:basedOn w:val="1"/>
    <w:qFormat/>
    <w:uiPriority w:val="99"/>
    <w:rPr>
      <w:rFonts w:ascii="宋体" w:hAnsi="Courier New" w:cs="Courier New"/>
      <w:szCs w:val="21"/>
    </w:rPr>
  </w:style>
  <w:style w:type="paragraph" w:styleId="5">
    <w:name w:val="Date"/>
    <w:basedOn w:val="1"/>
    <w:next w:val="1"/>
    <w:qFormat/>
    <w:uiPriority w:val="0"/>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autoSpaceDE w:val="0"/>
      <w:autoSpaceDN w:val="0"/>
      <w:adjustRightInd w:val="0"/>
      <w:spacing w:line="520" w:lineRule="exact"/>
      <w:jc w:val="center"/>
    </w:pPr>
    <w:rPr>
      <w:rFonts w:ascii="楷体_GB2312" w:eastAsia="楷体_GB2312"/>
      <w:kern w:val="0"/>
      <w:sz w:val="44"/>
      <w:szCs w:val="32"/>
      <w:lang w:val="zh-CN"/>
    </w:rPr>
  </w:style>
  <w:style w:type="paragraph" w:styleId="10">
    <w:name w:val="Normal (Web)"/>
    <w:basedOn w:val="1"/>
    <w:qFormat/>
    <w:uiPriority w:val="0"/>
    <w:pPr>
      <w:widowControl/>
      <w:spacing w:before="75" w:after="75"/>
      <w:jc w:val="left"/>
    </w:pPr>
    <w:rPr>
      <w:rFonts w:ascii="宋体" w:hAnsi="宋体" w:eastAsia="宋体" w:cs="宋体"/>
      <w:kern w:val="0"/>
      <w:sz w:val="24"/>
    </w:rPr>
  </w:style>
  <w:style w:type="paragraph" w:styleId="11">
    <w:name w:val="annotation subject"/>
    <w:basedOn w:val="3"/>
    <w:next w:val="3"/>
    <w:link w:val="21"/>
    <w:qFormat/>
    <w:uiPriority w:val="0"/>
    <w:rPr>
      <w:b/>
      <w:bCs/>
    </w:rPr>
  </w:style>
  <w:style w:type="paragraph" w:styleId="12">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character" w:styleId="15">
    <w:name w:val="page number"/>
    <w:qFormat/>
    <w:uiPriority w:val="0"/>
    <w:rPr>
      <w:rFonts w:cs="Times New Roman"/>
    </w:rPr>
  </w:style>
  <w:style w:type="character" w:styleId="16">
    <w:name w:val="Hyperlink"/>
    <w:basedOn w:val="14"/>
    <w:uiPriority w:val="0"/>
    <w:rPr>
      <w:color w:val="0000FF"/>
      <w:u w:val="single"/>
    </w:rPr>
  </w:style>
  <w:style w:type="character" w:styleId="17">
    <w:name w:val="annotation reference"/>
    <w:basedOn w:val="14"/>
    <w:qFormat/>
    <w:uiPriority w:val="0"/>
    <w:rPr>
      <w:sz w:val="21"/>
      <w:szCs w:val="21"/>
    </w:rPr>
  </w:style>
  <w:style w:type="character" w:customStyle="1" w:styleId="18">
    <w:name w:val="批注框文本 Char"/>
    <w:link w:val="6"/>
    <w:qFormat/>
    <w:uiPriority w:val="0"/>
    <w:rPr>
      <w:rFonts w:eastAsia="仿宋_GB2312"/>
      <w:kern w:val="2"/>
      <w:sz w:val="18"/>
      <w:szCs w:val="18"/>
    </w:rPr>
  </w:style>
  <w:style w:type="character" w:customStyle="1" w:styleId="19">
    <w:name w:val="页眉 Char"/>
    <w:link w:val="8"/>
    <w:qFormat/>
    <w:uiPriority w:val="0"/>
    <w:rPr>
      <w:rFonts w:eastAsia="仿宋_GB2312"/>
      <w:kern w:val="2"/>
      <w:sz w:val="18"/>
      <w:szCs w:val="18"/>
    </w:rPr>
  </w:style>
  <w:style w:type="character" w:customStyle="1" w:styleId="20">
    <w:name w:val="批注文字 Char"/>
    <w:basedOn w:val="14"/>
    <w:link w:val="3"/>
    <w:qFormat/>
    <w:uiPriority w:val="0"/>
    <w:rPr>
      <w:rFonts w:eastAsia="仿宋_GB2312"/>
      <w:kern w:val="2"/>
      <w:sz w:val="28"/>
    </w:rPr>
  </w:style>
  <w:style w:type="character" w:customStyle="1" w:styleId="21">
    <w:name w:val="批注主题 Char"/>
    <w:basedOn w:val="20"/>
    <w:link w:val="11"/>
    <w:qFormat/>
    <w:uiPriority w:val="0"/>
  </w:style>
  <w:style w:type="character" w:customStyle="1" w:styleId="22">
    <w:name w:val="15"/>
    <w:basedOn w:val="14"/>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Pages>
  <Words>958</Words>
  <Characters>5461</Characters>
  <Lines>1</Lines>
  <Paragraphs>1</Paragraphs>
  <TotalTime>32</TotalTime>
  <ScaleCrop>false</ScaleCrop>
  <LinksUpToDate>false</LinksUpToDate>
  <CharactersWithSpaces>6407</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2016-06-29T09:00:00Z</dcterms:created>
  <dc:creator>mm</dc:creator>
  <cp:lastModifiedBy>民三庭信箱</cp:lastModifiedBy>
  <cp:lastPrinted>2023-07-02T19:35:00Z</cp:lastPrinted>
  <dcterms:modified xsi:type="dcterms:W3CDTF">2026-06-02T09:33:18Z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39598A19DB1DBE3425B82867E0BFED7E</vt:lpwstr>
  </property>
</Properties>
</file>