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92" w:lineRule="exact"/>
        <w:ind w:left="0" w:leftChars="0" w:right="0" w:rightChars="0" w:firstLine="0" w:firstLineChars="0"/>
        <w:jc w:val="right"/>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2023</w:t>
      </w:r>
      <w:r>
        <w:rPr>
          <w:rFonts w:hint="eastAsia" w:ascii="仿宋_GB2312" w:hAnsi="Times New Roman" w:eastAsia="仿宋_GB2312" w:cs="仿宋_GB2312"/>
          <w:kern w:val="0"/>
          <w:sz w:val="32"/>
          <w:szCs w:val="32"/>
          <w:lang w:val="en-US" w:eastAsia="zh-CN" w:bidi="ar"/>
        </w:rPr>
        <w:t>）浙民终</w:t>
      </w:r>
      <w:r>
        <w:rPr>
          <w:rFonts w:hint="default" w:ascii="Times New Roman" w:hAnsi="Times New Roman" w:eastAsia="仿宋_GB2312" w:cs="Times New Roman"/>
          <w:kern w:val="0"/>
          <w:sz w:val="32"/>
          <w:szCs w:val="32"/>
          <w:lang w:val="en-US" w:eastAsia="zh-CN" w:bidi="ar"/>
        </w:rPr>
        <w:t>89</w:t>
      </w:r>
      <w:r>
        <w:rPr>
          <w:rFonts w:hint="eastAsia" w:ascii="仿宋_GB2312" w:hAnsi="Times New Roman" w:eastAsia="仿宋_GB2312" w:cs="仿宋_GB2312"/>
          <w:kern w:val="0"/>
          <w:sz w:val="32"/>
          <w:szCs w:val="32"/>
          <w:lang w:val="en-US" w:eastAsia="zh-CN" w:bidi="ar"/>
        </w:rPr>
        <w:t>号</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上诉人（原审被告）：</w:t>
      </w:r>
      <w:r>
        <w:rPr>
          <w:rFonts w:hint="eastAsia" w:ascii="仿宋_GB2312" w:hAnsi="Times New Roman" w:eastAsia="仿宋_GB2312" w:cs="仿宋_GB2312"/>
          <w:color w:val="000000"/>
          <w:kern w:val="0"/>
          <w:sz w:val="32"/>
          <w:szCs w:val="32"/>
          <w:lang w:val="en-US" w:eastAsia="zh-CN" w:bidi="ar"/>
        </w:rPr>
        <w:t>重庆小某科技有限公司</w:t>
      </w:r>
      <w:r>
        <w:rPr>
          <w:rFonts w:hint="eastAsia" w:ascii="仿宋_GB2312" w:hAnsi="Calibri" w:eastAsia="仿宋_GB2312" w:cs="仿宋_GB2312"/>
          <w:color w:val="000000"/>
          <w:kern w:val="0"/>
          <w:sz w:val="32"/>
          <w:szCs w:val="32"/>
          <w:lang w:val="en-US" w:eastAsia="zh-CN" w:bidi="ar"/>
        </w:rPr>
        <w:t>，住所地重庆市。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被上诉人（原审原告）：冯某甲，住重庆市。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原审被告：</w:t>
      </w:r>
      <w:r>
        <w:rPr>
          <w:rFonts w:hint="eastAsia" w:ascii="仿宋_GB2312" w:hAnsi="Times New Roman" w:eastAsia="仿宋_GB2312" w:cs="仿宋_GB2312"/>
          <w:color w:val="000000"/>
          <w:kern w:val="0"/>
          <w:sz w:val="32"/>
          <w:szCs w:val="32"/>
          <w:lang w:val="en-US" w:eastAsia="zh-CN" w:bidi="ar"/>
        </w:rPr>
        <w:t>重庆摩某贸易有限公司</w:t>
      </w:r>
      <w:r>
        <w:rPr>
          <w:rFonts w:hint="eastAsia" w:ascii="仿宋_GB2312" w:hAnsi="Calibri" w:eastAsia="仿宋_GB2312" w:cs="仿宋_GB2312"/>
          <w:color w:val="000000"/>
          <w:kern w:val="0"/>
          <w:sz w:val="32"/>
          <w:szCs w:val="32"/>
          <w:lang w:val="en-US" w:eastAsia="zh-CN" w:bidi="ar"/>
        </w:rPr>
        <w:t>，住所地重庆市。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原审被告：牟某，住重庆市。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原审被告：龚某甲，住重庆市。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原审被告：龚某乙，住重庆市。</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上诉人</w:t>
      </w:r>
      <w:r>
        <w:rPr>
          <w:rFonts w:hint="eastAsia" w:ascii="仿宋_GB2312" w:hAnsi="Times New Roman" w:eastAsia="仿宋_GB2312" w:cs="仿宋_GB2312"/>
          <w:color w:val="000000"/>
          <w:kern w:val="0"/>
          <w:sz w:val="32"/>
          <w:szCs w:val="32"/>
          <w:lang w:val="en-US" w:eastAsia="zh-CN" w:bidi="ar"/>
        </w:rPr>
        <w:t>重庆小某科技有限公司</w:t>
      </w:r>
      <w:r>
        <w:rPr>
          <w:rFonts w:hint="eastAsia" w:ascii="仿宋_GB2312" w:hAnsi="Calibri" w:eastAsia="仿宋_GB2312" w:cs="仿宋_GB2312"/>
          <w:color w:val="000000"/>
          <w:kern w:val="0"/>
          <w:sz w:val="32"/>
          <w:szCs w:val="32"/>
          <w:lang w:val="en-US" w:eastAsia="zh-CN" w:bidi="ar"/>
        </w:rPr>
        <w:t>（以下简称</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）因与被上诉人冯某甲、原审被告</w:t>
      </w:r>
      <w:r>
        <w:rPr>
          <w:rFonts w:hint="eastAsia" w:ascii="仿宋_GB2312" w:hAnsi="Times New Roman" w:eastAsia="仿宋_GB2312" w:cs="仿宋_GB2312"/>
          <w:color w:val="000000"/>
          <w:kern w:val="0"/>
          <w:sz w:val="32"/>
          <w:szCs w:val="32"/>
          <w:lang w:val="en-US" w:eastAsia="zh-CN" w:bidi="ar"/>
        </w:rPr>
        <w:t>重庆摩某贸易有限公司</w:t>
      </w:r>
      <w:r>
        <w:rPr>
          <w:rFonts w:hint="eastAsia" w:ascii="仿宋_GB2312" w:hAnsi="Calibri" w:eastAsia="仿宋_GB2312" w:cs="仿宋_GB2312"/>
          <w:color w:val="000000"/>
          <w:kern w:val="0"/>
          <w:sz w:val="32"/>
          <w:szCs w:val="32"/>
          <w:lang w:val="en-US" w:eastAsia="zh-CN" w:bidi="ar"/>
        </w:rPr>
        <w:t>（以下简称</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）、牟某、龚某甲、龚某乙侵害外观设计专利权纠纷一案，不服浙江省杭州市中级人民法院（</w:t>
      </w:r>
      <w:r>
        <w:rPr>
          <w:rFonts w:hint="default" w:ascii="Times New Roman" w:hAnsi="Times New Roman" w:eastAsia="仿宋_GB2312" w:cs="Times New Roman"/>
          <w:color w:val="000000"/>
          <w:kern w:val="0"/>
          <w:sz w:val="32"/>
          <w:szCs w:val="32"/>
          <w:lang w:val="en-US" w:eastAsia="zh-CN" w:bidi="ar"/>
        </w:rPr>
        <w:t>2022</w:t>
      </w:r>
      <w:r>
        <w:rPr>
          <w:rFonts w:hint="eastAsia" w:ascii="仿宋_GB2312" w:hAnsi="Calibri" w:eastAsia="仿宋_GB2312" w:cs="仿宋_GB2312"/>
          <w:color w:val="000000"/>
          <w:kern w:val="0"/>
          <w:sz w:val="32"/>
          <w:szCs w:val="32"/>
          <w:lang w:val="en-US" w:eastAsia="zh-CN" w:bidi="ar"/>
        </w:rPr>
        <w:t>）浙</w:t>
      </w:r>
      <w:r>
        <w:rPr>
          <w:rFonts w:hint="default" w:ascii="Times New Roman" w:hAnsi="Times New Roman" w:eastAsia="仿宋_GB2312" w:cs="Times New Roman"/>
          <w:color w:val="000000"/>
          <w:kern w:val="0"/>
          <w:sz w:val="32"/>
          <w:szCs w:val="32"/>
          <w:lang w:val="en-US" w:eastAsia="zh-CN" w:bidi="ar"/>
        </w:rPr>
        <w:t>01</w:t>
      </w:r>
      <w:r>
        <w:rPr>
          <w:rFonts w:hint="eastAsia" w:ascii="仿宋_GB2312" w:hAnsi="Calibri" w:eastAsia="仿宋_GB2312" w:cs="仿宋_GB2312"/>
          <w:color w:val="000000"/>
          <w:kern w:val="0"/>
          <w:sz w:val="32"/>
          <w:szCs w:val="32"/>
          <w:lang w:val="en-US" w:eastAsia="zh-CN" w:bidi="ar"/>
        </w:rPr>
        <w:t>民初</w:t>
      </w:r>
      <w:r>
        <w:rPr>
          <w:rFonts w:hint="default" w:ascii="Times New Roman" w:hAnsi="Times New Roman" w:eastAsia="仿宋_GB2312" w:cs="Times New Roman"/>
          <w:color w:val="000000"/>
          <w:kern w:val="0"/>
          <w:sz w:val="32"/>
          <w:szCs w:val="32"/>
          <w:lang w:val="en-US" w:eastAsia="zh-CN" w:bidi="ar"/>
        </w:rPr>
        <w:t>981</w:t>
      </w:r>
      <w:r>
        <w:rPr>
          <w:rFonts w:hint="eastAsia" w:ascii="仿宋_GB2312" w:hAnsi="Calibri" w:eastAsia="仿宋_GB2312" w:cs="仿宋_GB2312"/>
          <w:color w:val="000000"/>
          <w:kern w:val="0"/>
          <w:sz w:val="32"/>
          <w:szCs w:val="32"/>
          <w:lang w:val="en-US" w:eastAsia="zh-CN" w:bidi="ar"/>
        </w:rPr>
        <w:t>号民事判决，向本院提起上诉。本院于</w:t>
      </w:r>
      <w:r>
        <w:rPr>
          <w:rFonts w:hint="default" w:ascii="Times New Roman" w:hAnsi="Times New Roman" w:eastAsia="仿宋_GB2312" w:cs="Times New Roman"/>
          <w:color w:val="000000"/>
          <w:kern w:val="0"/>
          <w:sz w:val="32"/>
          <w:szCs w:val="32"/>
          <w:lang w:val="en-US" w:eastAsia="zh-CN" w:bidi="ar"/>
        </w:rPr>
        <w:t>2023</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30</w:t>
      </w:r>
      <w:r>
        <w:rPr>
          <w:rFonts w:hint="eastAsia" w:ascii="仿宋_GB2312" w:hAnsi="Calibri" w:eastAsia="仿宋_GB2312" w:cs="仿宋_GB2312"/>
          <w:color w:val="000000"/>
          <w:kern w:val="0"/>
          <w:sz w:val="32"/>
          <w:szCs w:val="32"/>
          <w:lang w:val="en-US" w:eastAsia="zh-CN" w:bidi="ar"/>
        </w:rPr>
        <w:t>日立案受理后，依法组成合议庭进行了审理。本案现已审理终结。</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上诉请求：撤销一审判决，改判驳回冯某甲的全部诉请；本案诉讼费用由冯某甲承担。事实和理由：一审判决认定被诉侵权设计与涉案专利构成近似，被诉侵权产品落入涉案专利权保护范围错误。（一）一审判决对涉案</w:t>
      </w:r>
      <w:r>
        <w:rPr>
          <w:rFonts w:hint="eastAsia" w:ascii="仿宋_GB2312" w:hAnsi="Times New Roman" w:eastAsia="仿宋_GB2312" w:cs="仿宋_GB2312"/>
          <w:color w:val="000000"/>
          <w:kern w:val="0"/>
          <w:sz w:val="32"/>
          <w:szCs w:val="32"/>
          <w:lang w:val="en-US" w:eastAsia="zh-CN" w:bidi="ar"/>
        </w:rPr>
        <w:t>专利</w:t>
      </w:r>
      <w:r>
        <w:rPr>
          <w:rFonts w:hint="eastAsia" w:ascii="仿宋_GB2312" w:hAnsi="Calibri" w:eastAsia="仿宋_GB2312" w:cs="仿宋_GB2312"/>
          <w:color w:val="000000"/>
          <w:kern w:val="0"/>
          <w:sz w:val="32"/>
          <w:szCs w:val="32"/>
          <w:lang w:val="en-US" w:eastAsia="zh-CN" w:bidi="ar"/>
        </w:rPr>
        <w:t>产品一般消费者的认定有误。涉案专利产品的一般消费者应当是对摩托车手把罩产品的外观设计造型和功能有一定认识的人。（二）一审判决将功能性限定的产品设计特征和现有设计特征作为涉案专利</w:t>
      </w:r>
      <w:r>
        <w:rPr>
          <w:rFonts w:hint="eastAsia" w:ascii="仿宋_GB2312" w:hAnsi="Times New Roman" w:eastAsia="仿宋_GB2312" w:cs="仿宋_GB2312"/>
          <w:color w:val="000000"/>
          <w:kern w:val="0"/>
          <w:sz w:val="32"/>
          <w:szCs w:val="32"/>
          <w:lang w:val="en-US" w:eastAsia="zh-CN" w:bidi="ar"/>
        </w:rPr>
        <w:t>权</w:t>
      </w:r>
      <w:r>
        <w:rPr>
          <w:rFonts w:hint="eastAsia" w:ascii="仿宋_GB2312" w:hAnsi="Calibri" w:eastAsia="仿宋_GB2312" w:cs="仿宋_GB2312"/>
          <w:color w:val="000000"/>
          <w:kern w:val="0"/>
          <w:sz w:val="32"/>
          <w:szCs w:val="32"/>
          <w:lang w:val="en-US" w:eastAsia="zh-CN" w:bidi="ar"/>
        </w:rPr>
        <w:t>保护范围错误。</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涉案产品的功能在于护手，同时减</w:t>
      </w:r>
      <w:r>
        <w:rPr>
          <w:rFonts w:hint="eastAsia" w:ascii="仿宋_GB2312" w:hAnsi="Times New Roman" w:eastAsia="仿宋_GB2312" w:cs="仿宋_GB2312"/>
          <w:color w:val="000000"/>
          <w:kern w:val="0"/>
          <w:sz w:val="32"/>
          <w:szCs w:val="32"/>
          <w:lang w:val="en-US" w:eastAsia="zh-CN" w:bidi="ar"/>
        </w:rPr>
        <w:t>小</w:t>
      </w:r>
      <w:r>
        <w:rPr>
          <w:rFonts w:hint="eastAsia" w:ascii="仿宋_GB2312" w:hAnsi="Calibri" w:eastAsia="仿宋_GB2312" w:cs="仿宋_GB2312"/>
          <w:color w:val="000000"/>
          <w:kern w:val="0"/>
          <w:sz w:val="32"/>
          <w:szCs w:val="32"/>
          <w:lang w:val="en-US" w:eastAsia="zh-CN" w:bidi="ar"/>
        </w:rPr>
        <w:t>挡风面和车行驶的阻力，故其外观设计为圆润勺子状系技术功能所决定。</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Calibri" w:eastAsia="仿宋_GB2312" w:cs="仿宋_GB2312"/>
          <w:color w:val="000000"/>
          <w:kern w:val="0"/>
          <w:sz w:val="32"/>
          <w:szCs w:val="32"/>
          <w:lang w:val="en-US" w:eastAsia="zh-CN" w:bidi="ar"/>
        </w:rPr>
        <w:t>涉案产品系较为成熟的产品，涉案专利在现有设计</w:t>
      </w:r>
      <w:r>
        <w:rPr>
          <w:rFonts w:hint="eastAsia" w:ascii="仿宋_GB2312" w:hAnsi="Times New Roman" w:eastAsia="仿宋_GB2312" w:cs="仿宋_GB2312"/>
          <w:color w:val="000000"/>
          <w:kern w:val="0"/>
          <w:sz w:val="32"/>
          <w:szCs w:val="32"/>
          <w:lang w:val="en-US" w:eastAsia="zh-CN" w:bidi="ar"/>
        </w:rPr>
        <w:t>基础</w:t>
      </w:r>
      <w:r>
        <w:rPr>
          <w:rFonts w:hint="eastAsia" w:ascii="仿宋_GB2312" w:hAnsi="Calibri" w:eastAsia="仿宋_GB2312" w:cs="仿宋_GB2312"/>
          <w:color w:val="000000"/>
          <w:kern w:val="0"/>
          <w:sz w:val="32"/>
          <w:szCs w:val="32"/>
          <w:lang w:val="en-US" w:eastAsia="zh-CN" w:bidi="ar"/>
        </w:rPr>
        <w:t>上</w:t>
      </w:r>
      <w:r>
        <w:rPr>
          <w:rFonts w:hint="eastAsia" w:ascii="仿宋_GB2312" w:hAnsi="Times New Roman" w:eastAsia="仿宋_GB2312" w:cs="仿宋_GB2312"/>
          <w:color w:val="000000"/>
          <w:kern w:val="0"/>
          <w:sz w:val="32"/>
          <w:szCs w:val="32"/>
          <w:lang w:val="en-US" w:eastAsia="zh-CN" w:bidi="ar"/>
        </w:rPr>
        <w:t>的</w:t>
      </w:r>
      <w:r>
        <w:rPr>
          <w:rFonts w:hint="eastAsia" w:ascii="仿宋_GB2312" w:hAnsi="Calibri" w:eastAsia="仿宋_GB2312" w:cs="仿宋_GB2312"/>
          <w:color w:val="000000"/>
          <w:kern w:val="0"/>
          <w:sz w:val="32"/>
          <w:szCs w:val="32"/>
          <w:lang w:val="en-US" w:eastAsia="zh-CN" w:bidi="ar"/>
        </w:rPr>
        <w:t>改进设计不构成</w:t>
      </w:r>
      <w:r>
        <w:rPr>
          <w:rFonts w:hint="eastAsia" w:ascii="仿宋_GB2312" w:hAnsi="Times New Roman" w:eastAsia="仿宋_GB2312" w:cs="仿宋_GB2312"/>
          <w:color w:val="000000"/>
          <w:kern w:val="0"/>
          <w:sz w:val="32"/>
          <w:szCs w:val="32"/>
          <w:lang w:val="en-US" w:eastAsia="zh-CN" w:bidi="ar"/>
        </w:rPr>
        <w:t>该专利的</w:t>
      </w:r>
      <w:r>
        <w:rPr>
          <w:rFonts w:hint="eastAsia" w:ascii="仿宋_GB2312" w:hAnsi="Calibri" w:eastAsia="仿宋_GB2312" w:cs="仿宋_GB2312"/>
          <w:color w:val="000000"/>
          <w:kern w:val="0"/>
          <w:sz w:val="32"/>
          <w:szCs w:val="32"/>
          <w:lang w:val="en-US" w:eastAsia="zh-CN" w:bidi="ar"/>
        </w:rPr>
        <w:t>设计特征。</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被诉侵权设计</w:t>
      </w:r>
      <w:r>
        <w:rPr>
          <w:rFonts w:hint="eastAsia" w:ascii="仿宋_GB2312" w:hAnsi="Times New Roman" w:eastAsia="仿宋_GB2312" w:cs="仿宋_GB2312"/>
          <w:color w:val="000000"/>
          <w:kern w:val="0"/>
          <w:sz w:val="32"/>
          <w:szCs w:val="32"/>
          <w:lang w:val="en-US" w:eastAsia="zh-CN" w:bidi="ar"/>
        </w:rPr>
        <w:t>也获得了</w:t>
      </w:r>
      <w:r>
        <w:rPr>
          <w:rFonts w:hint="eastAsia" w:ascii="仿宋_GB2312" w:hAnsi="Calibri" w:eastAsia="仿宋_GB2312" w:cs="仿宋_GB2312"/>
          <w:color w:val="000000"/>
          <w:kern w:val="0"/>
          <w:sz w:val="32"/>
          <w:szCs w:val="32"/>
          <w:lang w:val="en-US" w:eastAsia="zh-CN" w:bidi="ar"/>
        </w:rPr>
        <w:t>专利</w:t>
      </w:r>
      <w:r>
        <w:rPr>
          <w:rFonts w:hint="eastAsia" w:ascii="仿宋_GB2312" w:hAnsi="Times New Roman" w:eastAsia="仿宋_GB2312" w:cs="仿宋_GB2312"/>
          <w:color w:val="000000"/>
          <w:kern w:val="0"/>
          <w:sz w:val="32"/>
          <w:szCs w:val="32"/>
          <w:lang w:val="en-US" w:eastAsia="zh-CN" w:bidi="ar"/>
        </w:rPr>
        <w:t>授权，该专利</w:t>
      </w:r>
      <w:r>
        <w:rPr>
          <w:rFonts w:hint="eastAsia" w:ascii="仿宋_GB2312" w:hAnsi="Calibri" w:eastAsia="仿宋_GB2312" w:cs="仿宋_GB2312"/>
          <w:color w:val="000000"/>
          <w:kern w:val="0"/>
          <w:sz w:val="32"/>
          <w:szCs w:val="32"/>
          <w:lang w:val="en-US" w:eastAsia="zh-CN" w:bidi="ar"/>
        </w:rPr>
        <w:t>评价报告认定</w:t>
      </w:r>
      <w:r>
        <w:rPr>
          <w:rFonts w:hint="eastAsia" w:ascii="仿宋_GB2312" w:hAnsi="Times New Roman" w:eastAsia="仿宋_GB2312" w:cs="仿宋_GB2312"/>
          <w:color w:val="000000"/>
          <w:kern w:val="0"/>
          <w:sz w:val="32"/>
          <w:szCs w:val="32"/>
          <w:lang w:val="en-US" w:eastAsia="zh-CN" w:bidi="ar"/>
        </w:rPr>
        <w:t>其</w:t>
      </w:r>
      <w:r>
        <w:rPr>
          <w:rFonts w:hint="eastAsia" w:ascii="仿宋_GB2312" w:hAnsi="Calibri" w:eastAsia="仿宋_GB2312" w:cs="仿宋_GB2312"/>
          <w:color w:val="000000"/>
          <w:kern w:val="0"/>
          <w:sz w:val="32"/>
          <w:szCs w:val="32"/>
          <w:lang w:val="en-US" w:eastAsia="zh-CN" w:bidi="ar"/>
        </w:rPr>
        <w:t>与涉案专利以及其他现有设计</w:t>
      </w:r>
      <w:r>
        <w:rPr>
          <w:rFonts w:hint="eastAsia" w:ascii="仿宋_GB2312" w:hAnsi="Times New Roman" w:eastAsia="仿宋_GB2312" w:cs="仿宋_GB2312"/>
          <w:color w:val="000000"/>
          <w:kern w:val="0"/>
          <w:sz w:val="32"/>
          <w:szCs w:val="32"/>
          <w:lang w:val="en-US" w:eastAsia="zh-CN" w:bidi="ar"/>
        </w:rPr>
        <w:t>的</w:t>
      </w:r>
      <w:r>
        <w:rPr>
          <w:rFonts w:hint="eastAsia" w:ascii="仿宋_GB2312" w:hAnsi="Calibri" w:eastAsia="仿宋_GB2312" w:cs="仿宋_GB2312"/>
          <w:color w:val="000000"/>
          <w:kern w:val="0"/>
          <w:sz w:val="32"/>
          <w:szCs w:val="32"/>
          <w:lang w:val="en-US" w:eastAsia="zh-CN" w:bidi="ar"/>
        </w:rPr>
        <w:t>设计</w:t>
      </w:r>
      <w:r>
        <w:rPr>
          <w:rFonts w:hint="eastAsia" w:ascii="仿宋_GB2312" w:hAnsi="Times New Roman" w:eastAsia="仿宋_GB2312" w:cs="仿宋_GB2312"/>
          <w:color w:val="000000"/>
          <w:kern w:val="0"/>
          <w:sz w:val="32"/>
          <w:szCs w:val="32"/>
          <w:lang w:val="en-US" w:eastAsia="zh-CN" w:bidi="ar"/>
        </w:rPr>
        <w:t>特征</w:t>
      </w:r>
      <w:r>
        <w:rPr>
          <w:rFonts w:hint="eastAsia" w:ascii="仿宋_GB2312" w:hAnsi="Calibri" w:eastAsia="仿宋_GB2312" w:cs="仿宋_GB2312"/>
          <w:color w:val="000000"/>
          <w:kern w:val="0"/>
          <w:sz w:val="32"/>
          <w:szCs w:val="32"/>
          <w:lang w:val="en-US" w:eastAsia="zh-CN" w:bidi="ar"/>
        </w:rPr>
        <w:t>存在区别，故被诉侵权设计与涉案专利不构成近似。</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冯某甲辩称，</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一审判决对于一般消费者的认定正确</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一般消费者不</w:t>
      </w:r>
      <w:r>
        <w:rPr>
          <w:rFonts w:hint="eastAsia" w:ascii="仿宋_GB2312" w:hAnsi="Times New Roman" w:eastAsia="仿宋_GB2312" w:cs="仿宋_GB2312"/>
          <w:color w:val="000000"/>
          <w:kern w:val="0"/>
          <w:sz w:val="32"/>
          <w:szCs w:val="32"/>
          <w:lang w:val="en-US" w:eastAsia="zh-CN" w:bidi="ar"/>
        </w:rPr>
        <w:t>应</w:t>
      </w:r>
      <w:r>
        <w:rPr>
          <w:rFonts w:hint="eastAsia" w:ascii="仿宋_GB2312" w:hAnsi="Calibri" w:eastAsia="仿宋_GB2312" w:cs="仿宋_GB2312"/>
          <w:color w:val="000000"/>
          <w:kern w:val="0"/>
          <w:sz w:val="32"/>
          <w:szCs w:val="32"/>
          <w:lang w:val="en-US" w:eastAsia="zh-CN" w:bidi="ar"/>
        </w:rPr>
        <w:t>是专利授权后对涉案专利产品有所认识的消费者。</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Calibri" w:eastAsia="仿宋_GB2312" w:cs="仿宋_GB2312"/>
          <w:color w:val="000000"/>
          <w:kern w:val="0"/>
          <w:sz w:val="32"/>
          <w:szCs w:val="32"/>
          <w:lang w:val="en-US" w:eastAsia="zh-CN" w:bidi="ar"/>
        </w:rPr>
        <w:t>涉案产品形状并</w:t>
      </w:r>
      <w:r>
        <w:rPr>
          <w:rFonts w:hint="eastAsia" w:ascii="仿宋_GB2312" w:hAnsi="Times New Roman" w:eastAsia="仿宋_GB2312" w:cs="仿宋_GB2312"/>
          <w:color w:val="000000"/>
          <w:kern w:val="0"/>
          <w:sz w:val="32"/>
          <w:szCs w:val="32"/>
          <w:lang w:val="en-US" w:eastAsia="zh-CN" w:bidi="ar"/>
        </w:rPr>
        <w:t>非</w:t>
      </w:r>
      <w:r>
        <w:rPr>
          <w:rFonts w:hint="eastAsia" w:ascii="仿宋_GB2312" w:hAnsi="Calibri" w:eastAsia="仿宋_GB2312" w:cs="仿宋_GB2312"/>
          <w:color w:val="000000"/>
          <w:kern w:val="0"/>
          <w:sz w:val="32"/>
          <w:szCs w:val="32"/>
          <w:lang w:val="en-US" w:eastAsia="zh-CN" w:bidi="ar"/>
        </w:rPr>
        <w:t>由技术功能所决定的设计特征</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主张被诉侵权设计与涉案专利不构成近似没有依据。</w:t>
      </w:r>
      <w:r>
        <w:rPr>
          <w:rFonts w:hint="eastAsia" w:ascii="仿宋_GB2312" w:hAnsi="Times New Roman" w:eastAsia="仿宋_GB2312" w:cs="仿宋_GB2312"/>
          <w:color w:val="000000"/>
          <w:kern w:val="0"/>
          <w:sz w:val="32"/>
          <w:szCs w:val="32"/>
          <w:lang w:val="en-US" w:eastAsia="zh-CN" w:bidi="ar"/>
        </w:rPr>
        <w:t>请求驳回上诉，</w:t>
      </w:r>
      <w:r>
        <w:rPr>
          <w:rFonts w:hint="eastAsia" w:ascii="仿宋_GB2312" w:hAnsi="Calibri" w:eastAsia="仿宋_GB2312" w:cs="仿宋_GB2312"/>
          <w:color w:val="000000"/>
          <w:kern w:val="0"/>
          <w:sz w:val="32"/>
          <w:szCs w:val="32"/>
          <w:lang w:val="en-US" w:eastAsia="zh-CN" w:bidi="ar"/>
        </w:rPr>
        <w:t>维持</w:t>
      </w:r>
      <w:r>
        <w:rPr>
          <w:rFonts w:hint="eastAsia" w:ascii="仿宋_GB2312" w:hAnsi="Times New Roman" w:eastAsia="仿宋_GB2312" w:cs="仿宋_GB2312"/>
          <w:color w:val="000000"/>
          <w:kern w:val="0"/>
          <w:sz w:val="32"/>
          <w:szCs w:val="32"/>
          <w:lang w:val="en-US" w:eastAsia="zh-CN" w:bidi="ar"/>
        </w:rPr>
        <w:t>原判</w:t>
      </w:r>
      <w:r>
        <w:rPr>
          <w:rFonts w:hint="eastAsia" w:ascii="仿宋_GB2312" w:hAnsi="Calibri" w:eastAsia="仿宋_GB2312" w:cs="仿宋_GB2312"/>
          <w:color w:val="000000"/>
          <w:kern w:val="0"/>
          <w:sz w:val="32"/>
          <w:szCs w:val="32"/>
          <w:lang w:val="en-US" w:eastAsia="zh-CN" w:bidi="ar"/>
        </w:rPr>
        <w:t>。</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、牟某、龚某甲、龚某丙未陈述意见。</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冯某甲向一审法院起诉，请求判令：</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立即停止生产、销售、许诺销售侵犯冯某甲</w:t>
      </w:r>
      <w:r>
        <w:rPr>
          <w:rFonts w:hint="default" w:ascii="Times New Roman" w:hAnsi="Times New Roman" w:eastAsia="仿宋_GB2312" w:cs="Times New Roman"/>
          <w:color w:val="000000"/>
          <w:kern w:val="0"/>
          <w:sz w:val="32"/>
          <w:szCs w:val="32"/>
          <w:lang w:val="en-US" w:eastAsia="zh-CN" w:bidi="ar"/>
        </w:rPr>
        <w:t>ZL2017xxxx8662.3</w:t>
      </w:r>
      <w:r>
        <w:rPr>
          <w:rFonts w:hint="eastAsia" w:ascii="仿宋_GB2312" w:hAnsi="Calibri" w:eastAsia="仿宋_GB2312" w:cs="仿宋_GB2312"/>
          <w:color w:val="000000"/>
          <w:kern w:val="0"/>
          <w:sz w:val="32"/>
          <w:szCs w:val="32"/>
          <w:lang w:val="en-US" w:eastAsia="zh-CN" w:bidi="ar"/>
        </w:rPr>
        <w:t>号外观设计专利的摩托车手把护罩，销毁模具及库存侵权产品，</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、牟某、龚某甲、龚某乙立即停止销售、许诺销售行为；</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、牟某、龚某甲、龚某乙连带赔偿冯某甲经济损失</w:t>
      </w:r>
      <w:r>
        <w:rPr>
          <w:rFonts w:hint="default" w:ascii="Times New Roman" w:hAnsi="Times New Roman" w:eastAsia="仿宋_GB2312" w:cs="Times New Roman"/>
          <w:color w:val="000000"/>
          <w:kern w:val="0"/>
          <w:sz w:val="32"/>
          <w:szCs w:val="32"/>
          <w:lang w:val="en-US" w:eastAsia="zh-CN" w:bidi="ar"/>
        </w:rPr>
        <w:t>50</w:t>
      </w:r>
      <w:r>
        <w:rPr>
          <w:rFonts w:hint="eastAsia" w:ascii="仿宋_GB2312" w:hAnsi="Calibri" w:eastAsia="仿宋_GB2312" w:cs="仿宋_GB2312"/>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、牟某、龚某甲、龚某乙连带赔偿冯某甲合理维权开支</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Calibri" w:eastAsia="仿宋_GB2312" w:cs="仿宋_GB2312"/>
          <w:color w:val="000000"/>
          <w:kern w:val="0"/>
          <w:sz w:val="32"/>
          <w:szCs w:val="32"/>
          <w:lang w:val="en-US" w:eastAsia="zh-CN" w:bidi="ar"/>
        </w:rPr>
        <w:t>万元；</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、牟某、龚某甲、龚某乙共同承担本案的诉讼费用。</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一审法院认定事实：</w:t>
      </w:r>
      <w:r>
        <w:rPr>
          <w:rFonts w:hint="default" w:ascii="Times New Roman" w:hAnsi="Times New Roman" w:eastAsia="仿宋_GB2312" w:cs="Times New Roman"/>
          <w:color w:val="000000"/>
          <w:kern w:val="0"/>
          <w:sz w:val="32"/>
          <w:szCs w:val="32"/>
          <w:lang w:val="en-US" w:eastAsia="zh-CN" w:bidi="ar"/>
        </w:rPr>
        <w:t>2017</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11</w:t>
      </w:r>
      <w:r>
        <w:rPr>
          <w:rFonts w:hint="eastAsia" w:ascii="仿宋_GB2312" w:hAnsi="Calibri" w:eastAsia="仿宋_GB2312" w:cs="仿宋_GB2312"/>
          <w:color w:val="000000"/>
          <w:kern w:val="0"/>
          <w:sz w:val="32"/>
          <w:szCs w:val="32"/>
          <w:lang w:val="en-US" w:eastAsia="zh-CN" w:bidi="ar"/>
        </w:rPr>
        <w:t>日，冯某甲向国家知识产权局申请了一种</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摩托车手把护罩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的外观设计专利，</w:t>
      </w:r>
      <w:r>
        <w:rPr>
          <w:rFonts w:hint="default" w:ascii="Times New Roman" w:hAnsi="Times New Roman" w:eastAsia="仿宋_GB2312" w:cs="Times New Roman"/>
          <w:color w:val="000000"/>
          <w:kern w:val="0"/>
          <w:sz w:val="32"/>
          <w:szCs w:val="32"/>
          <w:lang w:val="en-US" w:eastAsia="zh-CN" w:bidi="ar"/>
        </w:rPr>
        <w:t>2018</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30</w:t>
      </w:r>
      <w:r>
        <w:rPr>
          <w:rFonts w:hint="eastAsia" w:ascii="仿宋_GB2312" w:hAnsi="Calibri" w:eastAsia="仿宋_GB2312" w:cs="仿宋_GB2312"/>
          <w:color w:val="000000"/>
          <w:kern w:val="0"/>
          <w:sz w:val="32"/>
          <w:szCs w:val="32"/>
          <w:lang w:val="en-US" w:eastAsia="zh-CN" w:bidi="ar"/>
        </w:rPr>
        <w:t>日授权公告，专利号为</w:t>
      </w:r>
      <w:r>
        <w:rPr>
          <w:rFonts w:hint="default" w:ascii="Times New Roman" w:hAnsi="Times New Roman" w:eastAsia="仿宋_GB2312" w:cs="Times New Roman"/>
          <w:color w:val="000000"/>
          <w:kern w:val="0"/>
          <w:sz w:val="32"/>
          <w:szCs w:val="32"/>
          <w:lang w:val="en-US" w:eastAsia="zh-CN" w:bidi="ar"/>
        </w:rPr>
        <w:t>ZL2017xxxx8662.3</w:t>
      </w:r>
      <w:r>
        <w:rPr>
          <w:rFonts w:hint="eastAsia" w:ascii="仿宋_GB2312" w:hAnsi="Calibri" w:eastAsia="仿宋_GB2312" w:cs="仿宋_GB2312"/>
          <w:color w:val="000000"/>
          <w:kern w:val="0"/>
          <w:sz w:val="32"/>
          <w:szCs w:val="32"/>
          <w:lang w:val="en-US" w:eastAsia="zh-CN" w:bidi="ar"/>
        </w:rPr>
        <w:t>，年费按时缴纳。简要说明中记载该外观设计的设计要点在于形状和轮廓，最能表明设计要点的图片或照片为主视图。该专利至今维持有效。</w:t>
      </w: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10</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19</w:t>
      </w:r>
      <w:r>
        <w:rPr>
          <w:rFonts w:hint="eastAsia" w:ascii="仿宋_GB2312" w:hAnsi="Calibri" w:eastAsia="仿宋_GB2312" w:cs="仿宋_GB2312"/>
          <w:color w:val="000000"/>
          <w:kern w:val="0"/>
          <w:sz w:val="32"/>
          <w:szCs w:val="32"/>
          <w:lang w:val="en-US" w:eastAsia="zh-CN" w:bidi="ar"/>
        </w:rPr>
        <w:t>日，国家知识产权局针对涉案专利出具《外观设计专利权评价报告》一份，初步结论为全部外观设计未发现存在不符合授予专利权条件的缺陷。</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Calibri" w:eastAsia="仿宋_GB2312" w:cs="仿宋_GB2312"/>
          <w:color w:val="000000"/>
          <w:kern w:val="0"/>
          <w:sz w:val="32"/>
          <w:szCs w:val="32"/>
          <w:lang w:val="en-US" w:eastAsia="zh-CN" w:bidi="ar"/>
        </w:rPr>
        <w:t>日，冯某甲的代理人郑某在龚某乙经营的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某甲店</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淘宝店铺内以</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元的价格购买了一套摩托车把手护罩，销售链接名显示为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摩托车挡风护手罩防雨无极黄龙春风本田</w:t>
      </w:r>
      <w:r>
        <w:rPr>
          <w:rFonts w:hint="default" w:ascii="Times New Roman" w:hAnsi="Times New Roman" w:eastAsia="仿宋_GB2312" w:cs="Times New Roman"/>
          <w:color w:val="000000"/>
          <w:kern w:val="0"/>
          <w:sz w:val="32"/>
          <w:szCs w:val="32"/>
          <w:lang w:val="en-US" w:eastAsia="zh-CN" w:bidi="ar"/>
        </w:rPr>
        <w:t>pcx</w:t>
      </w:r>
      <w:r>
        <w:rPr>
          <w:rFonts w:hint="eastAsia" w:ascii="仿宋_GB2312" w:hAnsi="Calibri" w:eastAsia="仿宋_GB2312" w:cs="仿宋_GB2312"/>
          <w:color w:val="000000"/>
          <w:kern w:val="0"/>
          <w:sz w:val="32"/>
          <w:szCs w:val="32"/>
          <w:lang w:val="en-US" w:eastAsia="zh-CN" w:bidi="ar"/>
        </w:rPr>
        <w:t>防风把手防摔改装通用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，价格为</w:t>
      </w:r>
      <w:r>
        <w:rPr>
          <w:rFonts w:hint="default" w:ascii="Times New Roman" w:hAnsi="Times New Roman" w:eastAsia="仿宋_GB2312" w:cs="Times New Roman"/>
          <w:color w:val="000000"/>
          <w:kern w:val="0"/>
          <w:sz w:val="32"/>
          <w:szCs w:val="32"/>
          <w:lang w:val="en-US" w:eastAsia="zh-CN" w:bidi="ar"/>
        </w:rPr>
        <w:t>269-319</w:t>
      </w:r>
      <w:r>
        <w:rPr>
          <w:rFonts w:hint="eastAsia" w:ascii="仿宋_GB2312" w:hAnsi="Calibri" w:eastAsia="仿宋_GB2312" w:cs="仿宋_GB2312"/>
          <w:color w:val="000000"/>
          <w:kern w:val="0"/>
          <w:sz w:val="32"/>
          <w:szCs w:val="32"/>
          <w:lang w:val="en-US" w:eastAsia="zh-CN" w:bidi="ar"/>
        </w:rPr>
        <w:t>元，累计评论</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，交易成功</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，宝贝详情页显示品牌为小摩，详情页亦展示了产品的图片，介绍为专利正品。同年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23</w:t>
      </w:r>
      <w:r>
        <w:rPr>
          <w:rFonts w:hint="eastAsia" w:ascii="仿宋_GB2312" w:hAnsi="Calibri" w:eastAsia="仿宋_GB2312" w:cs="仿宋_GB2312"/>
          <w:color w:val="000000"/>
          <w:kern w:val="0"/>
          <w:sz w:val="32"/>
          <w:szCs w:val="32"/>
          <w:lang w:val="en-US" w:eastAsia="zh-CN" w:bidi="ar"/>
        </w:rPr>
        <w:t>日，浙江省宁波市天一公证处为此出具了（</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）浙甬天证民字第</w:t>
      </w:r>
      <w:r>
        <w:rPr>
          <w:rFonts w:hint="default" w:ascii="Times New Roman" w:hAnsi="Times New Roman" w:eastAsia="仿宋_GB2312" w:cs="Times New Roman"/>
          <w:color w:val="000000"/>
          <w:kern w:val="0"/>
          <w:sz w:val="32"/>
          <w:szCs w:val="32"/>
          <w:lang w:val="en-US" w:eastAsia="zh-CN" w:bidi="ar"/>
        </w:rPr>
        <w:t>5912</w:t>
      </w:r>
      <w:r>
        <w:rPr>
          <w:rFonts w:hint="eastAsia" w:ascii="仿宋_GB2312" w:hAnsi="Calibri" w:eastAsia="仿宋_GB2312" w:cs="仿宋_GB2312"/>
          <w:color w:val="000000"/>
          <w:kern w:val="0"/>
          <w:sz w:val="32"/>
          <w:szCs w:val="32"/>
          <w:lang w:val="en-US" w:eastAsia="zh-CN" w:bidi="ar"/>
        </w:rPr>
        <w:t>号公证书。</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Calibri" w:eastAsia="仿宋_GB2312" w:cs="仿宋_GB2312"/>
          <w:color w:val="000000"/>
          <w:kern w:val="0"/>
          <w:sz w:val="32"/>
          <w:szCs w:val="32"/>
          <w:lang w:val="en-US" w:eastAsia="zh-CN" w:bidi="ar"/>
        </w:rPr>
        <w:t>日，冯某甲的代理人郑某在龚某甲经营的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大河摩旅</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淘宝店铺内以</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元的价格购买了一套摩托车把手护罩，销售链接名显示为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摩托车挡风护手罩把手防风板踏板车防摔手把改装车把配件加大通用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，价格为</w:t>
      </w:r>
      <w:r>
        <w:rPr>
          <w:rFonts w:hint="default" w:ascii="Times New Roman" w:hAnsi="Times New Roman" w:eastAsia="仿宋_GB2312" w:cs="Times New Roman"/>
          <w:color w:val="000000"/>
          <w:kern w:val="0"/>
          <w:sz w:val="32"/>
          <w:szCs w:val="32"/>
          <w:lang w:val="en-US" w:eastAsia="zh-CN" w:bidi="ar"/>
        </w:rPr>
        <w:t>269-319</w:t>
      </w:r>
      <w:r>
        <w:rPr>
          <w:rFonts w:hint="eastAsia" w:ascii="仿宋_GB2312" w:hAnsi="Calibri" w:eastAsia="仿宋_GB2312" w:cs="仿宋_GB2312"/>
          <w:color w:val="000000"/>
          <w:kern w:val="0"/>
          <w:sz w:val="32"/>
          <w:szCs w:val="32"/>
          <w:lang w:val="en-US" w:eastAsia="zh-CN" w:bidi="ar"/>
        </w:rPr>
        <w:t>元，累计评论</w:t>
      </w:r>
      <w:r>
        <w:rPr>
          <w:rFonts w:hint="default" w:ascii="Times New Roman" w:hAnsi="Times New Roman" w:eastAsia="仿宋_GB2312" w:cs="Times New Roman"/>
          <w:color w:val="000000"/>
          <w:kern w:val="0"/>
          <w:sz w:val="32"/>
          <w:szCs w:val="32"/>
          <w:lang w:val="en-US" w:eastAsia="zh-CN" w:bidi="ar"/>
        </w:rPr>
        <w:t>24</w:t>
      </w:r>
      <w:r>
        <w:rPr>
          <w:rFonts w:hint="eastAsia" w:ascii="仿宋_GB2312" w:hAnsi="Calibri" w:eastAsia="仿宋_GB2312" w:cs="仿宋_GB2312"/>
          <w:color w:val="000000"/>
          <w:kern w:val="0"/>
          <w:sz w:val="32"/>
          <w:szCs w:val="32"/>
          <w:lang w:val="en-US" w:eastAsia="zh-CN" w:bidi="ar"/>
        </w:rPr>
        <w:t>，交易成功</w:t>
      </w:r>
      <w:r>
        <w:rPr>
          <w:rFonts w:hint="default" w:ascii="Times New Roman" w:hAnsi="Times New Roman" w:eastAsia="仿宋_GB2312" w:cs="Times New Roman"/>
          <w:color w:val="000000"/>
          <w:kern w:val="0"/>
          <w:sz w:val="32"/>
          <w:szCs w:val="32"/>
          <w:lang w:val="en-US" w:eastAsia="zh-CN" w:bidi="ar"/>
        </w:rPr>
        <w:t>13</w:t>
      </w:r>
      <w:r>
        <w:rPr>
          <w:rFonts w:hint="eastAsia" w:ascii="仿宋_GB2312" w:hAnsi="Calibri" w:eastAsia="仿宋_GB2312" w:cs="仿宋_GB2312"/>
          <w:color w:val="000000"/>
          <w:kern w:val="0"/>
          <w:sz w:val="32"/>
          <w:szCs w:val="32"/>
          <w:lang w:val="en-US" w:eastAsia="zh-CN" w:bidi="ar"/>
        </w:rPr>
        <w:t>，宝贝详情页显示品牌为小摩，详情页亦展示了产品的图片，介绍为专利正品。同年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24</w:t>
      </w:r>
      <w:r>
        <w:rPr>
          <w:rFonts w:hint="eastAsia" w:ascii="仿宋_GB2312" w:hAnsi="Calibri" w:eastAsia="仿宋_GB2312" w:cs="仿宋_GB2312"/>
          <w:color w:val="000000"/>
          <w:kern w:val="0"/>
          <w:sz w:val="32"/>
          <w:szCs w:val="32"/>
          <w:lang w:val="en-US" w:eastAsia="zh-CN" w:bidi="ar"/>
        </w:rPr>
        <w:t>日，浙江省宁波市天一公证处为此出具了（</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）浙甬天证民字第</w:t>
      </w:r>
      <w:r>
        <w:rPr>
          <w:rFonts w:hint="default" w:ascii="Times New Roman" w:hAnsi="Times New Roman" w:eastAsia="仿宋_GB2312" w:cs="Times New Roman"/>
          <w:color w:val="000000"/>
          <w:kern w:val="0"/>
          <w:sz w:val="32"/>
          <w:szCs w:val="32"/>
          <w:lang w:val="en-US" w:eastAsia="zh-CN" w:bidi="ar"/>
        </w:rPr>
        <w:t>5913</w:t>
      </w:r>
      <w:r>
        <w:rPr>
          <w:rFonts w:hint="eastAsia" w:ascii="仿宋_GB2312" w:hAnsi="Calibri" w:eastAsia="仿宋_GB2312" w:cs="仿宋_GB2312"/>
          <w:color w:val="000000"/>
          <w:kern w:val="0"/>
          <w:sz w:val="32"/>
          <w:szCs w:val="32"/>
          <w:lang w:val="en-US" w:eastAsia="zh-CN" w:bidi="ar"/>
        </w:rPr>
        <w:t>号公证书。</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Calibri" w:eastAsia="仿宋_GB2312" w:cs="仿宋_GB2312"/>
          <w:color w:val="000000"/>
          <w:kern w:val="0"/>
          <w:sz w:val="32"/>
          <w:szCs w:val="32"/>
          <w:lang w:val="en-US" w:eastAsia="zh-CN" w:bidi="ar"/>
        </w:rPr>
        <w:t>日，冯某甲的委托代理人汪某在牟某经营的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山城机车</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淘宝店铺内以</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元的价格购买了一套摩托车把手护罩，销售链接名显示为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摩托车挡风护手罩把手防风板踏板电动车挡雨手把改装车把配件通用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，价格为</w:t>
      </w:r>
      <w:r>
        <w:rPr>
          <w:rFonts w:hint="default" w:ascii="Times New Roman" w:hAnsi="Times New Roman" w:eastAsia="仿宋_GB2312" w:cs="Times New Roman"/>
          <w:color w:val="000000"/>
          <w:kern w:val="0"/>
          <w:sz w:val="32"/>
          <w:szCs w:val="32"/>
          <w:lang w:val="en-US" w:eastAsia="zh-CN" w:bidi="ar"/>
        </w:rPr>
        <w:t>269-319</w:t>
      </w:r>
      <w:r>
        <w:rPr>
          <w:rFonts w:hint="eastAsia" w:ascii="仿宋_GB2312" w:hAnsi="Calibri" w:eastAsia="仿宋_GB2312" w:cs="仿宋_GB2312"/>
          <w:color w:val="000000"/>
          <w:kern w:val="0"/>
          <w:sz w:val="32"/>
          <w:szCs w:val="32"/>
          <w:lang w:val="en-US" w:eastAsia="zh-CN" w:bidi="ar"/>
        </w:rPr>
        <w:t>元，累计评论</w:t>
      </w:r>
      <w:r>
        <w:rPr>
          <w:rFonts w:hint="default" w:ascii="Times New Roman" w:hAnsi="Times New Roman" w:eastAsia="仿宋_GB2312" w:cs="Times New Roman"/>
          <w:color w:val="000000"/>
          <w:kern w:val="0"/>
          <w:sz w:val="32"/>
          <w:szCs w:val="32"/>
          <w:lang w:val="en-US" w:eastAsia="zh-CN" w:bidi="ar"/>
        </w:rPr>
        <w:t>257</w:t>
      </w:r>
      <w:r>
        <w:rPr>
          <w:rFonts w:hint="eastAsia" w:ascii="仿宋_GB2312" w:hAnsi="Calibri" w:eastAsia="仿宋_GB2312" w:cs="仿宋_GB2312"/>
          <w:color w:val="000000"/>
          <w:kern w:val="0"/>
          <w:sz w:val="32"/>
          <w:szCs w:val="32"/>
          <w:lang w:val="en-US" w:eastAsia="zh-CN" w:bidi="ar"/>
        </w:rPr>
        <w:t>，交易成功</w:t>
      </w:r>
      <w:r>
        <w:rPr>
          <w:rFonts w:hint="default" w:ascii="Times New Roman" w:hAnsi="Times New Roman" w:eastAsia="仿宋_GB2312" w:cs="Times New Roman"/>
          <w:color w:val="000000"/>
          <w:kern w:val="0"/>
          <w:sz w:val="32"/>
          <w:szCs w:val="32"/>
          <w:lang w:val="en-US" w:eastAsia="zh-CN" w:bidi="ar"/>
        </w:rPr>
        <w:t>50</w:t>
      </w:r>
      <w:r>
        <w:rPr>
          <w:rFonts w:hint="eastAsia" w:ascii="仿宋_GB2312" w:hAnsi="Calibri" w:eastAsia="仿宋_GB2312" w:cs="仿宋_GB2312"/>
          <w:color w:val="000000"/>
          <w:kern w:val="0"/>
          <w:sz w:val="32"/>
          <w:szCs w:val="32"/>
          <w:lang w:val="en-US" w:eastAsia="zh-CN" w:bidi="ar"/>
        </w:rPr>
        <w:t>，宝贝详情页显示品牌为小摩，详情页亦展示了产品的图片。同年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27</w:t>
      </w:r>
      <w:r>
        <w:rPr>
          <w:rFonts w:hint="eastAsia" w:ascii="仿宋_GB2312" w:hAnsi="Calibri" w:eastAsia="仿宋_GB2312" w:cs="仿宋_GB2312"/>
          <w:color w:val="000000"/>
          <w:kern w:val="0"/>
          <w:sz w:val="32"/>
          <w:szCs w:val="32"/>
          <w:lang w:val="en-US" w:eastAsia="zh-CN" w:bidi="ar"/>
        </w:rPr>
        <w:t>日，浙江省杭州市东方公证处为此出具了（</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）浙杭东证字第</w:t>
      </w:r>
      <w:r>
        <w:rPr>
          <w:rFonts w:hint="default" w:ascii="Times New Roman" w:hAnsi="Times New Roman" w:eastAsia="仿宋_GB2312" w:cs="Times New Roman"/>
          <w:color w:val="000000"/>
          <w:kern w:val="0"/>
          <w:sz w:val="32"/>
          <w:szCs w:val="32"/>
          <w:lang w:val="en-US" w:eastAsia="zh-CN" w:bidi="ar"/>
        </w:rPr>
        <w:t>13186</w:t>
      </w:r>
      <w:r>
        <w:rPr>
          <w:rFonts w:hint="eastAsia" w:ascii="仿宋_GB2312" w:hAnsi="Calibri" w:eastAsia="仿宋_GB2312" w:cs="仿宋_GB2312"/>
          <w:color w:val="000000"/>
          <w:kern w:val="0"/>
          <w:sz w:val="32"/>
          <w:szCs w:val="32"/>
          <w:lang w:val="en-US" w:eastAsia="zh-CN" w:bidi="ar"/>
        </w:rPr>
        <w:t>号公证书。</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Calibri" w:eastAsia="仿宋_GB2312" w:cs="仿宋_GB2312"/>
          <w:color w:val="000000"/>
          <w:kern w:val="0"/>
          <w:sz w:val="32"/>
          <w:szCs w:val="32"/>
          <w:lang w:val="en-US" w:eastAsia="zh-CN" w:bidi="ar"/>
        </w:rPr>
        <w:t>日，冯某甲的委托代理人龚某丁在</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经营的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某乙店</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淘宝店铺内以</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元的价格购买了一套摩托车把手护罩，销售链接名显示为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摩托车手把挡风板防摔护手踏板车把前防护挡雨罩改装配件加大通用</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，价格为</w:t>
      </w:r>
      <w:r>
        <w:rPr>
          <w:rFonts w:hint="default" w:ascii="Times New Roman" w:hAnsi="Times New Roman" w:eastAsia="仿宋_GB2312" w:cs="Times New Roman"/>
          <w:color w:val="000000"/>
          <w:kern w:val="0"/>
          <w:sz w:val="32"/>
          <w:szCs w:val="32"/>
          <w:lang w:val="en-US" w:eastAsia="zh-CN" w:bidi="ar"/>
        </w:rPr>
        <w:t>269-319</w:t>
      </w:r>
      <w:r>
        <w:rPr>
          <w:rFonts w:hint="eastAsia" w:ascii="仿宋_GB2312" w:hAnsi="Calibri" w:eastAsia="仿宋_GB2312" w:cs="仿宋_GB2312"/>
          <w:color w:val="000000"/>
          <w:kern w:val="0"/>
          <w:sz w:val="32"/>
          <w:szCs w:val="32"/>
          <w:lang w:val="en-US" w:eastAsia="zh-CN" w:bidi="ar"/>
        </w:rPr>
        <w:t>元，累计评论</w:t>
      </w:r>
      <w:r>
        <w:rPr>
          <w:rFonts w:hint="default" w:ascii="Times New Roman" w:hAnsi="Times New Roman" w:eastAsia="仿宋_GB2312" w:cs="Times New Roman"/>
          <w:color w:val="000000"/>
          <w:kern w:val="0"/>
          <w:sz w:val="32"/>
          <w:szCs w:val="32"/>
          <w:lang w:val="en-US" w:eastAsia="zh-CN" w:bidi="ar"/>
        </w:rPr>
        <w:t>135</w:t>
      </w:r>
      <w:r>
        <w:rPr>
          <w:rFonts w:hint="eastAsia" w:ascii="仿宋_GB2312" w:hAnsi="Calibri" w:eastAsia="仿宋_GB2312" w:cs="仿宋_GB2312"/>
          <w:color w:val="000000"/>
          <w:kern w:val="0"/>
          <w:sz w:val="32"/>
          <w:szCs w:val="32"/>
          <w:lang w:val="en-US" w:eastAsia="zh-CN" w:bidi="ar"/>
        </w:rPr>
        <w:t>，交易成功</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，宝贝详情页显示品牌为小摩，详情页亦展示了产品的图片，介绍为专利正品。同年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17</w:t>
      </w:r>
      <w:r>
        <w:rPr>
          <w:rFonts w:hint="eastAsia" w:ascii="仿宋_GB2312" w:hAnsi="Calibri" w:eastAsia="仿宋_GB2312" w:cs="仿宋_GB2312"/>
          <w:color w:val="000000"/>
          <w:kern w:val="0"/>
          <w:sz w:val="32"/>
          <w:szCs w:val="32"/>
          <w:lang w:val="en-US" w:eastAsia="zh-CN" w:bidi="ar"/>
        </w:rPr>
        <w:t>日，江西省南昌市大成公证处为此出具了（</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）赣洪大证内字第</w:t>
      </w:r>
      <w:r>
        <w:rPr>
          <w:rFonts w:hint="default" w:ascii="Times New Roman" w:hAnsi="Times New Roman" w:eastAsia="仿宋_GB2312" w:cs="Times New Roman"/>
          <w:color w:val="000000"/>
          <w:kern w:val="0"/>
          <w:sz w:val="32"/>
          <w:szCs w:val="32"/>
          <w:lang w:val="en-US" w:eastAsia="zh-CN" w:bidi="ar"/>
        </w:rPr>
        <w:t>14727</w:t>
      </w:r>
      <w:r>
        <w:rPr>
          <w:rFonts w:hint="eastAsia" w:ascii="仿宋_GB2312" w:hAnsi="Calibri" w:eastAsia="仿宋_GB2312" w:cs="仿宋_GB2312"/>
          <w:color w:val="000000"/>
          <w:kern w:val="0"/>
          <w:sz w:val="32"/>
          <w:szCs w:val="32"/>
          <w:lang w:val="en-US" w:eastAsia="zh-CN" w:bidi="ar"/>
        </w:rPr>
        <w:t>号公证书。</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25</w:t>
      </w:r>
      <w:r>
        <w:rPr>
          <w:rFonts w:hint="eastAsia" w:ascii="仿宋_GB2312" w:hAnsi="Calibri" w:eastAsia="仿宋_GB2312" w:cs="仿宋_GB2312"/>
          <w:color w:val="000000"/>
          <w:kern w:val="0"/>
          <w:sz w:val="32"/>
          <w:szCs w:val="32"/>
          <w:lang w:val="en-US" w:eastAsia="zh-CN" w:bidi="ar"/>
        </w:rPr>
        <w:t>日，冯某甲的委托代理人龚某丁在</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经营的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摩迪飞骑士装备</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淘宝店铺内以</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元的价格购买了一套摩托车把手护罩，销售链接名显示为</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摩托踏板电动车护手罩防摔防风挡雨</w:t>
      </w:r>
      <w:r>
        <w:rPr>
          <w:rFonts w:hint="default" w:ascii="Times New Roman" w:hAnsi="Times New Roman" w:eastAsia="仿宋_GB2312" w:cs="Times New Roman"/>
          <w:color w:val="000000"/>
          <w:kern w:val="0"/>
          <w:sz w:val="32"/>
          <w:szCs w:val="32"/>
          <w:lang w:val="en-US" w:eastAsia="zh-CN" w:bidi="ar"/>
        </w:rPr>
        <w:t>gw250</w:t>
      </w:r>
      <w:r>
        <w:rPr>
          <w:rFonts w:hint="eastAsia" w:ascii="仿宋_GB2312" w:hAnsi="Calibri" w:eastAsia="仿宋_GB2312" w:cs="仿宋_GB2312"/>
          <w:color w:val="000000"/>
          <w:kern w:val="0"/>
          <w:sz w:val="32"/>
          <w:szCs w:val="32"/>
          <w:lang w:val="en-US" w:eastAsia="zh-CN" w:bidi="ar"/>
        </w:rPr>
        <w:t>飞致</w:t>
      </w:r>
      <w:r>
        <w:rPr>
          <w:rFonts w:hint="default" w:ascii="Times New Roman" w:hAnsi="Times New Roman" w:eastAsia="仿宋_GB2312" w:cs="Times New Roman"/>
          <w:color w:val="000000"/>
          <w:kern w:val="0"/>
          <w:sz w:val="32"/>
          <w:szCs w:val="32"/>
          <w:lang w:val="en-US" w:eastAsia="zh-CN" w:bidi="ar"/>
        </w:rPr>
        <w:t>250</w:t>
      </w:r>
      <w:r>
        <w:rPr>
          <w:rFonts w:hint="eastAsia" w:ascii="仿宋_GB2312" w:hAnsi="Calibri" w:eastAsia="仿宋_GB2312" w:cs="仿宋_GB2312"/>
          <w:color w:val="000000"/>
          <w:kern w:val="0"/>
          <w:sz w:val="32"/>
          <w:szCs w:val="32"/>
          <w:lang w:val="en-US" w:eastAsia="zh-CN" w:bidi="ar"/>
        </w:rPr>
        <w:t>光阳改装通用手把</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，价格为</w:t>
      </w:r>
      <w:r>
        <w:rPr>
          <w:rFonts w:hint="default" w:ascii="Times New Roman" w:hAnsi="Times New Roman" w:eastAsia="仿宋_GB2312" w:cs="Times New Roman"/>
          <w:color w:val="000000"/>
          <w:kern w:val="0"/>
          <w:sz w:val="32"/>
          <w:szCs w:val="32"/>
          <w:lang w:val="en-US" w:eastAsia="zh-CN" w:bidi="ar"/>
        </w:rPr>
        <w:t>269-319</w:t>
      </w:r>
      <w:r>
        <w:rPr>
          <w:rFonts w:hint="eastAsia" w:ascii="仿宋_GB2312" w:hAnsi="Calibri" w:eastAsia="仿宋_GB2312" w:cs="仿宋_GB2312"/>
          <w:color w:val="000000"/>
          <w:kern w:val="0"/>
          <w:sz w:val="32"/>
          <w:szCs w:val="32"/>
          <w:lang w:val="en-US" w:eastAsia="zh-CN" w:bidi="ar"/>
        </w:rPr>
        <w:t>元，累计评论</w:t>
      </w:r>
      <w:r>
        <w:rPr>
          <w:rFonts w:hint="default" w:ascii="Times New Roman" w:hAnsi="Times New Roman" w:eastAsia="仿宋_GB2312" w:cs="Times New Roman"/>
          <w:color w:val="000000"/>
          <w:kern w:val="0"/>
          <w:sz w:val="32"/>
          <w:szCs w:val="32"/>
          <w:lang w:val="en-US" w:eastAsia="zh-CN" w:bidi="ar"/>
        </w:rPr>
        <w:t>75</w:t>
      </w:r>
      <w:r>
        <w:rPr>
          <w:rFonts w:hint="eastAsia" w:ascii="仿宋_GB2312" w:hAnsi="Calibri" w:eastAsia="仿宋_GB2312" w:cs="仿宋_GB2312"/>
          <w:color w:val="000000"/>
          <w:kern w:val="0"/>
          <w:sz w:val="32"/>
          <w:szCs w:val="32"/>
          <w:lang w:val="en-US" w:eastAsia="zh-CN" w:bidi="ar"/>
        </w:rPr>
        <w:t>，交易成功</w:t>
      </w:r>
      <w:r>
        <w:rPr>
          <w:rFonts w:hint="default" w:ascii="Times New Roman" w:hAnsi="Times New Roman" w:eastAsia="仿宋_GB2312" w:cs="Times New Roman"/>
          <w:color w:val="000000"/>
          <w:kern w:val="0"/>
          <w:sz w:val="32"/>
          <w:szCs w:val="32"/>
          <w:lang w:val="en-US" w:eastAsia="zh-CN" w:bidi="ar"/>
        </w:rPr>
        <w:t>8</w:t>
      </w:r>
      <w:r>
        <w:rPr>
          <w:rFonts w:hint="eastAsia" w:ascii="仿宋_GB2312" w:hAnsi="Calibri" w:eastAsia="仿宋_GB2312" w:cs="仿宋_GB2312"/>
          <w:color w:val="000000"/>
          <w:kern w:val="0"/>
          <w:sz w:val="32"/>
          <w:szCs w:val="32"/>
          <w:lang w:val="en-US" w:eastAsia="zh-CN" w:bidi="ar"/>
        </w:rPr>
        <w:t>，宝贝详情页显示品牌为小摩，详情页亦展示了产品的图片，介绍为专利正品。同年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17</w:t>
      </w:r>
      <w:r>
        <w:rPr>
          <w:rFonts w:hint="eastAsia" w:ascii="仿宋_GB2312" w:hAnsi="Calibri" w:eastAsia="仿宋_GB2312" w:cs="仿宋_GB2312"/>
          <w:color w:val="000000"/>
          <w:kern w:val="0"/>
          <w:sz w:val="32"/>
          <w:szCs w:val="32"/>
          <w:lang w:val="en-US" w:eastAsia="zh-CN" w:bidi="ar"/>
        </w:rPr>
        <w:t>日，江西省南昌市大成公证处为此出具了（</w:t>
      </w:r>
      <w:r>
        <w:rPr>
          <w:rFonts w:hint="default" w:ascii="Times New Roman" w:hAnsi="Times New Roman" w:eastAsia="仿宋_GB2312" w:cs="Times New Roman"/>
          <w:color w:val="000000"/>
          <w:kern w:val="0"/>
          <w:sz w:val="32"/>
          <w:szCs w:val="32"/>
          <w:lang w:val="en-US" w:eastAsia="zh-CN" w:bidi="ar"/>
        </w:rPr>
        <w:t>2021</w:t>
      </w:r>
      <w:r>
        <w:rPr>
          <w:rFonts w:hint="eastAsia" w:ascii="仿宋_GB2312" w:hAnsi="Calibri" w:eastAsia="仿宋_GB2312" w:cs="仿宋_GB2312"/>
          <w:color w:val="000000"/>
          <w:kern w:val="0"/>
          <w:sz w:val="32"/>
          <w:szCs w:val="32"/>
          <w:lang w:val="en-US" w:eastAsia="zh-CN" w:bidi="ar"/>
        </w:rPr>
        <w:t>）赣洪大证内字第</w:t>
      </w:r>
      <w:r>
        <w:rPr>
          <w:rFonts w:hint="default" w:ascii="Times New Roman" w:hAnsi="Times New Roman" w:eastAsia="仿宋_GB2312" w:cs="Times New Roman"/>
          <w:color w:val="000000"/>
          <w:kern w:val="0"/>
          <w:sz w:val="32"/>
          <w:szCs w:val="32"/>
          <w:lang w:val="en-US" w:eastAsia="zh-CN" w:bidi="ar"/>
        </w:rPr>
        <w:t>14867</w:t>
      </w:r>
      <w:r>
        <w:rPr>
          <w:rFonts w:hint="eastAsia" w:ascii="仿宋_GB2312" w:hAnsi="Calibri" w:eastAsia="仿宋_GB2312" w:cs="仿宋_GB2312"/>
          <w:color w:val="000000"/>
          <w:kern w:val="0"/>
          <w:sz w:val="32"/>
          <w:szCs w:val="32"/>
          <w:lang w:val="en-US" w:eastAsia="zh-CN" w:bidi="ar"/>
        </w:rPr>
        <w:t>号公证书。</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一审当庭拆开上述公证实物，共含被诉侵权产品实物</w:t>
      </w:r>
      <w:r>
        <w:rPr>
          <w:rFonts w:hint="default" w:ascii="Times New Roman" w:hAnsi="Times New Roman" w:eastAsia="仿宋_GB2312" w:cs="Times New Roman"/>
          <w:color w:val="000000"/>
          <w:kern w:val="0"/>
          <w:sz w:val="32"/>
          <w:szCs w:val="32"/>
          <w:lang w:val="en-US" w:eastAsia="zh-CN" w:bidi="ar"/>
        </w:rPr>
        <w:t>5</w:t>
      </w:r>
      <w:r>
        <w:rPr>
          <w:rFonts w:hint="eastAsia" w:ascii="仿宋_GB2312" w:hAnsi="Calibri" w:eastAsia="仿宋_GB2312" w:cs="仿宋_GB2312"/>
          <w:color w:val="000000"/>
          <w:kern w:val="0"/>
          <w:sz w:val="32"/>
          <w:szCs w:val="32"/>
          <w:lang w:val="en-US" w:eastAsia="zh-CN" w:bidi="ar"/>
        </w:rPr>
        <w:t>套，产品外包装盒均有</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小摩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标识，</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企业名称，快递单显示发货地址及电话均为：重庆市南岸区兰花路</w:t>
      </w:r>
      <w:r>
        <w:rPr>
          <w:rFonts w:hint="default" w:ascii="Times New Roman" w:hAnsi="Times New Roman" w:eastAsia="仿宋_GB2312" w:cs="Times New Roman"/>
          <w:color w:val="000000"/>
          <w:kern w:val="0"/>
          <w:sz w:val="32"/>
          <w:szCs w:val="32"/>
          <w:lang w:val="en-US" w:eastAsia="zh-CN" w:bidi="ar"/>
        </w:rPr>
        <w:t>68</w:t>
      </w:r>
      <w:r>
        <w:rPr>
          <w:rFonts w:hint="eastAsia" w:ascii="仿宋_GB2312" w:hAnsi="Calibri" w:eastAsia="仿宋_GB2312" w:cs="仿宋_GB2312"/>
          <w:color w:val="000000"/>
          <w:kern w:val="0"/>
          <w:sz w:val="32"/>
          <w:szCs w:val="32"/>
          <w:lang w:val="en-US" w:eastAsia="zh-CN" w:bidi="ar"/>
        </w:rPr>
        <w:t>号、</w:t>
      </w:r>
      <w:r>
        <w:rPr>
          <w:rFonts w:hint="default" w:ascii="Times New Roman" w:hAnsi="Times New Roman" w:eastAsia="仿宋_GB2312" w:cs="Times New Roman"/>
          <w:color w:val="000000"/>
          <w:kern w:val="0"/>
          <w:sz w:val="32"/>
          <w:szCs w:val="32"/>
          <w:lang w:val="en-US" w:eastAsia="zh-CN" w:bidi="ar"/>
        </w:rPr>
        <w:t>13500319297</w:t>
      </w:r>
      <w:r>
        <w:rPr>
          <w:rFonts w:hint="eastAsia" w:ascii="仿宋_GB2312" w:hAnsi="Calibri" w:eastAsia="仿宋_GB2312" w:cs="仿宋_GB2312"/>
          <w:color w:val="000000"/>
          <w:kern w:val="0"/>
          <w:sz w:val="32"/>
          <w:szCs w:val="32"/>
          <w:lang w:val="en-US" w:eastAsia="zh-CN" w:bidi="ar"/>
        </w:rPr>
        <w:t>。被诉侵权产品实物上无相关生产商信息。</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确认系其生产，各方当事人均确认涉案产品链接均已删除。经比对，冯某甲主张被诉侵权产品与涉案专利构成近似。</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、牟某、龚某甲、龚某丙认为既不相同也不近似，区别点在于：</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涉案专利罩壳左上角呈直角，正面设计有子弹状的凸面设计，整体上由上曲面、中平面和下曲面组成，被诉侵权产品罩壳左上角呈圆弧状态，罩壳正面采用双曲面结构的多个雨滴点设计，整体上由上曲面、内凹弧线型设计曲面、中平面和下曲面组成；</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Calibri" w:eastAsia="仿宋_GB2312" w:cs="仿宋_GB2312"/>
          <w:color w:val="000000"/>
          <w:kern w:val="0"/>
          <w:sz w:val="32"/>
          <w:szCs w:val="32"/>
          <w:lang w:val="en-US" w:eastAsia="zh-CN" w:bidi="ar"/>
        </w:rPr>
        <w:t>涉案专利安装支架正面看是两个间隔的长圆条孔设计，在两侧设置有螺钉圆孔，手柄处为平直设计，被诉侵权产品安装支架是三个相邻的短圆条孔加一个铅笔形态的孔构成，手柄处向上弯曲梯度缩小；</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涉案专利安装后视镜处成双球面叠加凸出特征，被诉侵权产品为直桶形凹陷设计。</w:t>
      </w:r>
      <w:r>
        <w:rPr>
          <w:rFonts w:hint="default" w:ascii="Times New Roman" w:hAnsi="Times New Roman" w:eastAsia="仿宋_GB2312" w:cs="Times New Roman"/>
          <w:color w:val="000000"/>
          <w:kern w:val="0"/>
          <w:sz w:val="32"/>
          <w:szCs w:val="32"/>
          <w:lang w:val="en-US" w:eastAsia="zh-CN" w:bidi="ar"/>
        </w:rPr>
        <w:t xml:space="preserve"> </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、牟某、龚某甲、龚某乙确认上述公证店铺均由</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管理，由</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统一发货，收益用于给员工发工资及支付房租。</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一审另查明，</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成立于</w:t>
      </w:r>
      <w:r>
        <w:rPr>
          <w:rFonts w:hint="default" w:ascii="Times New Roman" w:hAnsi="Times New Roman" w:eastAsia="仿宋_GB2312" w:cs="Times New Roman"/>
          <w:color w:val="000000"/>
          <w:kern w:val="0"/>
          <w:sz w:val="32"/>
          <w:szCs w:val="32"/>
          <w:lang w:val="en-US" w:eastAsia="zh-CN" w:bidi="ar"/>
        </w:rPr>
        <w:t>2018</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11</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29</w:t>
      </w:r>
      <w:r>
        <w:rPr>
          <w:rFonts w:hint="eastAsia" w:ascii="仿宋_GB2312" w:hAnsi="Calibri" w:eastAsia="仿宋_GB2312" w:cs="仿宋_GB2312"/>
          <w:color w:val="000000"/>
          <w:kern w:val="0"/>
          <w:sz w:val="32"/>
          <w:szCs w:val="32"/>
          <w:lang w:val="en-US" w:eastAsia="zh-CN" w:bidi="ar"/>
        </w:rPr>
        <w:t>日，注册资本</w:t>
      </w:r>
      <w:r>
        <w:rPr>
          <w:rFonts w:hint="default" w:ascii="Times New Roman" w:hAnsi="Times New Roman" w:eastAsia="仿宋_GB2312" w:cs="Times New Roman"/>
          <w:color w:val="000000"/>
          <w:kern w:val="0"/>
          <w:sz w:val="32"/>
          <w:szCs w:val="32"/>
          <w:lang w:val="en-US" w:eastAsia="zh-CN" w:bidi="ar"/>
        </w:rPr>
        <w:t>500</w:t>
      </w:r>
      <w:r>
        <w:rPr>
          <w:rFonts w:hint="eastAsia" w:ascii="仿宋_GB2312" w:hAnsi="Calibri" w:eastAsia="仿宋_GB2312" w:cs="仿宋_GB2312"/>
          <w:color w:val="000000"/>
          <w:kern w:val="0"/>
          <w:sz w:val="32"/>
          <w:szCs w:val="32"/>
          <w:lang w:val="en-US" w:eastAsia="zh-CN" w:bidi="ar"/>
        </w:rPr>
        <w:t>万元，类型为有限责任公司，法定代表人为牟某，股东为牟某、</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，监事为龚某甲，经营范围为汽车、摩托车设计、技术开发、技术转让；摩托车、汽车配件设计、销售；承办经批准的文化艺术交流活动（不含演出）；户外用品设计、销售。</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小摩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系</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的注册商标。</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成立于</w:t>
      </w:r>
      <w:r>
        <w:rPr>
          <w:rFonts w:hint="default" w:ascii="Times New Roman" w:hAnsi="Times New Roman" w:eastAsia="仿宋_GB2312" w:cs="Times New Roman"/>
          <w:color w:val="000000"/>
          <w:kern w:val="0"/>
          <w:sz w:val="32"/>
          <w:szCs w:val="32"/>
          <w:lang w:val="en-US" w:eastAsia="zh-CN" w:bidi="ar"/>
        </w:rPr>
        <w:t>2017</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20</w:t>
      </w:r>
      <w:r>
        <w:rPr>
          <w:rFonts w:hint="eastAsia" w:ascii="仿宋_GB2312" w:hAnsi="Calibri" w:eastAsia="仿宋_GB2312" w:cs="仿宋_GB2312"/>
          <w:color w:val="000000"/>
          <w:kern w:val="0"/>
          <w:sz w:val="32"/>
          <w:szCs w:val="32"/>
          <w:lang w:val="en-US" w:eastAsia="zh-CN" w:bidi="ar"/>
        </w:rPr>
        <w:t>日，注册资本</w:t>
      </w:r>
      <w:r>
        <w:rPr>
          <w:rFonts w:hint="default" w:ascii="Times New Roman" w:hAnsi="Times New Roman" w:eastAsia="仿宋_GB2312" w:cs="Times New Roman"/>
          <w:color w:val="000000"/>
          <w:kern w:val="0"/>
          <w:sz w:val="32"/>
          <w:szCs w:val="32"/>
          <w:lang w:val="en-US" w:eastAsia="zh-CN" w:bidi="ar"/>
        </w:rPr>
        <w:t>50</w:t>
      </w:r>
      <w:r>
        <w:rPr>
          <w:rFonts w:hint="eastAsia" w:ascii="仿宋_GB2312" w:hAnsi="Calibri" w:eastAsia="仿宋_GB2312" w:cs="仿宋_GB2312"/>
          <w:color w:val="000000"/>
          <w:kern w:val="0"/>
          <w:sz w:val="32"/>
          <w:szCs w:val="32"/>
          <w:lang w:val="en-US" w:eastAsia="zh-CN" w:bidi="ar"/>
        </w:rPr>
        <w:t>万元，类型为有限责任公司，法定代表人为牟某，股东为牟某、龚某甲，监事为龚某甲，经营范围为销售（含利用互联网销售）：机车、机车配件（不含发动机生产加工）、初级农产品（不含粮食收购）、日用百货；货物进出口及技术进出口；户外用品销售。龚某乙系</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员工。</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2020</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7</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7</w:t>
      </w:r>
      <w:r>
        <w:rPr>
          <w:rFonts w:hint="eastAsia" w:ascii="仿宋_GB2312" w:hAnsi="Calibri" w:eastAsia="仿宋_GB2312" w:cs="仿宋_GB2312"/>
          <w:color w:val="000000"/>
          <w:kern w:val="0"/>
          <w:sz w:val="32"/>
          <w:szCs w:val="32"/>
          <w:lang w:val="en-US" w:eastAsia="zh-CN" w:bidi="ar"/>
        </w:rPr>
        <w:t>日，</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向国家知识产权局申请了一种</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摩托车手把罩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的外观设计专利，同年</w:t>
      </w:r>
      <w:r>
        <w:rPr>
          <w:rFonts w:hint="default" w:ascii="Times New Roman" w:hAnsi="Times New Roman" w:eastAsia="仿宋_GB2312" w:cs="Times New Roman"/>
          <w:color w:val="000000"/>
          <w:kern w:val="0"/>
          <w:sz w:val="32"/>
          <w:szCs w:val="32"/>
          <w:lang w:val="en-US" w:eastAsia="zh-CN" w:bidi="ar"/>
        </w:rPr>
        <w:t>11</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日授权公告，专利号为</w:t>
      </w:r>
      <w:r>
        <w:rPr>
          <w:rFonts w:hint="default" w:ascii="Times New Roman" w:hAnsi="Times New Roman" w:eastAsia="仿宋_GB2312" w:cs="Times New Roman"/>
          <w:color w:val="000000"/>
          <w:kern w:val="0"/>
          <w:sz w:val="32"/>
          <w:szCs w:val="32"/>
          <w:lang w:val="en-US" w:eastAsia="zh-CN" w:bidi="ar"/>
        </w:rPr>
        <w:t>ZL2020xxxx2615.5</w:t>
      </w:r>
      <w:r>
        <w:rPr>
          <w:rFonts w:hint="eastAsia" w:ascii="仿宋_GB2312" w:hAnsi="Calibri" w:eastAsia="仿宋_GB2312" w:cs="仿宋_GB2312"/>
          <w:color w:val="000000"/>
          <w:kern w:val="0"/>
          <w:sz w:val="32"/>
          <w:szCs w:val="32"/>
          <w:lang w:val="en-US" w:eastAsia="zh-CN" w:bidi="ar"/>
        </w:rPr>
        <w:t>。外观设计专利证书显示设计人为牟某，简要说明中记载该外观设计的设计要点在于形状，最能表明设计要点的图片或照片为主视图。</w:t>
      </w:r>
      <w:r>
        <w:rPr>
          <w:rFonts w:hint="default" w:ascii="Times New Roman" w:hAnsi="Times New Roman" w:eastAsia="仿宋_GB2312" w:cs="Times New Roman"/>
          <w:color w:val="000000"/>
          <w:kern w:val="0"/>
          <w:sz w:val="32"/>
          <w:szCs w:val="32"/>
          <w:lang w:val="en-US" w:eastAsia="zh-CN" w:bidi="ar"/>
        </w:rPr>
        <w:t>2022</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23</w:t>
      </w:r>
      <w:r>
        <w:rPr>
          <w:rFonts w:hint="eastAsia" w:ascii="仿宋_GB2312" w:hAnsi="Calibri" w:eastAsia="仿宋_GB2312" w:cs="仿宋_GB2312"/>
          <w:color w:val="000000"/>
          <w:kern w:val="0"/>
          <w:sz w:val="32"/>
          <w:szCs w:val="32"/>
          <w:lang w:val="en-US" w:eastAsia="zh-CN" w:bidi="ar"/>
        </w:rPr>
        <w:t>日，国家知识产权局就该专利出具《外观设计专利权评价报告》一份，该评价报告引用的对比设计包含冯某甲的涉案专利，结论是全部外观设计未发现不符合授予专利权条件的缺陷。</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一审再查明，冯某甲为本案维权进行了公证并聘请律师出庭参加诉讼。</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一审法院认为，涉案外观设计专利在有效期限内，法律状态稳定，并已履行了缴纳专利年费的义务，故该专利为有效专利，应受国家法律保护。根据该院查明的事实及双方的控辩意见，本案的争议焦点为：一、被诉侵权产品是否落入涉案专利权的保护范围；二、冯某甲主张</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、牟某、龚某甲、龚某乙实施的侵权行为能否成立；三、如构成侵权，法律责任承担问题。</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争议焦点一，《中华人民共和国专利法》第六十四条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规定：</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在与外观设计专利产品相同或者相近种类产品上，采用与授权外观设计相同或者近似的外观设计的，人民法院应当认定被诉侵权设计落入专利法第五十九条第二款规定的外观设计专利权的保护范围。</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《最高人民法院关于审理侵犯专利权纠纷案件应用法律若干问题的解释》第十条规定：</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人民法院应当以外观设计专利产品的一般消费者的知识水平和认知能力，判断外观设计是否相同或者近似。</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因此，判断外观设计是否相同或者近似时</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应当按照一般消费者的知识水平和认知能力</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遵循全面观察设计特征、综合判断整体效果的基本原则</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对所保护的外观设计与被诉侵权设计进行比对。本案中，被诉侵权产品与涉案外观设计专利产品均为摩托车手把罩，属于相同种类的产品，可以进行比对。经</w:t>
      </w:r>
      <w:r>
        <w:rPr>
          <w:rFonts w:hint="eastAsia" w:ascii="仿宋_GB2312" w:hAnsi="Times New Roman" w:eastAsia="仿宋_GB2312" w:cs="仿宋_GB2312"/>
          <w:color w:val="000000"/>
          <w:kern w:val="0"/>
          <w:sz w:val="32"/>
          <w:szCs w:val="32"/>
          <w:lang w:val="en-US" w:eastAsia="zh-CN" w:bidi="ar"/>
        </w:rPr>
        <w:t>一审</w:t>
      </w:r>
      <w:r>
        <w:rPr>
          <w:rFonts w:hint="eastAsia" w:ascii="仿宋_GB2312" w:hAnsi="Calibri" w:eastAsia="仿宋_GB2312" w:cs="仿宋_GB2312"/>
          <w:color w:val="000000"/>
          <w:kern w:val="0"/>
          <w:sz w:val="32"/>
          <w:szCs w:val="32"/>
          <w:lang w:val="en-US" w:eastAsia="zh-CN" w:bidi="ar"/>
        </w:rPr>
        <w:t>庭审比对，公证购买的被诉侵权产品与涉案外观设计专利均有如下特征：两者均由罩壳和安装支架组成，从仰视图看整体造型均类似勺子，整体均较为圆润，罩壳一侧均设置箭头形且箭头部均凹陷设计，安装支架均设置在罩壳底部三分之一处，罩壳上部均设置有向上翻起的帽檐。两者的区别点为：</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被诉侵权产品罩壳安装支架上面为多个雨滴点凹面设计，涉案专利为子弹状凸面设计；</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Calibri" w:eastAsia="仿宋_GB2312" w:cs="仿宋_GB2312"/>
          <w:color w:val="000000"/>
          <w:kern w:val="0"/>
          <w:sz w:val="32"/>
          <w:szCs w:val="32"/>
          <w:lang w:val="en-US" w:eastAsia="zh-CN" w:bidi="ar"/>
        </w:rPr>
        <w:t>被诉侵权产品安装支架由三个相邻的短圆条孔以及铅笔状条孔构成，手柄处为弯曲向上，涉案专利由两个间隔的长圆条孔组成，手柄为平直状；</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被诉侵权产品罩壳箭头部凹陷设计有纹路且后视镜安装处为直桶凹陷，涉案专利凹陷部为光面，后视镜安装处为双球面叠加造型；</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Calibri" w:eastAsia="仿宋_GB2312" w:cs="仿宋_GB2312"/>
          <w:color w:val="000000"/>
          <w:kern w:val="0"/>
          <w:sz w:val="32"/>
          <w:szCs w:val="32"/>
          <w:lang w:val="en-US" w:eastAsia="zh-CN" w:bidi="ar"/>
        </w:rPr>
        <w:t>被诉侵权产品与涉案专利之间曲面弧度之间存在差异。该院认为，对于立体产品的外观设计，一般情况下形状、轮廓对整体视觉效果更具有影响，在进行相同或近似的判断时，应以此为重点。本案中，从涉案专利权评价报告显示，其区别于现有设计的主要设计特征在于整体较为圆润且呈勺子状，罩壳一侧凹陷呈箭头状，安装支架设置在罩壳底部三分之一处，罩壳设置有向上翻起的帽檐。经比对，被诉侵权产品具备了上述主要特征，虽被诉侵权产品存在差异，但从整体来看，被诉侵权产品与涉案专利整体形状、主要设计特征相同、多面视图相近似，上述差异尚不足以对两者形状的整体视觉效果产生实质性差异。因此，按照</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整体观察、综合判断</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的外观设计专利比对原则，被诉侵权产品与涉案专利构成相近似，落入了涉案专利权的保护范围。</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主张被诉侵权产品实施的是自有专利，且国家知识产权局出具的专利权评价报告认为与涉案专利存在显著区别，不构成侵权。该院认为，根据《最高人民法院关于审理侵犯专利权纠纷案件应用法律若干问题的解释（二）》第二十三条规定，被诉侵权技术方案或者外观设计落入在先的涉案专利权的保护范围，被诉侵权人以其技术方案或者外观设计被授予专利权为由抗辩不侵犯涉案专利权的，人民法院不予支持。国家知识产权局出具的</w:t>
      </w:r>
      <w:r>
        <w:rPr>
          <w:rFonts w:hint="eastAsia" w:ascii="仿宋_GB2312" w:hAnsi="Times New Roman" w:eastAsia="仿宋_GB2312" w:cs="仿宋_GB2312"/>
          <w:color w:val="000000"/>
          <w:kern w:val="0"/>
          <w:sz w:val="32"/>
          <w:szCs w:val="32"/>
          <w:lang w:val="en-US" w:eastAsia="zh-CN" w:bidi="ar"/>
        </w:rPr>
        <w:t>小某公司</w:t>
      </w:r>
      <w:r>
        <w:rPr>
          <w:rFonts w:hint="default" w:ascii="Times New Roman" w:hAnsi="Times New Roman" w:eastAsia="仿宋_GB2312" w:cs="Times New Roman"/>
          <w:color w:val="000000"/>
          <w:kern w:val="0"/>
          <w:sz w:val="32"/>
          <w:szCs w:val="32"/>
          <w:lang w:val="en-US" w:eastAsia="zh-CN" w:bidi="ar"/>
        </w:rPr>
        <w:t>ZL2020xxxx2615.5</w:t>
      </w:r>
      <w:r>
        <w:rPr>
          <w:rFonts w:hint="eastAsia" w:ascii="仿宋_GB2312" w:hAnsi="Calibri" w:eastAsia="仿宋_GB2312" w:cs="仿宋_GB2312"/>
          <w:color w:val="000000"/>
          <w:kern w:val="0"/>
          <w:sz w:val="32"/>
          <w:szCs w:val="32"/>
          <w:lang w:val="en-US" w:eastAsia="zh-CN" w:bidi="ar"/>
        </w:rPr>
        <w:t>号外观设计专利权评价报告的结论，仅为参考不影响该院作出侵权判定，被诉侵权产品落入涉案专利权的保护范围，故</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、牟某、龚某甲、龚某乙的主张该院不予支持。</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关于争议焦点二，冯某甲主张</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、牟某、龚某甲、龚某乙实施了销售、许诺销售侵权产品的行为，</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实施了制造、销售、许诺销售侵权产品的行为。关于制造行为，该院认为在案证据显示，销售链接详情页显示品牌为小摩，被诉侵权产品的外包装上有</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企业名称以及</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小摩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商标标识，因此</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有向消费者作出其侵权产品系来源于其处的意思表示，对消费者而言，</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即是产品的制造者，且</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一审当庭亦确认被诉侵权产品系其制造，故该院认定</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实施了制造行为。因冯某甲通过公证保全购买了侵权产品，</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、牟某、龚某甲、龚某乙在其经营的网店内陈列涉案侵权产品、展示侵权产品详情，具有许诺销售的意思表示，故该院认定</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、牟某、龚某甲、龚某丙实施了销售、许诺销售行为。冯某甲亦主张</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、牟某、龚某甲、龚某乙构成共同侵权，该院认为，牟某系</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的法定代表人及股东，</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是</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的股东，龚某甲系</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的股东、监事、员工，亦是</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的监事，牟某与龚某甲系配偶，牟某当庭陈述龚某乙与龚某甲系兄妹关系，龚某乙系</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的员工，同时结合在案证据显示</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、牟某、龚某甲、龚某乙经营的店铺的销售页面描述、商品展示、商标品牌、侵权产品实物等基本信息一致，快递寄件地址及联系电话均一致，</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、牟某、龚某甲、龚某乙亦确认所有店铺由</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统一管理，相关收益由</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进行统一分配，故</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、牟某、龚某甲、龚某乙具有分工协作共同侵权的意思联络，构成共同侵权，冯某甲的该项主张该院予以支持。</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关于争议焦点三，</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、牟某、龚某甲、龚某乙未经专利权人许可，以生产经营为目的销售、许诺销售侵权产品，侵犯了涉案外观设计专利权，应承担停止侵权、赔偿损失的责任。</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未经专利权人许可，以生产经营为目的制造、销售、许诺销售侵权产品，侵犯了涉案外观设计专利权，应承担停止侵权、赔偿损失的责任。因</w:t>
      </w:r>
      <w:r>
        <w:rPr>
          <w:rFonts w:hint="eastAsia" w:ascii="仿宋_GB2312" w:hAnsi="Times New Roman" w:eastAsia="仿宋_GB2312" w:cs="仿宋_GB2312"/>
          <w:color w:val="000000"/>
          <w:kern w:val="0"/>
          <w:sz w:val="32"/>
          <w:szCs w:val="32"/>
          <w:lang w:val="en-US" w:eastAsia="zh-CN" w:bidi="ar"/>
        </w:rPr>
        <w:t>小某公司一审</w:t>
      </w:r>
      <w:r>
        <w:rPr>
          <w:rFonts w:hint="eastAsia" w:ascii="仿宋_GB2312" w:hAnsi="Calibri" w:eastAsia="仿宋_GB2312" w:cs="仿宋_GB2312"/>
          <w:color w:val="000000"/>
          <w:kern w:val="0"/>
          <w:sz w:val="32"/>
          <w:szCs w:val="32"/>
          <w:lang w:val="en-US" w:eastAsia="zh-CN" w:bidi="ar"/>
        </w:rPr>
        <w:t>当庭确认持有相应的专用模具</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故对冯某甲要求销毁专用模具的诉请该院予以支持。因冯某甲未有直接证据证明</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尚有库存产品，故对其要求</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销毁库存产品的诉请该院不予支持。</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关于赔偿数额，本案中，冯某甲主张适用法定赔偿，因此，该院综合考虑涉案专利的类型、授权时间、创新性，</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、牟某、龚某甲、龚某乙的侵权情节、运营成本、规模等事实，按法定赔偿方式酌情确定赔偿数额。同时，该院注意到如下事实：</w:t>
      </w:r>
      <w:r>
        <w:rPr>
          <w:rFonts w:hint="default" w:ascii="Times New Roman" w:hAnsi="Times New Roman" w:eastAsia="仿宋_GB2312" w:cs="Times New Roman"/>
          <w:color w:val="000000"/>
          <w:kern w:val="0"/>
          <w:sz w:val="32"/>
          <w:szCs w:val="32"/>
          <w:lang w:val="en-US" w:eastAsia="zh-CN" w:bidi="ar"/>
        </w:rPr>
        <w:t>1.</w:t>
      </w:r>
      <w:r>
        <w:rPr>
          <w:rFonts w:hint="eastAsia" w:ascii="仿宋_GB2312" w:hAnsi="Calibri" w:eastAsia="仿宋_GB2312" w:cs="仿宋_GB2312"/>
          <w:color w:val="000000"/>
          <w:kern w:val="0"/>
          <w:sz w:val="32"/>
          <w:szCs w:val="32"/>
          <w:lang w:val="en-US" w:eastAsia="zh-CN" w:bidi="ar"/>
        </w:rPr>
        <w:t>涉案专利为外观设计专利，专利申请日为</w:t>
      </w:r>
      <w:r>
        <w:rPr>
          <w:rFonts w:hint="default" w:ascii="Times New Roman" w:hAnsi="Times New Roman" w:eastAsia="仿宋_GB2312" w:cs="Times New Roman"/>
          <w:color w:val="000000"/>
          <w:kern w:val="0"/>
          <w:sz w:val="32"/>
          <w:szCs w:val="32"/>
          <w:lang w:val="en-US" w:eastAsia="zh-CN" w:bidi="ar"/>
        </w:rPr>
        <w:t>2017</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9</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11</w:t>
      </w:r>
      <w:r>
        <w:rPr>
          <w:rFonts w:hint="eastAsia" w:ascii="仿宋_GB2312" w:hAnsi="Calibri" w:eastAsia="仿宋_GB2312" w:cs="仿宋_GB2312"/>
          <w:color w:val="000000"/>
          <w:kern w:val="0"/>
          <w:sz w:val="32"/>
          <w:szCs w:val="32"/>
          <w:lang w:val="en-US" w:eastAsia="zh-CN" w:bidi="ar"/>
        </w:rPr>
        <w:t>日，授权公告日为</w:t>
      </w:r>
      <w:r>
        <w:rPr>
          <w:rFonts w:hint="default" w:ascii="Times New Roman" w:hAnsi="Times New Roman" w:eastAsia="仿宋_GB2312" w:cs="Times New Roman"/>
          <w:color w:val="000000"/>
          <w:kern w:val="0"/>
          <w:sz w:val="32"/>
          <w:szCs w:val="32"/>
          <w:lang w:val="en-US" w:eastAsia="zh-CN" w:bidi="ar"/>
        </w:rPr>
        <w:t>2018</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30</w:t>
      </w:r>
      <w:r>
        <w:rPr>
          <w:rFonts w:hint="eastAsia" w:ascii="仿宋_GB2312" w:hAnsi="Calibri" w:eastAsia="仿宋_GB2312" w:cs="仿宋_GB2312"/>
          <w:color w:val="000000"/>
          <w:kern w:val="0"/>
          <w:sz w:val="32"/>
          <w:szCs w:val="32"/>
          <w:lang w:val="en-US" w:eastAsia="zh-CN" w:bidi="ar"/>
        </w:rPr>
        <w:t>日；</w:t>
      </w:r>
      <w:r>
        <w:rPr>
          <w:rFonts w:hint="default" w:ascii="Times New Roman" w:hAnsi="Times New Roman" w:eastAsia="仿宋_GB2312" w:cs="Times New Roman"/>
          <w:color w:val="000000"/>
          <w:kern w:val="0"/>
          <w:sz w:val="32"/>
          <w:szCs w:val="32"/>
          <w:lang w:val="en-US" w:eastAsia="zh-CN" w:bidi="ar"/>
        </w:rPr>
        <w:t>2.</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、牟某、龚某甲、龚某乙实施了销售、许诺销售侵权产品的行为，</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实施了制造、销售、许诺销售侵权产品的行为，且</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、牟某、龚某甲、龚某乙构成共同侵权；</w:t>
      </w:r>
      <w:r>
        <w:rPr>
          <w:rFonts w:hint="default" w:ascii="Times New Roman" w:hAnsi="Times New Roman" w:eastAsia="仿宋_GB2312" w:cs="Times New Roman"/>
          <w:color w:val="000000"/>
          <w:kern w:val="0"/>
          <w:sz w:val="32"/>
          <w:szCs w:val="32"/>
          <w:lang w:val="en-US" w:eastAsia="zh-CN" w:bidi="ar"/>
        </w:rPr>
        <w:t>3.</w:t>
      </w:r>
      <w:r>
        <w:rPr>
          <w:rFonts w:hint="eastAsia" w:ascii="仿宋_GB2312" w:hAnsi="Calibri" w:eastAsia="仿宋_GB2312" w:cs="仿宋_GB2312"/>
          <w:color w:val="000000"/>
          <w:kern w:val="0"/>
          <w:sz w:val="32"/>
          <w:szCs w:val="32"/>
          <w:lang w:val="en-US" w:eastAsia="zh-CN" w:bidi="ar"/>
        </w:rPr>
        <w:t>被诉侵权产品售价为</w:t>
      </w:r>
      <w:r>
        <w:rPr>
          <w:rFonts w:hint="default" w:ascii="Times New Roman" w:hAnsi="Times New Roman" w:eastAsia="仿宋_GB2312" w:cs="Times New Roman"/>
          <w:color w:val="000000"/>
          <w:kern w:val="0"/>
          <w:sz w:val="32"/>
          <w:szCs w:val="32"/>
          <w:lang w:val="en-US" w:eastAsia="zh-CN" w:bidi="ar"/>
        </w:rPr>
        <w:t>269</w:t>
      </w:r>
      <w:r>
        <w:rPr>
          <w:rFonts w:hint="eastAsia" w:ascii="仿宋_GB2312" w:hAnsi="Calibri" w:eastAsia="仿宋_GB2312" w:cs="仿宋_GB2312"/>
          <w:color w:val="000000"/>
          <w:kern w:val="0"/>
          <w:sz w:val="32"/>
          <w:szCs w:val="32"/>
          <w:lang w:val="en-US" w:eastAsia="zh-CN" w:bidi="ar"/>
        </w:rPr>
        <w:t>元，</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、牟某、龚某甲、龚某乙的五家淘宝店铺销售链接显示的总累计评论为</w:t>
      </w:r>
      <w:r>
        <w:rPr>
          <w:rFonts w:hint="default" w:ascii="Times New Roman" w:hAnsi="Times New Roman" w:eastAsia="仿宋_GB2312" w:cs="Times New Roman"/>
          <w:color w:val="000000"/>
          <w:kern w:val="0"/>
          <w:sz w:val="32"/>
          <w:szCs w:val="32"/>
          <w:lang w:val="en-US" w:eastAsia="zh-CN" w:bidi="ar"/>
        </w:rPr>
        <w:t>499</w:t>
      </w:r>
      <w:r>
        <w:rPr>
          <w:rFonts w:hint="eastAsia" w:ascii="仿宋_GB2312" w:hAnsi="Calibri" w:eastAsia="仿宋_GB2312" w:cs="仿宋_GB2312"/>
          <w:color w:val="000000"/>
          <w:kern w:val="0"/>
          <w:sz w:val="32"/>
          <w:szCs w:val="32"/>
          <w:lang w:val="en-US" w:eastAsia="zh-CN" w:bidi="ar"/>
        </w:rPr>
        <w:t>，总交易成功为</w:t>
      </w:r>
      <w:r>
        <w:rPr>
          <w:rFonts w:hint="default" w:ascii="Times New Roman" w:hAnsi="Times New Roman" w:eastAsia="仿宋_GB2312" w:cs="Times New Roman"/>
          <w:color w:val="000000"/>
          <w:kern w:val="0"/>
          <w:sz w:val="32"/>
          <w:szCs w:val="32"/>
          <w:lang w:val="en-US" w:eastAsia="zh-CN" w:bidi="ar"/>
        </w:rPr>
        <w:t>81</w:t>
      </w:r>
      <w:r>
        <w:rPr>
          <w:rFonts w:hint="eastAsia" w:ascii="仿宋_GB2312" w:hAnsi="Times New Roman" w:eastAsia="仿宋_GB2312" w:cs="仿宋_GB2312"/>
          <w:color w:val="000000"/>
          <w:kern w:val="0"/>
          <w:sz w:val="32"/>
          <w:szCs w:val="32"/>
          <w:lang w:val="en-US" w:eastAsia="zh-CN" w:bidi="ar"/>
        </w:rPr>
        <w:t>，</w:t>
      </w:r>
      <w:r>
        <w:rPr>
          <w:rFonts w:hint="eastAsia" w:ascii="仿宋_GB2312" w:hAnsi="Times New Roman" w:eastAsia="仿宋_GB2312" w:cs="仿宋_GB2312"/>
          <w:kern w:val="2"/>
          <w:sz w:val="28"/>
          <w:szCs w:val="28"/>
          <w:lang w:val="en-US" w:eastAsia="zh-CN" w:bidi="ar"/>
        </w:rPr>
        <w:t>小某公司一审</w:t>
      </w:r>
      <w:r>
        <w:rPr>
          <w:rFonts w:hint="eastAsia" w:ascii="仿宋_GB2312" w:hAnsi="Calibri" w:eastAsia="仿宋_GB2312" w:cs="仿宋_GB2312"/>
          <w:color w:val="000000"/>
          <w:kern w:val="0"/>
          <w:sz w:val="32"/>
          <w:szCs w:val="32"/>
          <w:lang w:val="en-US" w:eastAsia="zh-CN" w:bidi="ar"/>
        </w:rPr>
        <w:t>当庭陈述总销售数量为</w:t>
      </w:r>
      <w:r>
        <w:rPr>
          <w:rFonts w:hint="default" w:ascii="Times New Roman" w:hAnsi="Times New Roman" w:eastAsia="仿宋_GB2312" w:cs="Times New Roman"/>
          <w:color w:val="000000"/>
          <w:kern w:val="0"/>
          <w:sz w:val="32"/>
          <w:szCs w:val="32"/>
          <w:lang w:val="en-US" w:eastAsia="zh-CN" w:bidi="ar"/>
        </w:rPr>
        <w:t>1100</w:t>
      </w:r>
      <w:r>
        <w:rPr>
          <w:rFonts w:hint="eastAsia" w:ascii="仿宋_GB2312" w:hAnsi="Calibri" w:eastAsia="仿宋_GB2312" w:cs="仿宋_GB2312"/>
          <w:color w:val="000000"/>
          <w:kern w:val="0"/>
          <w:sz w:val="32"/>
          <w:szCs w:val="32"/>
          <w:lang w:val="en-US" w:eastAsia="zh-CN" w:bidi="ar"/>
        </w:rPr>
        <w:t>余件；</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Calibri" w:eastAsia="仿宋_GB2312" w:cs="仿宋_GB2312"/>
          <w:color w:val="000000"/>
          <w:kern w:val="0"/>
          <w:sz w:val="32"/>
          <w:szCs w:val="32"/>
          <w:lang w:val="en-US" w:eastAsia="zh-CN" w:bidi="ar"/>
        </w:rPr>
        <w:t>冯某甲为本案维权付出了一定的人力物力。</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综上，一审法院依照《中华人民共和国专利法》第十一条第二款、六十四条第二款、第七十一条，《最高人民法院关于审理侵犯专利权纠纷案件应用法律若干问题的解释》第八条、第十条、第十一条</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《中华人民共和国民事诉讼法》第六十七条之规定，于</w:t>
      </w:r>
      <w:r>
        <w:rPr>
          <w:rFonts w:hint="default" w:ascii="Times New Roman" w:hAnsi="Times New Roman" w:eastAsia="仿宋_GB2312" w:cs="Times New Roman"/>
          <w:color w:val="000000"/>
          <w:kern w:val="0"/>
          <w:sz w:val="32"/>
          <w:szCs w:val="32"/>
          <w:lang w:val="en-US" w:eastAsia="zh-CN" w:bidi="ar"/>
        </w:rPr>
        <w:t>2022</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12</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16</w:t>
      </w:r>
      <w:r>
        <w:rPr>
          <w:rFonts w:hint="eastAsia" w:ascii="仿宋_GB2312" w:hAnsi="Calibri" w:eastAsia="仿宋_GB2312" w:cs="仿宋_GB2312"/>
          <w:color w:val="000000"/>
          <w:kern w:val="0"/>
          <w:sz w:val="32"/>
          <w:szCs w:val="32"/>
          <w:lang w:val="en-US" w:eastAsia="zh-CN" w:bidi="ar"/>
        </w:rPr>
        <w:t>日判决：一、</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立即停止制造、销售、许诺销售落入专利号为</w:t>
      </w:r>
      <w:r>
        <w:rPr>
          <w:rFonts w:hint="default" w:ascii="Times New Roman" w:hAnsi="Times New Roman" w:eastAsia="仿宋_GB2312" w:cs="Times New Roman"/>
          <w:color w:val="000000"/>
          <w:kern w:val="0"/>
          <w:sz w:val="32"/>
          <w:szCs w:val="32"/>
          <w:lang w:val="en-US" w:eastAsia="zh-CN" w:bidi="ar"/>
        </w:rPr>
        <w:t>ZL2017xxxx8662.3</w:t>
      </w:r>
      <w:r>
        <w:rPr>
          <w:rFonts w:hint="eastAsia" w:ascii="仿宋_GB2312" w:hAnsi="Calibri" w:eastAsia="仿宋_GB2312" w:cs="仿宋_GB2312"/>
          <w:color w:val="000000"/>
          <w:kern w:val="0"/>
          <w:sz w:val="32"/>
          <w:szCs w:val="32"/>
          <w:lang w:val="en-US" w:eastAsia="zh-CN" w:bidi="ar"/>
        </w:rPr>
        <w:t>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摩托车手把护罩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外观设计专利权保护范围的产品及专用模具；二、</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、牟某、龚某甲、龚某乙立即停止销售、许诺销售落入专利号为</w:t>
      </w:r>
      <w:r>
        <w:rPr>
          <w:rFonts w:hint="default" w:ascii="Times New Roman" w:hAnsi="Times New Roman" w:eastAsia="仿宋_GB2312" w:cs="Times New Roman"/>
          <w:color w:val="000000"/>
          <w:kern w:val="0"/>
          <w:sz w:val="32"/>
          <w:szCs w:val="32"/>
          <w:lang w:val="en-US" w:eastAsia="zh-CN" w:bidi="ar"/>
        </w:rPr>
        <w:t>ZL2017xxxx8662.3</w:t>
      </w:r>
      <w:r>
        <w:rPr>
          <w:rFonts w:hint="eastAsia" w:ascii="仿宋_GB2312" w:hAnsi="Calibri" w:eastAsia="仿宋_GB2312" w:cs="仿宋_GB2312"/>
          <w:color w:val="000000"/>
          <w:kern w:val="0"/>
          <w:sz w:val="32"/>
          <w:szCs w:val="32"/>
          <w:lang w:val="en-US" w:eastAsia="zh-CN" w:bidi="ar"/>
        </w:rPr>
        <w:t>的</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摩托车手把护罩</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外观设计专利权保护范围的产品；三、</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、牟某、龚某甲、龚某乙于判决生效之日起十日内连带赔偿冯某甲经济损失</w:t>
      </w:r>
      <w:r>
        <w:rPr>
          <w:rFonts w:hint="default" w:ascii="Times New Roman" w:hAnsi="Times New Roman" w:eastAsia="仿宋_GB2312" w:cs="Times New Roman"/>
          <w:color w:val="000000"/>
          <w:kern w:val="0"/>
          <w:sz w:val="32"/>
          <w:szCs w:val="32"/>
          <w:lang w:val="en-US" w:eastAsia="zh-CN" w:bidi="ar"/>
        </w:rPr>
        <w:t>50000</w:t>
      </w:r>
      <w:r>
        <w:rPr>
          <w:rFonts w:hint="eastAsia" w:ascii="仿宋_GB2312" w:hAnsi="Calibri" w:eastAsia="仿宋_GB2312" w:cs="仿宋_GB2312"/>
          <w:color w:val="000000"/>
          <w:kern w:val="0"/>
          <w:sz w:val="32"/>
          <w:szCs w:val="32"/>
          <w:lang w:val="en-US" w:eastAsia="zh-CN" w:bidi="ar"/>
        </w:rPr>
        <w:t>元及为制止侵权行为所支付的合理开支</w:t>
      </w:r>
      <w:r>
        <w:rPr>
          <w:rFonts w:hint="default" w:ascii="Times New Roman" w:hAnsi="Times New Roman" w:eastAsia="仿宋_GB2312" w:cs="Times New Roman"/>
          <w:color w:val="000000"/>
          <w:kern w:val="0"/>
          <w:sz w:val="32"/>
          <w:szCs w:val="32"/>
          <w:lang w:val="en-US" w:eastAsia="zh-CN" w:bidi="ar"/>
        </w:rPr>
        <w:t>10000</w:t>
      </w:r>
      <w:r>
        <w:rPr>
          <w:rFonts w:hint="eastAsia" w:ascii="仿宋_GB2312" w:hAnsi="Calibri" w:eastAsia="仿宋_GB2312" w:cs="仿宋_GB2312"/>
          <w:color w:val="000000"/>
          <w:kern w:val="0"/>
          <w:sz w:val="32"/>
          <w:szCs w:val="32"/>
          <w:lang w:val="en-US" w:eastAsia="zh-CN" w:bidi="ar"/>
        </w:rPr>
        <w:t>元，共计</w:t>
      </w:r>
      <w:r>
        <w:rPr>
          <w:rFonts w:hint="default" w:ascii="Times New Roman" w:hAnsi="Times New Roman" w:eastAsia="仿宋_GB2312" w:cs="Times New Roman"/>
          <w:color w:val="000000"/>
          <w:kern w:val="0"/>
          <w:sz w:val="32"/>
          <w:szCs w:val="32"/>
          <w:lang w:val="en-US" w:eastAsia="zh-CN" w:bidi="ar"/>
        </w:rPr>
        <w:t>60000</w:t>
      </w:r>
      <w:r>
        <w:rPr>
          <w:rFonts w:hint="eastAsia" w:ascii="仿宋_GB2312" w:hAnsi="Calibri" w:eastAsia="仿宋_GB2312" w:cs="仿宋_GB2312"/>
          <w:color w:val="000000"/>
          <w:kern w:val="0"/>
          <w:sz w:val="32"/>
          <w:szCs w:val="32"/>
          <w:lang w:val="en-US" w:eastAsia="zh-CN" w:bidi="ar"/>
        </w:rPr>
        <w:t>元；四、驳回冯某甲的其他诉讼请求。</w:t>
      </w:r>
      <w:r>
        <w:rPr>
          <w:rFonts w:hint="eastAsia" w:ascii="仿宋_GB2312" w:hAnsi="Times New Roman" w:eastAsia="仿宋_GB2312" w:cs="仿宋_GB2312"/>
          <w:color w:val="000000"/>
          <w:kern w:val="0"/>
          <w:sz w:val="32"/>
          <w:szCs w:val="32"/>
          <w:lang w:val="en-US" w:eastAsia="zh-CN" w:bidi="ar"/>
        </w:rPr>
        <w:t>一审</w:t>
      </w:r>
      <w:r>
        <w:rPr>
          <w:rFonts w:hint="eastAsia" w:ascii="仿宋_GB2312" w:hAnsi="Calibri" w:eastAsia="仿宋_GB2312" w:cs="仿宋_GB2312"/>
          <w:color w:val="000000"/>
          <w:kern w:val="0"/>
          <w:sz w:val="32"/>
          <w:szCs w:val="32"/>
          <w:lang w:val="en-US" w:eastAsia="zh-CN" w:bidi="ar"/>
        </w:rPr>
        <w:t>案件受理费</w:t>
      </w:r>
      <w:r>
        <w:rPr>
          <w:rFonts w:hint="default" w:ascii="Times New Roman" w:hAnsi="Times New Roman" w:eastAsia="仿宋_GB2312" w:cs="Times New Roman"/>
          <w:color w:val="000000"/>
          <w:kern w:val="0"/>
          <w:sz w:val="32"/>
          <w:szCs w:val="32"/>
          <w:lang w:val="en-US" w:eastAsia="zh-CN" w:bidi="ar"/>
        </w:rPr>
        <w:t>9300</w:t>
      </w:r>
      <w:r>
        <w:rPr>
          <w:rFonts w:hint="eastAsia" w:ascii="仿宋_GB2312" w:hAnsi="Calibri" w:eastAsia="仿宋_GB2312" w:cs="仿宋_GB2312"/>
          <w:color w:val="000000"/>
          <w:kern w:val="0"/>
          <w:sz w:val="32"/>
          <w:szCs w:val="32"/>
          <w:lang w:val="en-US" w:eastAsia="zh-CN" w:bidi="ar"/>
        </w:rPr>
        <w:t>元，由冯某甲负担</w:t>
      </w:r>
      <w:r>
        <w:rPr>
          <w:rFonts w:hint="default" w:ascii="Times New Roman" w:hAnsi="Times New Roman" w:eastAsia="仿宋_GB2312" w:cs="Times New Roman"/>
          <w:color w:val="000000"/>
          <w:kern w:val="0"/>
          <w:sz w:val="32"/>
          <w:szCs w:val="32"/>
          <w:lang w:val="en-US" w:eastAsia="zh-CN" w:bidi="ar"/>
        </w:rPr>
        <w:t>4092</w:t>
      </w:r>
      <w:r>
        <w:rPr>
          <w:rFonts w:hint="eastAsia" w:ascii="仿宋_GB2312" w:hAnsi="Calibri" w:eastAsia="仿宋_GB2312" w:cs="仿宋_GB2312"/>
          <w:color w:val="000000"/>
          <w:kern w:val="0"/>
          <w:sz w:val="32"/>
          <w:szCs w:val="32"/>
          <w:lang w:val="en-US" w:eastAsia="zh-CN" w:bidi="ar"/>
        </w:rPr>
        <w:t>元，</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摩某公司</w:t>
      </w:r>
      <w:r>
        <w:rPr>
          <w:rFonts w:hint="eastAsia" w:ascii="仿宋_GB2312" w:hAnsi="Calibri" w:eastAsia="仿宋_GB2312" w:cs="仿宋_GB2312"/>
          <w:color w:val="000000"/>
          <w:kern w:val="0"/>
          <w:sz w:val="32"/>
          <w:szCs w:val="32"/>
          <w:lang w:val="en-US" w:eastAsia="zh-CN" w:bidi="ar"/>
        </w:rPr>
        <w:t>、牟某、龚某甲、龚某乙共同负担</w:t>
      </w:r>
      <w:r>
        <w:rPr>
          <w:rFonts w:hint="default" w:ascii="Times New Roman" w:hAnsi="Times New Roman" w:eastAsia="仿宋_GB2312" w:cs="Times New Roman"/>
          <w:color w:val="000000"/>
          <w:kern w:val="0"/>
          <w:sz w:val="32"/>
          <w:szCs w:val="32"/>
          <w:lang w:val="en-US" w:eastAsia="zh-CN" w:bidi="ar"/>
        </w:rPr>
        <w:t>5208</w:t>
      </w:r>
      <w:r>
        <w:rPr>
          <w:rFonts w:hint="eastAsia" w:ascii="仿宋_GB2312" w:hAnsi="Calibri" w:eastAsia="仿宋_GB2312" w:cs="仿宋_GB2312"/>
          <w:color w:val="000000"/>
          <w:kern w:val="0"/>
          <w:sz w:val="32"/>
          <w:szCs w:val="32"/>
          <w:lang w:val="en-US" w:eastAsia="zh-CN" w:bidi="ar"/>
        </w:rPr>
        <w:t>元。</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二审中，冯某甲</w:t>
      </w:r>
      <w:r>
        <w:rPr>
          <w:rFonts w:hint="eastAsia" w:ascii="仿宋_GB2312" w:hAnsi="Times New Roman" w:eastAsia="仿宋_GB2312" w:cs="仿宋_GB2312"/>
          <w:color w:val="000000"/>
          <w:kern w:val="0"/>
          <w:sz w:val="32"/>
          <w:szCs w:val="32"/>
          <w:lang w:val="en-US" w:eastAsia="zh-CN" w:bidi="ar"/>
        </w:rPr>
        <w:t>及各原审被告均</w:t>
      </w:r>
      <w:r>
        <w:rPr>
          <w:rFonts w:hint="eastAsia" w:ascii="仿宋_GB2312" w:hAnsi="Calibri" w:eastAsia="仿宋_GB2312" w:cs="仿宋_GB2312"/>
          <w:color w:val="000000"/>
          <w:kern w:val="0"/>
          <w:sz w:val="32"/>
          <w:szCs w:val="32"/>
          <w:lang w:val="en-US" w:eastAsia="zh-CN" w:bidi="ar"/>
        </w:rPr>
        <w:t>未向本院提交新的证据。</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向本院提交了重庆市两江公证处（</w:t>
      </w:r>
      <w:r>
        <w:rPr>
          <w:rFonts w:hint="default" w:ascii="Times New Roman" w:hAnsi="Times New Roman" w:eastAsia="仿宋_GB2312" w:cs="Times New Roman"/>
          <w:color w:val="000000"/>
          <w:kern w:val="0"/>
          <w:sz w:val="32"/>
          <w:szCs w:val="32"/>
          <w:lang w:val="en-US" w:eastAsia="zh-CN" w:bidi="ar"/>
        </w:rPr>
        <w:t>2023</w:t>
      </w:r>
      <w:r>
        <w:rPr>
          <w:rFonts w:hint="eastAsia" w:ascii="仿宋_GB2312" w:hAnsi="Calibri" w:eastAsia="仿宋_GB2312" w:cs="仿宋_GB2312"/>
          <w:color w:val="000000"/>
          <w:kern w:val="0"/>
          <w:sz w:val="32"/>
          <w:szCs w:val="32"/>
          <w:lang w:val="en-US" w:eastAsia="zh-CN" w:bidi="ar"/>
        </w:rPr>
        <w:t>）渝两江证字第</w:t>
      </w:r>
      <w:r>
        <w:rPr>
          <w:rFonts w:hint="default" w:ascii="Times New Roman" w:hAnsi="Times New Roman" w:eastAsia="仿宋_GB2312" w:cs="Times New Roman"/>
          <w:color w:val="000000"/>
          <w:kern w:val="0"/>
          <w:sz w:val="32"/>
          <w:szCs w:val="32"/>
          <w:lang w:val="en-US" w:eastAsia="zh-CN" w:bidi="ar"/>
        </w:rPr>
        <w:t>4293</w:t>
      </w:r>
      <w:r>
        <w:rPr>
          <w:rFonts w:hint="eastAsia" w:ascii="仿宋_GB2312" w:hAnsi="Calibri" w:eastAsia="仿宋_GB2312" w:cs="仿宋_GB2312"/>
          <w:color w:val="000000"/>
          <w:kern w:val="0"/>
          <w:sz w:val="32"/>
          <w:szCs w:val="32"/>
          <w:lang w:val="en-US" w:eastAsia="zh-CN" w:bidi="ar"/>
        </w:rPr>
        <w:t>号公证书，拟证明澳大利亚一家专门介绍摩托车产品和运动的</w:t>
      </w:r>
      <w:r>
        <w:rPr>
          <w:rFonts w:hint="default" w:ascii="Times New Roman" w:hAnsi="Times New Roman" w:eastAsia="仿宋_GB2312" w:cs="Times New Roman"/>
          <w:color w:val="000000"/>
          <w:kern w:val="0"/>
          <w:sz w:val="32"/>
          <w:szCs w:val="32"/>
          <w:lang w:val="en-US" w:eastAsia="zh-CN" w:bidi="ar"/>
        </w:rPr>
        <w:t>brakbusters</w:t>
      </w:r>
      <w:r>
        <w:rPr>
          <w:rFonts w:hint="eastAsia" w:ascii="仿宋_GB2312" w:hAnsi="Calibri" w:eastAsia="仿宋_GB2312" w:cs="仿宋_GB2312"/>
          <w:color w:val="000000"/>
          <w:kern w:val="0"/>
          <w:sz w:val="32"/>
          <w:szCs w:val="32"/>
          <w:lang w:val="en-US" w:eastAsia="zh-CN" w:bidi="ar"/>
        </w:rPr>
        <w:t>网站上公开的摩托车</w:t>
      </w:r>
      <w:r>
        <w:rPr>
          <w:rFonts w:hint="eastAsia" w:ascii="仿宋_GB2312" w:hAnsi="Times New Roman" w:eastAsia="仿宋_GB2312" w:cs="仿宋_GB2312"/>
          <w:color w:val="000000"/>
          <w:kern w:val="0"/>
          <w:sz w:val="32"/>
          <w:szCs w:val="32"/>
          <w:lang w:val="en-US" w:eastAsia="zh-CN" w:bidi="ar"/>
        </w:rPr>
        <w:t>手把</w:t>
      </w:r>
      <w:r>
        <w:rPr>
          <w:rFonts w:hint="eastAsia" w:ascii="仿宋_GB2312" w:hAnsi="Calibri" w:eastAsia="仿宋_GB2312" w:cs="仿宋_GB2312"/>
          <w:color w:val="000000"/>
          <w:kern w:val="0"/>
          <w:sz w:val="32"/>
          <w:szCs w:val="32"/>
          <w:lang w:val="en-US" w:eastAsia="zh-CN" w:bidi="ar"/>
        </w:rPr>
        <w:t>罩的照片显示，涉案专利相关设计要点已在</w:t>
      </w:r>
      <w:r>
        <w:rPr>
          <w:rFonts w:hint="default" w:ascii="Times New Roman" w:hAnsi="Times New Roman" w:eastAsia="仿宋_GB2312" w:cs="Times New Roman"/>
          <w:color w:val="000000"/>
          <w:kern w:val="0"/>
          <w:sz w:val="32"/>
          <w:szCs w:val="32"/>
          <w:lang w:val="en-US" w:eastAsia="zh-CN" w:bidi="ar"/>
        </w:rPr>
        <w:t>2017</w:t>
      </w:r>
      <w:r>
        <w:rPr>
          <w:rFonts w:hint="eastAsia" w:ascii="仿宋_GB2312" w:hAnsi="Calibri"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4</w:t>
      </w:r>
      <w:r>
        <w:rPr>
          <w:rFonts w:hint="eastAsia" w:ascii="仿宋_GB2312" w:hAnsi="Calibri"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26</w:t>
      </w:r>
      <w:r>
        <w:rPr>
          <w:rFonts w:hint="eastAsia" w:ascii="仿宋_GB2312" w:hAnsi="Calibri" w:eastAsia="仿宋_GB2312" w:cs="仿宋_GB2312"/>
          <w:color w:val="000000"/>
          <w:kern w:val="0"/>
          <w:sz w:val="32"/>
          <w:szCs w:val="32"/>
          <w:lang w:val="en-US" w:eastAsia="zh-CN" w:bidi="ar"/>
        </w:rPr>
        <w:t>日专利申请日前被公开，被诉侵权设计采用的是现有设计。经质证，冯某甲对该份证据的真实性没有异议，关联性有异议，认为仅凭该网站图片上可修改的时间不能证明相关设计的公开时间，且该图片仅一</w:t>
      </w:r>
      <w:r>
        <w:rPr>
          <w:rFonts w:hint="eastAsia" w:ascii="仿宋_GB2312" w:hAnsi="Times New Roman" w:eastAsia="仿宋_GB2312" w:cs="仿宋_GB2312"/>
          <w:color w:val="000000"/>
          <w:kern w:val="0"/>
          <w:sz w:val="32"/>
          <w:szCs w:val="32"/>
          <w:lang w:val="en-US" w:eastAsia="zh-CN" w:bidi="ar"/>
        </w:rPr>
        <w:t>面</w:t>
      </w:r>
      <w:r>
        <w:rPr>
          <w:rFonts w:hint="eastAsia" w:ascii="仿宋_GB2312" w:hAnsi="Calibri" w:eastAsia="仿宋_GB2312" w:cs="仿宋_GB2312"/>
          <w:color w:val="000000"/>
          <w:kern w:val="0"/>
          <w:sz w:val="32"/>
          <w:szCs w:val="32"/>
          <w:lang w:val="en-US" w:eastAsia="zh-CN" w:bidi="ar"/>
        </w:rPr>
        <w:t>视图，无法进行比对。</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经审查，本院认为，</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的证据经过公证程序，真实性</w:t>
      </w:r>
      <w:r>
        <w:rPr>
          <w:rFonts w:hint="eastAsia" w:ascii="仿宋_GB2312" w:hAnsi="Times New Roman" w:eastAsia="仿宋_GB2312" w:cs="仿宋_GB2312"/>
          <w:color w:val="000000"/>
          <w:kern w:val="0"/>
          <w:sz w:val="32"/>
          <w:szCs w:val="32"/>
          <w:lang w:val="en-US" w:eastAsia="zh-CN" w:bidi="ar"/>
        </w:rPr>
        <w:t>可</w:t>
      </w:r>
      <w:r>
        <w:rPr>
          <w:rFonts w:hint="eastAsia" w:ascii="仿宋_GB2312" w:hAnsi="Calibri" w:eastAsia="仿宋_GB2312" w:cs="仿宋_GB2312"/>
          <w:color w:val="000000"/>
          <w:kern w:val="0"/>
          <w:sz w:val="32"/>
          <w:szCs w:val="32"/>
          <w:lang w:val="en-US" w:eastAsia="zh-CN" w:bidi="ar"/>
        </w:rPr>
        <w:t>以确认，但该公证网站上显示的仅为摩托车</w:t>
      </w:r>
      <w:r>
        <w:rPr>
          <w:rFonts w:hint="eastAsia" w:ascii="仿宋_GB2312" w:hAnsi="Times New Roman" w:eastAsia="仿宋_GB2312" w:cs="仿宋_GB2312"/>
          <w:color w:val="000000"/>
          <w:kern w:val="0"/>
          <w:sz w:val="32"/>
          <w:szCs w:val="32"/>
          <w:lang w:val="en-US" w:eastAsia="zh-CN" w:bidi="ar"/>
        </w:rPr>
        <w:t>手把</w:t>
      </w:r>
      <w:r>
        <w:rPr>
          <w:rFonts w:hint="eastAsia" w:ascii="仿宋_GB2312" w:hAnsi="Calibri" w:eastAsia="仿宋_GB2312" w:cs="仿宋_GB2312"/>
          <w:color w:val="000000"/>
          <w:kern w:val="0"/>
          <w:sz w:val="32"/>
          <w:szCs w:val="32"/>
          <w:lang w:val="en-US" w:eastAsia="zh-CN" w:bidi="ar"/>
        </w:rPr>
        <w:t>罩的正面图片，并未公开其他视图，且该正面图片显示的外观设计与被诉侵权设计亦存在较为明显的不同，故该证据</w:t>
      </w:r>
      <w:r>
        <w:rPr>
          <w:rFonts w:hint="eastAsia" w:ascii="仿宋_GB2312" w:hAnsi="Times New Roman" w:eastAsia="仿宋_GB2312" w:cs="仿宋_GB2312"/>
          <w:color w:val="000000"/>
          <w:kern w:val="0"/>
          <w:sz w:val="32"/>
          <w:szCs w:val="32"/>
          <w:lang w:val="en-US" w:eastAsia="zh-CN" w:bidi="ar"/>
        </w:rPr>
        <w:t>不能实现其证明目的</w:t>
      </w:r>
      <w:r>
        <w:rPr>
          <w:rFonts w:hint="eastAsia" w:ascii="仿宋_GB2312" w:hAnsi="Calibri" w:eastAsia="仿宋_GB2312" w:cs="仿宋_GB2312"/>
          <w:color w:val="000000"/>
          <w:kern w:val="0"/>
          <w:sz w:val="32"/>
          <w:szCs w:val="32"/>
          <w:lang w:val="en-US" w:eastAsia="zh-CN" w:bidi="ar"/>
        </w:rPr>
        <w:t>，不予认定。</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二审查明的事实与一审法院认定的事实一致。</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根据</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的上诉请求和理由，以及冯某甲的答辩意见，本院认为本案二审的争议焦点在于：一、被诉侵权设计是否落入涉案专利权的保护范围；二、</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主张的现有设计抗辩是否成立。</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关于争议焦点一</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首先，《最高人民法院关于审理侵犯专利权纠纷案件应用法律若干问题的解释》第十条规定：</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人民法院应当以外观设计专利产品的一般消费者的知识水平和认知能力，判断外观设计是否相同或者近似。</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因此，在判断外观设计是否相同或近似时，不能从专业人员的角度进行判断，而是应当以对相关产品具有常识性了解的一般消费者为判断主体。对于涉案摩托车</w:t>
      </w:r>
      <w:r>
        <w:rPr>
          <w:rFonts w:hint="eastAsia" w:ascii="仿宋_GB2312" w:hAnsi="Times New Roman" w:eastAsia="仿宋_GB2312" w:cs="仿宋_GB2312"/>
          <w:color w:val="000000"/>
          <w:kern w:val="0"/>
          <w:sz w:val="32"/>
          <w:szCs w:val="32"/>
          <w:lang w:val="en-US" w:eastAsia="zh-CN" w:bidi="ar"/>
        </w:rPr>
        <w:t>手把</w:t>
      </w:r>
      <w:r>
        <w:rPr>
          <w:rFonts w:hint="eastAsia" w:ascii="仿宋_GB2312" w:hAnsi="Calibri" w:eastAsia="仿宋_GB2312" w:cs="仿宋_GB2312"/>
          <w:color w:val="000000"/>
          <w:kern w:val="0"/>
          <w:sz w:val="32"/>
          <w:szCs w:val="32"/>
          <w:lang w:val="en-US" w:eastAsia="zh-CN" w:bidi="ar"/>
        </w:rPr>
        <w:t>罩的外观设计而言，由于其是摩托车外部可视部件，故对该产品具有常识性了解的一般消费者，应当既包括组装者、维修者，也包括一般购买者、使用者。一审对此认定并无不当。</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其次，</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上诉主张涉案专利呈圆润勺子状的产品外观系技术功能决定，应当排除在涉案专利权的保护范围之外。本院认为，涉案专利的整体呈圆润勺子状设计并非由其挡风、提高强度或连接等功能性所唯一决定的特定形状，</w:t>
      </w:r>
      <w:r>
        <w:rPr>
          <w:rFonts w:hint="eastAsia" w:ascii="仿宋_GB2312" w:hAnsi="Times New Roman" w:eastAsia="仿宋_GB2312" w:cs="仿宋_GB2312"/>
          <w:color w:val="000000"/>
          <w:kern w:val="0"/>
          <w:sz w:val="32"/>
          <w:szCs w:val="32"/>
          <w:lang w:val="en-US" w:eastAsia="zh-CN" w:bidi="ar"/>
        </w:rPr>
        <w:t>该设计特征和安装支架的</w:t>
      </w:r>
      <w:r>
        <w:rPr>
          <w:rFonts w:hint="eastAsia" w:ascii="仿宋_GB2312" w:hAnsi="Calibri" w:eastAsia="仿宋_GB2312" w:cs="仿宋_GB2312"/>
          <w:color w:val="000000"/>
          <w:kern w:val="0"/>
          <w:sz w:val="32"/>
          <w:szCs w:val="32"/>
          <w:lang w:val="en-US" w:eastAsia="zh-CN" w:bidi="ar"/>
        </w:rPr>
        <w:t>旋风形螺钉孔、子弹头形排列</w:t>
      </w:r>
      <w:r>
        <w:rPr>
          <w:rFonts w:hint="eastAsia" w:ascii="仿宋_GB2312" w:hAnsi="Times New Roman" w:eastAsia="仿宋_GB2312" w:cs="仿宋_GB2312"/>
          <w:color w:val="000000"/>
          <w:kern w:val="0"/>
          <w:sz w:val="32"/>
          <w:szCs w:val="32"/>
          <w:lang w:val="en-US" w:eastAsia="zh-CN" w:bidi="ar"/>
        </w:rPr>
        <w:t>等均</w:t>
      </w:r>
      <w:r>
        <w:rPr>
          <w:rFonts w:hint="eastAsia" w:ascii="仿宋_GB2312" w:hAnsi="Calibri" w:eastAsia="仿宋_GB2312" w:cs="仿宋_GB2312"/>
          <w:color w:val="000000"/>
          <w:kern w:val="0"/>
          <w:sz w:val="32"/>
          <w:szCs w:val="32"/>
          <w:lang w:val="en-US" w:eastAsia="zh-CN" w:bidi="ar"/>
        </w:rPr>
        <w:t>具有一定装饰性，体现了视觉上的美感。因此，涉案专利产品虽然具有相应功能</w:t>
      </w:r>
      <w:r>
        <w:rPr>
          <w:rFonts w:hint="eastAsia" w:ascii="仿宋_GB2312" w:hAnsi="Times New Roman" w:eastAsia="仿宋_GB2312" w:cs="仿宋_GB2312"/>
          <w:color w:val="000000"/>
          <w:kern w:val="0"/>
          <w:sz w:val="32"/>
          <w:szCs w:val="32"/>
          <w:lang w:val="en-US" w:eastAsia="zh-CN" w:bidi="ar"/>
        </w:rPr>
        <w:t>性</w:t>
      </w:r>
      <w:r>
        <w:rPr>
          <w:rFonts w:hint="eastAsia" w:ascii="仿宋_GB2312" w:hAnsi="Calibri" w:eastAsia="仿宋_GB2312" w:cs="仿宋_GB2312"/>
          <w:color w:val="000000"/>
          <w:kern w:val="0"/>
          <w:sz w:val="32"/>
          <w:szCs w:val="32"/>
          <w:lang w:val="en-US" w:eastAsia="zh-CN" w:bidi="ar"/>
        </w:rPr>
        <w:t>，但不能据此将涉案专利理解为仅仅由实现其功能的唯一设计，更不能因此认定不属于涉案外观设计保护的范围。</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最后，</w:t>
      </w:r>
      <w:r>
        <w:rPr>
          <w:rFonts w:hint="eastAsia" w:ascii="仿宋_GB2312" w:hAnsi="Times New Roman" w:eastAsia="仿宋_GB2312" w:cs="仿宋_GB2312"/>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最高人民法院关于审理侵犯专利权纠纷案件应用法律若干问题的解释》第十一条规定：</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从涉案外观设计专利图片以及专利权评价报告可知，涉案专利的主要创新之处在于手把罩整体较为圆润且呈勺子状，罩壳一侧凹陷呈箭头状，且安装支架设置在罩壳底部三分之一处，罩壳设置有向上翻起的帽檐。</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虽提出异议，认为上述设计特征已在专利申请日前公开，但并未提供</w:t>
      </w:r>
      <w:r>
        <w:rPr>
          <w:rFonts w:hint="eastAsia" w:ascii="仿宋_GB2312" w:hAnsi="Times New Roman" w:eastAsia="仿宋_GB2312" w:cs="仿宋_GB2312"/>
          <w:color w:val="000000"/>
          <w:kern w:val="0"/>
          <w:sz w:val="32"/>
          <w:szCs w:val="32"/>
          <w:lang w:val="en-US" w:eastAsia="zh-CN" w:bidi="ar"/>
        </w:rPr>
        <w:t>有效</w:t>
      </w:r>
      <w:r>
        <w:rPr>
          <w:rFonts w:hint="eastAsia" w:ascii="仿宋_GB2312" w:hAnsi="Calibri" w:eastAsia="仿宋_GB2312" w:cs="仿宋_GB2312"/>
          <w:color w:val="000000"/>
          <w:kern w:val="0"/>
          <w:sz w:val="32"/>
          <w:szCs w:val="32"/>
          <w:lang w:val="en-US" w:eastAsia="zh-CN" w:bidi="ar"/>
        </w:rPr>
        <w:t>证据予以证明。被诉侵权产品与涉案专利产品均为摩托车手把罩，属于同类产品，可以进行比对。将被诉侵权设计与涉案专利进行比对，两者整体外形均呈现圆润的勺子状，且由罩壳和安装支架组成，安装支架的形状、位置以及罩壳向上翻起的帽檐设计均相同。虽然两者在安装支架长度、罩壳箭头部、后视镜、曲面弧度设计上存在一定区别，但与对整体视觉效果更具有影响的设计特征相比，均属于局部细微区别，不足以使两者的整体视觉效果产生实质性差异，根据</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整体观察，综合判断</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Calibri" w:eastAsia="仿宋_GB2312" w:cs="仿宋_GB2312"/>
          <w:color w:val="000000"/>
          <w:kern w:val="0"/>
          <w:sz w:val="32"/>
          <w:szCs w:val="32"/>
          <w:lang w:val="en-US" w:eastAsia="zh-CN" w:bidi="ar"/>
        </w:rPr>
        <w:t>的原则，被诉侵权设计与涉案专利构成近似外观设计，被诉侵权产品落入涉案专利权的保护范围。至于</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以其自身拥有的外观设计专利权及专利权评价报告主张被诉侵权设计与涉案专利不相同也不近似，因</w:t>
      </w:r>
      <w:r>
        <w:rPr>
          <w:rFonts w:hint="eastAsia" w:ascii="仿宋_GB2312" w:hAnsi="Times New Roman" w:eastAsia="仿宋_GB2312" w:cs="仿宋_GB2312"/>
          <w:color w:val="000000"/>
          <w:kern w:val="0"/>
          <w:sz w:val="32"/>
          <w:szCs w:val="32"/>
          <w:lang w:val="en-US" w:eastAsia="zh-CN" w:bidi="ar"/>
        </w:rPr>
        <w:t>小某公司的</w:t>
      </w:r>
      <w:r>
        <w:rPr>
          <w:rFonts w:hint="eastAsia" w:ascii="仿宋_GB2312" w:hAnsi="Calibri" w:eastAsia="仿宋_GB2312" w:cs="仿宋_GB2312"/>
          <w:color w:val="000000"/>
          <w:kern w:val="0"/>
          <w:sz w:val="32"/>
          <w:szCs w:val="32"/>
          <w:lang w:val="en-US" w:eastAsia="zh-CN" w:bidi="ar"/>
        </w:rPr>
        <w:t>专利</w:t>
      </w:r>
      <w:r>
        <w:rPr>
          <w:rFonts w:hint="eastAsia" w:ascii="仿宋_GB2312" w:hAnsi="Times New Roman" w:eastAsia="仿宋_GB2312" w:cs="仿宋_GB2312"/>
          <w:color w:val="000000"/>
          <w:kern w:val="0"/>
          <w:sz w:val="32"/>
          <w:szCs w:val="32"/>
          <w:lang w:val="en-US" w:eastAsia="zh-CN" w:bidi="ar"/>
        </w:rPr>
        <w:t>为</w:t>
      </w:r>
      <w:r>
        <w:rPr>
          <w:rFonts w:hint="eastAsia" w:ascii="仿宋_GB2312" w:hAnsi="Calibri" w:eastAsia="仿宋_GB2312" w:cs="仿宋_GB2312"/>
          <w:color w:val="000000"/>
          <w:kern w:val="0"/>
          <w:sz w:val="32"/>
          <w:szCs w:val="32"/>
          <w:lang w:val="en-US" w:eastAsia="zh-CN" w:bidi="ar"/>
        </w:rPr>
        <w:t>在</w:t>
      </w:r>
      <w:r>
        <w:rPr>
          <w:rFonts w:hint="eastAsia" w:ascii="仿宋_GB2312" w:hAnsi="Times New Roman" w:eastAsia="仿宋_GB2312" w:cs="仿宋_GB2312"/>
          <w:color w:val="000000"/>
          <w:kern w:val="0"/>
          <w:sz w:val="32"/>
          <w:szCs w:val="32"/>
          <w:lang w:val="en-US" w:eastAsia="zh-CN" w:bidi="ar"/>
        </w:rPr>
        <w:t>后</w:t>
      </w:r>
      <w:r>
        <w:rPr>
          <w:rFonts w:hint="eastAsia" w:ascii="仿宋_GB2312" w:hAnsi="Calibri" w:eastAsia="仿宋_GB2312" w:cs="仿宋_GB2312"/>
          <w:color w:val="000000"/>
          <w:kern w:val="0"/>
          <w:sz w:val="32"/>
          <w:szCs w:val="32"/>
          <w:lang w:val="en-US" w:eastAsia="zh-CN" w:bidi="ar"/>
        </w:rPr>
        <w:t>专利，专利权评价报告亦非无效审查决定，故不影响本案侵权判定。</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关于争议焦点二</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如前所述，本院对</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二审提交的现有设计抗辩的证据不予认定，且该证据显示的产品外形与被诉侵权设计不相同也不近似，故</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主张的现有设计抗辩不能成立。</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综上，本院认为，</w:t>
      </w:r>
      <w:r>
        <w:rPr>
          <w:rFonts w:hint="eastAsia" w:ascii="仿宋_GB2312" w:hAnsi="Times New Roman" w:eastAsia="仿宋_GB2312" w:cs="仿宋_GB2312"/>
          <w:color w:val="000000"/>
          <w:kern w:val="0"/>
          <w:sz w:val="32"/>
          <w:szCs w:val="32"/>
          <w:lang w:val="en-US" w:eastAsia="zh-CN" w:bidi="ar"/>
        </w:rPr>
        <w:t>小某公司</w:t>
      </w:r>
      <w:r>
        <w:rPr>
          <w:rFonts w:hint="eastAsia" w:ascii="仿宋_GB2312" w:hAnsi="Calibri" w:eastAsia="仿宋_GB2312" w:cs="仿宋_GB2312"/>
          <w:color w:val="000000"/>
          <w:kern w:val="0"/>
          <w:sz w:val="32"/>
          <w:szCs w:val="32"/>
          <w:lang w:val="en-US" w:eastAsia="zh-CN" w:bidi="ar"/>
        </w:rPr>
        <w:t>的上诉理由不能成立，对其上诉请求不予支持。一审判决认定事实清楚，适用法律正确。依照《中华人民共和国民事诉讼法》第一百七十七条第一款第一项之规定，判决如下：</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驳回上诉，维持原判。</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二审案件受理费</w:t>
      </w:r>
      <w:r>
        <w:rPr>
          <w:rFonts w:hint="default" w:ascii="Times New Roman" w:hAnsi="Times New Roman" w:eastAsia="仿宋_GB2312" w:cs="Times New Roman"/>
          <w:color w:val="000000"/>
          <w:kern w:val="0"/>
          <w:sz w:val="32"/>
          <w:szCs w:val="32"/>
          <w:lang w:val="en-US" w:eastAsia="zh-CN" w:bidi="ar"/>
        </w:rPr>
        <w:t>1300</w:t>
      </w:r>
      <w:r>
        <w:rPr>
          <w:rFonts w:hint="eastAsia" w:ascii="仿宋_GB2312" w:hAnsi="Calibri" w:eastAsia="仿宋_GB2312" w:cs="仿宋_GB2312"/>
          <w:color w:val="000000"/>
          <w:kern w:val="0"/>
          <w:sz w:val="32"/>
          <w:szCs w:val="32"/>
          <w:lang w:val="en-US" w:eastAsia="zh-CN" w:bidi="ar"/>
        </w:rPr>
        <w:t>元，由</w:t>
      </w:r>
      <w:r>
        <w:rPr>
          <w:rFonts w:hint="eastAsia" w:ascii="仿宋_GB2312" w:hAnsi="Times New Roman" w:eastAsia="仿宋_GB2312" w:cs="仿宋_GB2312"/>
          <w:color w:val="000000"/>
          <w:kern w:val="0"/>
          <w:sz w:val="32"/>
          <w:szCs w:val="32"/>
          <w:lang w:val="en-US" w:eastAsia="zh-CN" w:bidi="ar"/>
        </w:rPr>
        <w:t>重庆小某科技有限公司</w:t>
      </w:r>
      <w:r>
        <w:rPr>
          <w:rFonts w:hint="eastAsia" w:ascii="仿宋_GB2312" w:hAnsi="Calibri" w:eastAsia="仿宋_GB2312" w:cs="仿宋_GB2312"/>
          <w:color w:val="000000"/>
          <w:kern w:val="0"/>
          <w:sz w:val="32"/>
          <w:szCs w:val="32"/>
          <w:lang w:val="en-US" w:eastAsia="zh-CN" w:bidi="ar"/>
        </w:rPr>
        <w:t>负担。</w:t>
      </w:r>
    </w:p>
    <w:p>
      <w:pPr>
        <w:keepNext w:val="0"/>
        <w:keepLines w:val="0"/>
        <w:widowControl w:val="0"/>
        <w:suppressLineNumbers w:val="0"/>
        <w:overflowPunct w:val="0"/>
        <w:autoSpaceDE w:val="0"/>
        <w:autoSpaceDN w:val="0"/>
        <w:spacing w:before="0" w:beforeAutospacing="0" w:after="0" w:afterAutospacing="0" w:line="592" w:lineRule="exact"/>
        <w:ind w:left="0" w:right="0" w:firstLine="620" w:firstLineChars="200"/>
        <w:jc w:val="both"/>
        <w:rPr>
          <w:rFonts w:hint="default" w:ascii="Times New Roman" w:hAnsi="Times New Roman" w:eastAsia="仿宋_GB2312" w:cs="Times New Roman"/>
          <w:color w:val="000000"/>
          <w:kern w:val="0"/>
          <w:sz w:val="32"/>
          <w:szCs w:val="32"/>
        </w:rPr>
      </w:pPr>
      <w:r>
        <w:rPr>
          <w:rFonts w:hint="eastAsia" w:ascii="仿宋_GB2312" w:hAnsi="Calibri" w:eastAsia="仿宋_GB2312" w:cs="仿宋_GB2312"/>
          <w:color w:val="000000"/>
          <w:kern w:val="0"/>
          <w:sz w:val="32"/>
          <w:szCs w:val="32"/>
          <w:lang w:val="en-US" w:eastAsia="zh-CN" w:bidi="ar"/>
        </w:rPr>
        <w:t>本判决为终审判决。</w:t>
      </w:r>
    </w:p>
    <w:p>
      <w:pPr>
        <w:overflowPunct w:val="0"/>
        <w:autoSpaceDE w:val="0"/>
        <w:autoSpaceDN w:val="0"/>
        <w:spacing w:line="572" w:lineRule="exact"/>
        <w:ind w:firstLine="620" w:firstLineChars="200"/>
        <w:rPr>
          <w:rFonts w:hint="default" w:ascii="Times New Roman" w:hAnsi="Times New Roman" w:cs="Times New Roman"/>
          <w:color w:val="000000"/>
          <w:kern w:val="0"/>
          <w:sz w:val="32"/>
          <w:szCs w:val="32"/>
          <w:lang w:val="zh-CN"/>
        </w:rPr>
      </w:pPr>
      <w:bookmarkStart w:id="0" w:name="_GoBack"/>
      <w:bookmarkEnd w:id="0"/>
    </w:p>
    <w:p>
      <w:pPr>
        <w:overflowPunct w:val="0"/>
        <w:autoSpaceDE w:val="0"/>
        <w:autoSpaceDN w:val="0"/>
        <w:spacing w:line="572" w:lineRule="exact"/>
        <w:rPr>
          <w:rFonts w:hint="default" w:ascii="Times New Roman" w:hAnsi="Times New Roman" w:cs="Times New Roman"/>
          <w:color w:val="000000"/>
          <w:kern w:val="0"/>
          <w:sz w:val="32"/>
          <w:szCs w:val="32"/>
          <w:lang w:val="zh-CN"/>
        </w:rPr>
      </w:pPr>
    </w:p>
    <w:p>
      <w:pPr>
        <w:tabs>
          <w:tab w:val="left" w:pos="4304"/>
        </w:tabs>
        <w:wordWrap w:val="0"/>
        <w:spacing w:line="594" w:lineRule="exact"/>
        <w:rPr>
          <w:rFonts w:hint="default" w:ascii="Times New Roman" w:hAnsi="Times New Roman" w:cs="Times New Roman"/>
          <w:sz w:val="32"/>
        </w:rPr>
      </w:pPr>
    </w:p>
    <w:p>
      <w:pPr>
        <w:pStyle w:val="2"/>
        <w:rPr>
          <w:rFonts w:hint="default"/>
        </w:rPr>
      </w:pPr>
    </w:p>
    <w:p>
      <w:pPr>
        <w:tabs>
          <w:tab w:val="left" w:pos="4304"/>
          <w:tab w:val="left" w:pos="5954"/>
          <w:tab w:val="left" w:pos="6521"/>
          <w:tab w:val="left" w:pos="7230"/>
          <w:tab w:val="left" w:pos="7938"/>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审  判  长    王  亦  非</w:t>
      </w:r>
    </w:p>
    <w:p>
      <w:pPr>
        <w:tabs>
          <w:tab w:val="left" w:pos="6456"/>
          <w:tab w:val="left" w:pos="6725"/>
          <w:tab w:val="left" w:pos="7263"/>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审  判  员    郭  剑  霞</w:t>
      </w:r>
    </w:p>
    <w:p>
      <w:pPr>
        <w:tabs>
          <w:tab w:val="left" w:pos="5918"/>
          <w:tab w:val="left" w:pos="6456"/>
          <w:tab w:val="left" w:pos="7263"/>
          <w:tab w:val="left" w:pos="8100"/>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 xml:space="preserve">审  判  员    </w:t>
      </w:r>
      <w:r>
        <w:rPr>
          <w:rFonts w:hint="eastAsia" w:cs="Times New Roman"/>
          <w:sz w:val="32"/>
          <w:lang w:eastAsia="zh-CN"/>
        </w:rPr>
        <w:t>路</w:t>
      </w:r>
      <w:r>
        <w:rPr>
          <w:rFonts w:hint="default" w:ascii="Times New Roman" w:hAnsi="Times New Roman" w:cs="Times New Roman"/>
          <w:sz w:val="32"/>
        </w:rPr>
        <w:t xml:space="preserve">      </w:t>
      </w:r>
      <w:r>
        <w:rPr>
          <w:rFonts w:hint="eastAsia" w:cs="Times New Roman"/>
          <w:sz w:val="32"/>
          <w:lang w:eastAsia="zh-CN"/>
        </w:rPr>
        <w:t>遥</w:t>
      </w:r>
    </w:p>
    <w:p>
      <w:pPr>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tbl>
      <w:tblPr>
        <w:tblStyle w:val="13"/>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pPr>
              <w:pStyle w:val="6"/>
              <w:keepNext w:val="0"/>
              <w:keepLines w:val="0"/>
              <w:suppressLineNumbers w:val="0"/>
              <w:spacing w:before="0" w:beforeAutospacing="0" w:after="0" w:afterAutospacing="0" w:line="592" w:lineRule="exact"/>
              <w:ind w:left="0" w:right="0" w:firstLine="150" w:firstLineChars="45"/>
              <w:rPr>
                <w:rFonts w:hint="default" w:ascii="Times New Roman" w:hAnsi="Times New Roman" w:cs="Times New Roman"/>
                <w:sz w:val="32"/>
                <w:szCs w:val="22"/>
              </w:rPr>
            </w:pPr>
            <w:r>
              <w:rPr>
                <w:rFonts w:hint="default" w:ascii="Times New Roman" w:hAnsi="Times New Roman" w:cs="Times New Roman"/>
                <w:spacing w:val="12"/>
                <w:kern w:val="0"/>
                <w:sz w:val="32"/>
                <w:szCs w:val="22"/>
                <w:fitText w:val="3766" w:id="-1784896768"/>
              </w:rPr>
              <w:t>二</w:t>
            </w:r>
            <w:r>
              <w:rPr>
                <w:rFonts w:hint="eastAsia" w:ascii="仿宋_GB2312" w:hAnsi="仿宋_GB2312" w:eastAsia="仿宋_GB2312" w:cs="仿宋_GB2312"/>
                <w:spacing w:val="12"/>
                <w:kern w:val="0"/>
                <w:sz w:val="32"/>
                <w:szCs w:val="32"/>
                <w:fitText w:val="3766" w:id="-1784896768"/>
              </w:rPr>
              <w:t>○</w:t>
            </w:r>
            <w:r>
              <w:rPr>
                <w:rFonts w:hint="default" w:ascii="Times New Roman" w:hAnsi="Times New Roman" w:cs="Times New Roman"/>
                <w:spacing w:val="12"/>
                <w:kern w:val="0"/>
                <w:sz w:val="32"/>
                <w:szCs w:val="22"/>
                <w:fitText w:val="3766" w:id="-1784896768"/>
              </w:rPr>
              <w:t>二</w:t>
            </w:r>
            <w:r>
              <w:rPr>
                <w:rFonts w:hint="default" w:ascii="Times New Roman" w:hAnsi="Times New Roman" w:cs="Times New Roman"/>
                <w:spacing w:val="12"/>
                <w:kern w:val="0"/>
                <w:sz w:val="32"/>
                <w:szCs w:val="22"/>
                <w:fitText w:val="3766" w:id="-1784896768"/>
                <w:lang w:eastAsia="zh-CN"/>
              </w:rPr>
              <w:t>三</w:t>
            </w:r>
            <w:r>
              <w:rPr>
                <w:rFonts w:hint="default" w:ascii="Times New Roman" w:hAnsi="Times New Roman" w:cs="Times New Roman"/>
                <w:spacing w:val="12"/>
                <w:kern w:val="0"/>
                <w:sz w:val="32"/>
                <w:szCs w:val="22"/>
                <w:fitText w:val="3766" w:id="-1784896768"/>
              </w:rPr>
              <w:t>年</w:t>
            </w:r>
            <w:r>
              <w:rPr>
                <w:rFonts w:hint="default" w:ascii="Times New Roman" w:hAnsi="Times New Roman" w:cs="Times New Roman"/>
                <w:spacing w:val="12"/>
                <w:kern w:val="0"/>
                <w:sz w:val="32"/>
                <w:szCs w:val="22"/>
                <w:fitText w:val="3766" w:id="-1784896768"/>
                <w:lang w:eastAsia="zh-CN"/>
              </w:rPr>
              <w:t>三</w:t>
            </w:r>
            <w:r>
              <w:rPr>
                <w:rFonts w:hint="default" w:ascii="Times New Roman" w:hAnsi="Times New Roman" w:cs="Times New Roman"/>
                <w:spacing w:val="12"/>
                <w:kern w:val="0"/>
                <w:sz w:val="32"/>
                <w:szCs w:val="22"/>
                <w:fitText w:val="3766" w:id="-1784896768"/>
              </w:rPr>
              <w:t>月</w:t>
            </w:r>
            <w:r>
              <w:rPr>
                <w:rFonts w:hint="eastAsia" w:cs="Times New Roman"/>
                <w:spacing w:val="12"/>
                <w:kern w:val="0"/>
                <w:sz w:val="32"/>
                <w:szCs w:val="22"/>
                <w:fitText w:val="3766" w:id="-1784896768"/>
                <w:lang w:eastAsia="zh-CN"/>
              </w:rPr>
              <w:t>二十九</w:t>
            </w:r>
            <w:r>
              <w:rPr>
                <w:rFonts w:hint="default" w:ascii="Times New Roman" w:hAnsi="Times New Roman" w:cs="Times New Roman"/>
                <w:spacing w:val="3"/>
                <w:kern w:val="0"/>
                <w:sz w:val="32"/>
                <w:szCs w:val="22"/>
                <w:fitText w:val="3766" w:id="-1784896768"/>
              </w:rPr>
              <w:t>日</w:t>
            </w:r>
          </w:p>
        </w:tc>
      </w:tr>
    </w:tbl>
    <w:p>
      <w:pPr>
        <w:spacing w:line="592" w:lineRule="exact"/>
        <w:rPr>
          <w:rFonts w:hint="default" w:ascii="Times New Roman" w:hAnsi="Times New Roman" w:cs="Times New Roman"/>
          <w:sz w:val="32"/>
        </w:rPr>
      </w:pPr>
      <w:r>
        <w:rPr>
          <w:rFonts w:hint="default" w:ascii="Times New Roman" w:hAnsi="Times New Roman" w:cs="Times New Roman"/>
          <w:sz w:val="32"/>
        </w:rPr>
        <w:t>本件与原本核对无异</w:t>
      </w:r>
    </w:p>
    <w:p>
      <w:pPr>
        <w:tabs>
          <w:tab w:val="left" w:pos="5649"/>
          <w:tab w:val="left" w:pos="5918"/>
          <w:tab w:val="left" w:pos="6663"/>
          <w:tab w:val="left" w:pos="7801"/>
          <w:tab w:val="left" w:pos="8070"/>
        </w:tabs>
        <w:spacing w:line="600" w:lineRule="exact"/>
        <w:rPr>
          <w:rFonts w:hint="default" w:ascii="Times New Roman" w:hAnsi="Times New Roman" w:cs="Times New Roman"/>
          <w:bCs/>
          <w:snapToGrid w:val="0"/>
          <w:kern w:val="0"/>
          <w:sz w:val="32"/>
        </w:rPr>
      </w:pPr>
      <w:r>
        <w:rPr>
          <w:rFonts w:hint="default" w:ascii="Times New Roman" w:hAnsi="Times New Roman" w:cs="Times New Roman"/>
          <w:sz w:val="32"/>
          <w:szCs w:val="32"/>
        </w:rPr>
        <w:t xml:space="preserve">                            书  记  员    王  莉  莉</w:t>
      </w:r>
    </w:p>
    <w:sectPr>
      <w:headerReference r:id="rId3" w:type="default"/>
      <w:footerReference r:id="rId4" w:type="default"/>
      <w:footerReference r:id="rId5" w:type="even"/>
      <w:pgSz w:w="11907" w:h="16840"/>
      <w:pgMar w:top="1928" w:right="1304" w:bottom="1497" w:left="164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FangSong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397" w:right="397"/>
      <w:rPr>
        <w:rStyle w:val="15"/>
        <w:rFonts w:ascii="仿宋_GB2312"/>
        <w:sz w:val="30"/>
      </w:rPr>
    </w:pPr>
    <w:r>
      <w:rPr>
        <w:rStyle w:val="15"/>
        <w:rFonts w:hint="eastAsia" w:ascii="仿宋_GB2312"/>
        <w:sz w:val="30"/>
      </w:rPr>
      <w:t>·</w:t>
    </w:r>
    <w:r>
      <w:rPr>
        <w:rFonts w:ascii="仿宋_GB2312"/>
        <w:sz w:val="30"/>
      </w:rPr>
      <w:fldChar w:fldCharType="begin"/>
    </w:r>
    <w:r>
      <w:rPr>
        <w:rStyle w:val="15"/>
        <w:rFonts w:ascii="仿宋_GB2312"/>
        <w:sz w:val="30"/>
      </w:rPr>
      <w:instrText xml:space="preserve"> PAGE </w:instrText>
    </w:r>
    <w:r>
      <w:rPr>
        <w:rFonts w:ascii="仿宋_GB2312"/>
        <w:sz w:val="30"/>
      </w:rPr>
      <w:fldChar w:fldCharType="separate"/>
    </w:r>
    <w:r>
      <w:rPr>
        <w:rStyle w:val="15"/>
        <w:rFonts w:ascii="仿宋_GB2312"/>
        <w:sz w:val="30"/>
      </w:rPr>
      <w:t>17</w:t>
    </w:r>
    <w:r>
      <w:rPr>
        <w:rFonts w:ascii="仿宋_GB2312"/>
        <w:sz w:val="30"/>
      </w:rPr>
      <w:fldChar w:fldCharType="end"/>
    </w:r>
    <w:r>
      <w:rPr>
        <w:rStyle w:val="15"/>
        <w:rFonts w:hint="eastAsia" w:ascii="仿宋_GB2312"/>
        <w:sz w:val="30"/>
      </w:rPr>
      <w:t>·</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Pr>
    </w:pPr>
    <w:r>
      <w:fldChar w:fldCharType="begin"/>
    </w:r>
    <w:r>
      <w:rPr>
        <w:rStyle w:val="15"/>
      </w:rPr>
      <w:instrText xml:space="preserve">PAGE  </w:instrText>
    </w:r>
    <w:r>
      <w:fldChar w:fldCharType="separate"/>
    </w:r>
    <w:r>
      <w:rPr>
        <w:rStyle w:val="15"/>
      </w:rPr>
      <w:t>1</w:t>
    </w:r>
    <w: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B20"/>
    <w:rsid w:val="00000796"/>
    <w:rsid w:val="00001BFB"/>
    <w:rsid w:val="00002359"/>
    <w:rsid w:val="00006385"/>
    <w:rsid w:val="0000768A"/>
    <w:rsid w:val="0001506B"/>
    <w:rsid w:val="000153DD"/>
    <w:rsid w:val="00015EC6"/>
    <w:rsid w:val="000265B2"/>
    <w:rsid w:val="00031C1F"/>
    <w:rsid w:val="000340E6"/>
    <w:rsid w:val="00034FB2"/>
    <w:rsid w:val="000365E6"/>
    <w:rsid w:val="000370EF"/>
    <w:rsid w:val="000407C1"/>
    <w:rsid w:val="00040DAC"/>
    <w:rsid w:val="00044204"/>
    <w:rsid w:val="00045061"/>
    <w:rsid w:val="000460A5"/>
    <w:rsid w:val="000464D6"/>
    <w:rsid w:val="00046F75"/>
    <w:rsid w:val="00050290"/>
    <w:rsid w:val="0005051B"/>
    <w:rsid w:val="00051327"/>
    <w:rsid w:val="0005175F"/>
    <w:rsid w:val="00051E57"/>
    <w:rsid w:val="00052BA1"/>
    <w:rsid w:val="00053FE6"/>
    <w:rsid w:val="000548B4"/>
    <w:rsid w:val="00056B11"/>
    <w:rsid w:val="000609CE"/>
    <w:rsid w:val="00061129"/>
    <w:rsid w:val="00061602"/>
    <w:rsid w:val="00067262"/>
    <w:rsid w:val="0006731C"/>
    <w:rsid w:val="00067643"/>
    <w:rsid w:val="000720DE"/>
    <w:rsid w:val="00073A68"/>
    <w:rsid w:val="000743EB"/>
    <w:rsid w:val="000815B7"/>
    <w:rsid w:val="00082133"/>
    <w:rsid w:val="00085C9D"/>
    <w:rsid w:val="0008761B"/>
    <w:rsid w:val="00090361"/>
    <w:rsid w:val="0009500F"/>
    <w:rsid w:val="00095430"/>
    <w:rsid w:val="00095FA1"/>
    <w:rsid w:val="0009797A"/>
    <w:rsid w:val="000A4CB0"/>
    <w:rsid w:val="000A7164"/>
    <w:rsid w:val="000B0631"/>
    <w:rsid w:val="000B21D8"/>
    <w:rsid w:val="000B2A92"/>
    <w:rsid w:val="000B4A40"/>
    <w:rsid w:val="000B627F"/>
    <w:rsid w:val="000B7AEE"/>
    <w:rsid w:val="000C05FB"/>
    <w:rsid w:val="000C3A2B"/>
    <w:rsid w:val="000C3B2D"/>
    <w:rsid w:val="000C4C4E"/>
    <w:rsid w:val="000C5880"/>
    <w:rsid w:val="000C775E"/>
    <w:rsid w:val="000D116F"/>
    <w:rsid w:val="000D561B"/>
    <w:rsid w:val="000E0132"/>
    <w:rsid w:val="000E01A6"/>
    <w:rsid w:val="000E22F0"/>
    <w:rsid w:val="000E2A42"/>
    <w:rsid w:val="000E3AC1"/>
    <w:rsid w:val="000E690E"/>
    <w:rsid w:val="000F07D5"/>
    <w:rsid w:val="000F434A"/>
    <w:rsid w:val="000F7CDB"/>
    <w:rsid w:val="00103959"/>
    <w:rsid w:val="00103AF9"/>
    <w:rsid w:val="001042D9"/>
    <w:rsid w:val="00104946"/>
    <w:rsid w:val="001106CB"/>
    <w:rsid w:val="00112796"/>
    <w:rsid w:val="00113890"/>
    <w:rsid w:val="00113D29"/>
    <w:rsid w:val="001141DE"/>
    <w:rsid w:val="00114627"/>
    <w:rsid w:val="00114DD1"/>
    <w:rsid w:val="001207BE"/>
    <w:rsid w:val="00121EF5"/>
    <w:rsid w:val="00122D6B"/>
    <w:rsid w:val="00123A31"/>
    <w:rsid w:val="00124A62"/>
    <w:rsid w:val="00126BC6"/>
    <w:rsid w:val="00127819"/>
    <w:rsid w:val="00127964"/>
    <w:rsid w:val="00127AF3"/>
    <w:rsid w:val="0013029D"/>
    <w:rsid w:val="001314B9"/>
    <w:rsid w:val="00131849"/>
    <w:rsid w:val="00134080"/>
    <w:rsid w:val="00135607"/>
    <w:rsid w:val="00140890"/>
    <w:rsid w:val="001444E4"/>
    <w:rsid w:val="00144DFB"/>
    <w:rsid w:val="001461B5"/>
    <w:rsid w:val="0015052A"/>
    <w:rsid w:val="00151833"/>
    <w:rsid w:val="001554F5"/>
    <w:rsid w:val="00155A23"/>
    <w:rsid w:val="00157669"/>
    <w:rsid w:val="001616BF"/>
    <w:rsid w:val="001637CE"/>
    <w:rsid w:val="00163B67"/>
    <w:rsid w:val="00164673"/>
    <w:rsid w:val="00165774"/>
    <w:rsid w:val="001674DC"/>
    <w:rsid w:val="00170EED"/>
    <w:rsid w:val="00172DE4"/>
    <w:rsid w:val="001749FC"/>
    <w:rsid w:val="00175C6A"/>
    <w:rsid w:val="001805CB"/>
    <w:rsid w:val="0018067D"/>
    <w:rsid w:val="001825E7"/>
    <w:rsid w:val="001867B4"/>
    <w:rsid w:val="00187218"/>
    <w:rsid w:val="00192E1D"/>
    <w:rsid w:val="00193D06"/>
    <w:rsid w:val="0019406E"/>
    <w:rsid w:val="0019453E"/>
    <w:rsid w:val="00194F07"/>
    <w:rsid w:val="00194F7D"/>
    <w:rsid w:val="001A21B9"/>
    <w:rsid w:val="001A33EC"/>
    <w:rsid w:val="001A3EAA"/>
    <w:rsid w:val="001A40EF"/>
    <w:rsid w:val="001A4AAF"/>
    <w:rsid w:val="001A604E"/>
    <w:rsid w:val="001B0608"/>
    <w:rsid w:val="001B45D8"/>
    <w:rsid w:val="001B4CC5"/>
    <w:rsid w:val="001B6050"/>
    <w:rsid w:val="001B62EE"/>
    <w:rsid w:val="001C1DBA"/>
    <w:rsid w:val="001C710E"/>
    <w:rsid w:val="001C7E73"/>
    <w:rsid w:val="001C7E91"/>
    <w:rsid w:val="001D0B97"/>
    <w:rsid w:val="001D0F65"/>
    <w:rsid w:val="001D1C1F"/>
    <w:rsid w:val="001D3523"/>
    <w:rsid w:val="001D3595"/>
    <w:rsid w:val="001D5B15"/>
    <w:rsid w:val="001D6439"/>
    <w:rsid w:val="001D6952"/>
    <w:rsid w:val="001D6B8F"/>
    <w:rsid w:val="001E20A7"/>
    <w:rsid w:val="001E30BA"/>
    <w:rsid w:val="001E4D8F"/>
    <w:rsid w:val="001E54B1"/>
    <w:rsid w:val="001F0E37"/>
    <w:rsid w:val="001F0F3D"/>
    <w:rsid w:val="001F35D4"/>
    <w:rsid w:val="001F4CBF"/>
    <w:rsid w:val="001F613E"/>
    <w:rsid w:val="00200E77"/>
    <w:rsid w:val="00203D36"/>
    <w:rsid w:val="0020567C"/>
    <w:rsid w:val="0020684E"/>
    <w:rsid w:val="00207FC1"/>
    <w:rsid w:val="00210E0B"/>
    <w:rsid w:val="00210E8A"/>
    <w:rsid w:val="002141E4"/>
    <w:rsid w:val="00215457"/>
    <w:rsid w:val="002179E3"/>
    <w:rsid w:val="00221184"/>
    <w:rsid w:val="00221909"/>
    <w:rsid w:val="00223EE0"/>
    <w:rsid w:val="0022406E"/>
    <w:rsid w:val="002250EB"/>
    <w:rsid w:val="002262E6"/>
    <w:rsid w:val="00226BAF"/>
    <w:rsid w:val="00226FB1"/>
    <w:rsid w:val="00230201"/>
    <w:rsid w:val="00231654"/>
    <w:rsid w:val="00231C15"/>
    <w:rsid w:val="0023451A"/>
    <w:rsid w:val="00235196"/>
    <w:rsid w:val="002353B5"/>
    <w:rsid w:val="00235460"/>
    <w:rsid w:val="002358B2"/>
    <w:rsid w:val="00235B60"/>
    <w:rsid w:val="00236FEE"/>
    <w:rsid w:val="0024006F"/>
    <w:rsid w:val="002403E8"/>
    <w:rsid w:val="0024099D"/>
    <w:rsid w:val="00244D93"/>
    <w:rsid w:val="002453F5"/>
    <w:rsid w:val="00245FA4"/>
    <w:rsid w:val="00247805"/>
    <w:rsid w:val="00250050"/>
    <w:rsid w:val="00251952"/>
    <w:rsid w:val="00252D7F"/>
    <w:rsid w:val="00255544"/>
    <w:rsid w:val="00256703"/>
    <w:rsid w:val="00257343"/>
    <w:rsid w:val="00257772"/>
    <w:rsid w:val="00262F9E"/>
    <w:rsid w:val="00264403"/>
    <w:rsid w:val="00264BB0"/>
    <w:rsid w:val="00270CC1"/>
    <w:rsid w:val="0027256B"/>
    <w:rsid w:val="00275B71"/>
    <w:rsid w:val="002762C1"/>
    <w:rsid w:val="00280498"/>
    <w:rsid w:val="00283FD5"/>
    <w:rsid w:val="002842F2"/>
    <w:rsid w:val="002845DA"/>
    <w:rsid w:val="0028512A"/>
    <w:rsid w:val="00286497"/>
    <w:rsid w:val="00287250"/>
    <w:rsid w:val="00287B60"/>
    <w:rsid w:val="00287F6A"/>
    <w:rsid w:val="00290EE1"/>
    <w:rsid w:val="0029110C"/>
    <w:rsid w:val="00291B56"/>
    <w:rsid w:val="00293634"/>
    <w:rsid w:val="00295744"/>
    <w:rsid w:val="00295A7E"/>
    <w:rsid w:val="00297C8F"/>
    <w:rsid w:val="002A0B11"/>
    <w:rsid w:val="002A0D17"/>
    <w:rsid w:val="002A23A3"/>
    <w:rsid w:val="002A3BFB"/>
    <w:rsid w:val="002A4198"/>
    <w:rsid w:val="002A4B3B"/>
    <w:rsid w:val="002A4FE0"/>
    <w:rsid w:val="002A7FAD"/>
    <w:rsid w:val="002B0012"/>
    <w:rsid w:val="002B15DF"/>
    <w:rsid w:val="002B2B61"/>
    <w:rsid w:val="002B41BF"/>
    <w:rsid w:val="002C2D69"/>
    <w:rsid w:val="002C2FDC"/>
    <w:rsid w:val="002C30CA"/>
    <w:rsid w:val="002C3B50"/>
    <w:rsid w:val="002C3EB2"/>
    <w:rsid w:val="002C6EAC"/>
    <w:rsid w:val="002D2411"/>
    <w:rsid w:val="002D5A3B"/>
    <w:rsid w:val="002D6756"/>
    <w:rsid w:val="002D6EE3"/>
    <w:rsid w:val="002D710F"/>
    <w:rsid w:val="002E031B"/>
    <w:rsid w:val="002E0986"/>
    <w:rsid w:val="002E2095"/>
    <w:rsid w:val="002E5922"/>
    <w:rsid w:val="002E5A43"/>
    <w:rsid w:val="002E701A"/>
    <w:rsid w:val="002F098D"/>
    <w:rsid w:val="002F0CCE"/>
    <w:rsid w:val="002F73D7"/>
    <w:rsid w:val="0030001D"/>
    <w:rsid w:val="00303275"/>
    <w:rsid w:val="00303FA0"/>
    <w:rsid w:val="0030488E"/>
    <w:rsid w:val="0030609B"/>
    <w:rsid w:val="003062BB"/>
    <w:rsid w:val="003067A1"/>
    <w:rsid w:val="0031091C"/>
    <w:rsid w:val="003126DB"/>
    <w:rsid w:val="00312BE1"/>
    <w:rsid w:val="0031364B"/>
    <w:rsid w:val="003146D2"/>
    <w:rsid w:val="003168DA"/>
    <w:rsid w:val="00317289"/>
    <w:rsid w:val="00321CA7"/>
    <w:rsid w:val="0032690B"/>
    <w:rsid w:val="0032767F"/>
    <w:rsid w:val="00333349"/>
    <w:rsid w:val="003404A5"/>
    <w:rsid w:val="003418F3"/>
    <w:rsid w:val="00342256"/>
    <w:rsid w:val="00342291"/>
    <w:rsid w:val="0034401C"/>
    <w:rsid w:val="003461DA"/>
    <w:rsid w:val="00354683"/>
    <w:rsid w:val="00355721"/>
    <w:rsid w:val="003566AF"/>
    <w:rsid w:val="00356B92"/>
    <w:rsid w:val="00357909"/>
    <w:rsid w:val="00362665"/>
    <w:rsid w:val="00362886"/>
    <w:rsid w:val="00362C28"/>
    <w:rsid w:val="00366DAE"/>
    <w:rsid w:val="00371088"/>
    <w:rsid w:val="003714AF"/>
    <w:rsid w:val="0037159B"/>
    <w:rsid w:val="00373DF4"/>
    <w:rsid w:val="003745BD"/>
    <w:rsid w:val="00375EBF"/>
    <w:rsid w:val="00376342"/>
    <w:rsid w:val="0037684C"/>
    <w:rsid w:val="00376EBD"/>
    <w:rsid w:val="00377C81"/>
    <w:rsid w:val="00380922"/>
    <w:rsid w:val="00380F01"/>
    <w:rsid w:val="00383F2B"/>
    <w:rsid w:val="00384CDC"/>
    <w:rsid w:val="00386598"/>
    <w:rsid w:val="00387A39"/>
    <w:rsid w:val="00392FEF"/>
    <w:rsid w:val="003931E5"/>
    <w:rsid w:val="00393542"/>
    <w:rsid w:val="00393E3B"/>
    <w:rsid w:val="0039418F"/>
    <w:rsid w:val="003977BE"/>
    <w:rsid w:val="0039795F"/>
    <w:rsid w:val="00397D81"/>
    <w:rsid w:val="003A2823"/>
    <w:rsid w:val="003A3DF1"/>
    <w:rsid w:val="003A64A6"/>
    <w:rsid w:val="003A792F"/>
    <w:rsid w:val="003B099A"/>
    <w:rsid w:val="003B0E71"/>
    <w:rsid w:val="003B1787"/>
    <w:rsid w:val="003B1A01"/>
    <w:rsid w:val="003B1B4E"/>
    <w:rsid w:val="003B74E3"/>
    <w:rsid w:val="003B794A"/>
    <w:rsid w:val="003C0D87"/>
    <w:rsid w:val="003C1503"/>
    <w:rsid w:val="003C7FD6"/>
    <w:rsid w:val="003D0B8E"/>
    <w:rsid w:val="003D0C50"/>
    <w:rsid w:val="003D0CC7"/>
    <w:rsid w:val="003D313A"/>
    <w:rsid w:val="003D5242"/>
    <w:rsid w:val="003D6E7B"/>
    <w:rsid w:val="003E0B9D"/>
    <w:rsid w:val="003E2CED"/>
    <w:rsid w:val="003E2FE1"/>
    <w:rsid w:val="003E39A2"/>
    <w:rsid w:val="003E56E1"/>
    <w:rsid w:val="003E6807"/>
    <w:rsid w:val="003E6BC9"/>
    <w:rsid w:val="003E7B5C"/>
    <w:rsid w:val="003F0005"/>
    <w:rsid w:val="003F0CBA"/>
    <w:rsid w:val="003F0F6C"/>
    <w:rsid w:val="003F55DF"/>
    <w:rsid w:val="003F5C14"/>
    <w:rsid w:val="003F7432"/>
    <w:rsid w:val="004009A8"/>
    <w:rsid w:val="0040129F"/>
    <w:rsid w:val="00403397"/>
    <w:rsid w:val="00404487"/>
    <w:rsid w:val="00404AA9"/>
    <w:rsid w:val="0040504F"/>
    <w:rsid w:val="0040573E"/>
    <w:rsid w:val="00407175"/>
    <w:rsid w:val="0041085E"/>
    <w:rsid w:val="0041108D"/>
    <w:rsid w:val="00411E23"/>
    <w:rsid w:val="0041452B"/>
    <w:rsid w:val="00416515"/>
    <w:rsid w:val="0041732A"/>
    <w:rsid w:val="00417902"/>
    <w:rsid w:val="00417EE1"/>
    <w:rsid w:val="004205DE"/>
    <w:rsid w:val="00420835"/>
    <w:rsid w:val="00421A53"/>
    <w:rsid w:val="00421FB3"/>
    <w:rsid w:val="00425B55"/>
    <w:rsid w:val="00425F7A"/>
    <w:rsid w:val="004265EB"/>
    <w:rsid w:val="00426636"/>
    <w:rsid w:val="00430B08"/>
    <w:rsid w:val="00430D43"/>
    <w:rsid w:val="00440058"/>
    <w:rsid w:val="00441E5F"/>
    <w:rsid w:val="00442047"/>
    <w:rsid w:val="0044347E"/>
    <w:rsid w:val="00444559"/>
    <w:rsid w:val="004449C6"/>
    <w:rsid w:val="00446379"/>
    <w:rsid w:val="00446ED0"/>
    <w:rsid w:val="004505B6"/>
    <w:rsid w:val="00450697"/>
    <w:rsid w:val="004522F5"/>
    <w:rsid w:val="00452A71"/>
    <w:rsid w:val="00454D43"/>
    <w:rsid w:val="00455336"/>
    <w:rsid w:val="004556D2"/>
    <w:rsid w:val="00455B20"/>
    <w:rsid w:val="00457FCE"/>
    <w:rsid w:val="004615A8"/>
    <w:rsid w:val="00461D9C"/>
    <w:rsid w:val="00462287"/>
    <w:rsid w:val="00463491"/>
    <w:rsid w:val="0046554F"/>
    <w:rsid w:val="004676D6"/>
    <w:rsid w:val="004679F9"/>
    <w:rsid w:val="004712B5"/>
    <w:rsid w:val="004737AC"/>
    <w:rsid w:val="0047491C"/>
    <w:rsid w:val="00480D65"/>
    <w:rsid w:val="00480DA3"/>
    <w:rsid w:val="00481D55"/>
    <w:rsid w:val="00481E47"/>
    <w:rsid w:val="004823A4"/>
    <w:rsid w:val="004838C4"/>
    <w:rsid w:val="0048643F"/>
    <w:rsid w:val="0048725F"/>
    <w:rsid w:val="004874FC"/>
    <w:rsid w:val="00487DC2"/>
    <w:rsid w:val="004911E3"/>
    <w:rsid w:val="00492E97"/>
    <w:rsid w:val="0049365D"/>
    <w:rsid w:val="004963A1"/>
    <w:rsid w:val="00496D98"/>
    <w:rsid w:val="004A027A"/>
    <w:rsid w:val="004A3B40"/>
    <w:rsid w:val="004A78B9"/>
    <w:rsid w:val="004A7C20"/>
    <w:rsid w:val="004B021F"/>
    <w:rsid w:val="004B3149"/>
    <w:rsid w:val="004B33B5"/>
    <w:rsid w:val="004B4CC6"/>
    <w:rsid w:val="004B5156"/>
    <w:rsid w:val="004B6FD2"/>
    <w:rsid w:val="004C0C31"/>
    <w:rsid w:val="004C1BBF"/>
    <w:rsid w:val="004C2AD0"/>
    <w:rsid w:val="004C302C"/>
    <w:rsid w:val="004C6394"/>
    <w:rsid w:val="004C69DF"/>
    <w:rsid w:val="004D055E"/>
    <w:rsid w:val="004D281D"/>
    <w:rsid w:val="004D2A29"/>
    <w:rsid w:val="004D4779"/>
    <w:rsid w:val="004D5031"/>
    <w:rsid w:val="004E135B"/>
    <w:rsid w:val="004F0494"/>
    <w:rsid w:val="004F13B8"/>
    <w:rsid w:val="004F2B17"/>
    <w:rsid w:val="004F4A0F"/>
    <w:rsid w:val="004F4FE6"/>
    <w:rsid w:val="004F5181"/>
    <w:rsid w:val="004F64B5"/>
    <w:rsid w:val="004F68B1"/>
    <w:rsid w:val="005024FC"/>
    <w:rsid w:val="00502928"/>
    <w:rsid w:val="0050319F"/>
    <w:rsid w:val="0050320C"/>
    <w:rsid w:val="00505D33"/>
    <w:rsid w:val="00506C5D"/>
    <w:rsid w:val="00507D82"/>
    <w:rsid w:val="005101DE"/>
    <w:rsid w:val="005106DE"/>
    <w:rsid w:val="00513494"/>
    <w:rsid w:val="00514917"/>
    <w:rsid w:val="00515BB7"/>
    <w:rsid w:val="005164B1"/>
    <w:rsid w:val="00517053"/>
    <w:rsid w:val="00517D42"/>
    <w:rsid w:val="005207BA"/>
    <w:rsid w:val="00521405"/>
    <w:rsid w:val="00521C3D"/>
    <w:rsid w:val="005221D5"/>
    <w:rsid w:val="00522DD1"/>
    <w:rsid w:val="00523A39"/>
    <w:rsid w:val="00524597"/>
    <w:rsid w:val="005255F1"/>
    <w:rsid w:val="00526045"/>
    <w:rsid w:val="00527AE4"/>
    <w:rsid w:val="00530539"/>
    <w:rsid w:val="00532838"/>
    <w:rsid w:val="00532C3B"/>
    <w:rsid w:val="005331CB"/>
    <w:rsid w:val="005352DA"/>
    <w:rsid w:val="00540667"/>
    <w:rsid w:val="005428F2"/>
    <w:rsid w:val="00544A0B"/>
    <w:rsid w:val="00545250"/>
    <w:rsid w:val="0054682A"/>
    <w:rsid w:val="00546BA3"/>
    <w:rsid w:val="00547CDE"/>
    <w:rsid w:val="00550111"/>
    <w:rsid w:val="00550270"/>
    <w:rsid w:val="00550933"/>
    <w:rsid w:val="00552539"/>
    <w:rsid w:val="0055415B"/>
    <w:rsid w:val="00554B67"/>
    <w:rsid w:val="00554BAF"/>
    <w:rsid w:val="005554B7"/>
    <w:rsid w:val="00556072"/>
    <w:rsid w:val="00556F95"/>
    <w:rsid w:val="005574EE"/>
    <w:rsid w:val="0056185E"/>
    <w:rsid w:val="00561A21"/>
    <w:rsid w:val="00563521"/>
    <w:rsid w:val="00567DCF"/>
    <w:rsid w:val="005730C9"/>
    <w:rsid w:val="00574223"/>
    <w:rsid w:val="005747FD"/>
    <w:rsid w:val="0057558E"/>
    <w:rsid w:val="00576AA8"/>
    <w:rsid w:val="00576E78"/>
    <w:rsid w:val="00581E14"/>
    <w:rsid w:val="00582CBD"/>
    <w:rsid w:val="00582F5D"/>
    <w:rsid w:val="005835AB"/>
    <w:rsid w:val="00584BE8"/>
    <w:rsid w:val="00594309"/>
    <w:rsid w:val="005945AC"/>
    <w:rsid w:val="0059462D"/>
    <w:rsid w:val="00595368"/>
    <w:rsid w:val="005A7C3F"/>
    <w:rsid w:val="005B11D0"/>
    <w:rsid w:val="005B1E4A"/>
    <w:rsid w:val="005B3BC0"/>
    <w:rsid w:val="005B5DD3"/>
    <w:rsid w:val="005B6B47"/>
    <w:rsid w:val="005C1393"/>
    <w:rsid w:val="005C4A0D"/>
    <w:rsid w:val="005D2243"/>
    <w:rsid w:val="005D4159"/>
    <w:rsid w:val="005D4200"/>
    <w:rsid w:val="005D65BA"/>
    <w:rsid w:val="005D66F0"/>
    <w:rsid w:val="005E04FA"/>
    <w:rsid w:val="005E0A87"/>
    <w:rsid w:val="005E1584"/>
    <w:rsid w:val="005E1BEC"/>
    <w:rsid w:val="005E21E9"/>
    <w:rsid w:val="005E28C7"/>
    <w:rsid w:val="005E2F9F"/>
    <w:rsid w:val="005E36B3"/>
    <w:rsid w:val="005E3AD4"/>
    <w:rsid w:val="005E54C9"/>
    <w:rsid w:val="005E6A92"/>
    <w:rsid w:val="005F049F"/>
    <w:rsid w:val="005F1D14"/>
    <w:rsid w:val="005F2EEB"/>
    <w:rsid w:val="005F3598"/>
    <w:rsid w:val="005F499A"/>
    <w:rsid w:val="005F5D22"/>
    <w:rsid w:val="0060302F"/>
    <w:rsid w:val="00603D37"/>
    <w:rsid w:val="00603EC0"/>
    <w:rsid w:val="00610458"/>
    <w:rsid w:val="006131FF"/>
    <w:rsid w:val="00613ABC"/>
    <w:rsid w:val="00615273"/>
    <w:rsid w:val="00615280"/>
    <w:rsid w:val="006172A2"/>
    <w:rsid w:val="0062122E"/>
    <w:rsid w:val="00624AD8"/>
    <w:rsid w:val="006278AD"/>
    <w:rsid w:val="006334EA"/>
    <w:rsid w:val="00633D77"/>
    <w:rsid w:val="006360A3"/>
    <w:rsid w:val="00640111"/>
    <w:rsid w:val="0064116C"/>
    <w:rsid w:val="006417F6"/>
    <w:rsid w:val="0064213A"/>
    <w:rsid w:val="00642945"/>
    <w:rsid w:val="00642AB6"/>
    <w:rsid w:val="00644311"/>
    <w:rsid w:val="006455D6"/>
    <w:rsid w:val="00645B04"/>
    <w:rsid w:val="00651F35"/>
    <w:rsid w:val="00653406"/>
    <w:rsid w:val="006542F7"/>
    <w:rsid w:val="006557D2"/>
    <w:rsid w:val="00656263"/>
    <w:rsid w:val="00662F4A"/>
    <w:rsid w:val="00664E90"/>
    <w:rsid w:val="0066631C"/>
    <w:rsid w:val="006664D5"/>
    <w:rsid w:val="00667967"/>
    <w:rsid w:val="00667C5B"/>
    <w:rsid w:val="0067060D"/>
    <w:rsid w:val="006715DA"/>
    <w:rsid w:val="00672251"/>
    <w:rsid w:val="00673008"/>
    <w:rsid w:val="00675580"/>
    <w:rsid w:val="00675E41"/>
    <w:rsid w:val="00677BC2"/>
    <w:rsid w:val="00681408"/>
    <w:rsid w:val="00683AB3"/>
    <w:rsid w:val="00683F9A"/>
    <w:rsid w:val="00685250"/>
    <w:rsid w:val="00685C6F"/>
    <w:rsid w:val="006874EB"/>
    <w:rsid w:val="00687CBB"/>
    <w:rsid w:val="00690A8B"/>
    <w:rsid w:val="00690E78"/>
    <w:rsid w:val="00691A87"/>
    <w:rsid w:val="00692F9B"/>
    <w:rsid w:val="006932AE"/>
    <w:rsid w:val="006932DE"/>
    <w:rsid w:val="006935B1"/>
    <w:rsid w:val="006A09C8"/>
    <w:rsid w:val="006A2C13"/>
    <w:rsid w:val="006A41D4"/>
    <w:rsid w:val="006A692F"/>
    <w:rsid w:val="006A7DDD"/>
    <w:rsid w:val="006B1695"/>
    <w:rsid w:val="006B22D5"/>
    <w:rsid w:val="006B3A27"/>
    <w:rsid w:val="006B5D7E"/>
    <w:rsid w:val="006B6CEE"/>
    <w:rsid w:val="006B72E8"/>
    <w:rsid w:val="006B7FB2"/>
    <w:rsid w:val="006C009F"/>
    <w:rsid w:val="006C04CE"/>
    <w:rsid w:val="006C1F38"/>
    <w:rsid w:val="006C2D0A"/>
    <w:rsid w:val="006C2FD6"/>
    <w:rsid w:val="006C5FF5"/>
    <w:rsid w:val="006C6871"/>
    <w:rsid w:val="006C6CCF"/>
    <w:rsid w:val="006D010D"/>
    <w:rsid w:val="006D0C70"/>
    <w:rsid w:val="006D1B2F"/>
    <w:rsid w:val="006D1E54"/>
    <w:rsid w:val="006D2248"/>
    <w:rsid w:val="006E05D0"/>
    <w:rsid w:val="006E1881"/>
    <w:rsid w:val="006E1D33"/>
    <w:rsid w:val="006E2816"/>
    <w:rsid w:val="006E4654"/>
    <w:rsid w:val="006E596E"/>
    <w:rsid w:val="006E65A0"/>
    <w:rsid w:val="006E6891"/>
    <w:rsid w:val="006E6FAD"/>
    <w:rsid w:val="006E7259"/>
    <w:rsid w:val="006E72CB"/>
    <w:rsid w:val="006E7D7B"/>
    <w:rsid w:val="006F0450"/>
    <w:rsid w:val="006F082D"/>
    <w:rsid w:val="006F263A"/>
    <w:rsid w:val="006F27EA"/>
    <w:rsid w:val="006F29F4"/>
    <w:rsid w:val="006F50E9"/>
    <w:rsid w:val="006F5DCB"/>
    <w:rsid w:val="006F74B6"/>
    <w:rsid w:val="00700D8F"/>
    <w:rsid w:val="007010C4"/>
    <w:rsid w:val="0070221B"/>
    <w:rsid w:val="00704929"/>
    <w:rsid w:val="00707A7C"/>
    <w:rsid w:val="007108C1"/>
    <w:rsid w:val="00712B02"/>
    <w:rsid w:val="007131D9"/>
    <w:rsid w:val="00714FF1"/>
    <w:rsid w:val="00715143"/>
    <w:rsid w:val="007206D6"/>
    <w:rsid w:val="00721FDF"/>
    <w:rsid w:val="00724C8C"/>
    <w:rsid w:val="007250CE"/>
    <w:rsid w:val="007271F3"/>
    <w:rsid w:val="00727991"/>
    <w:rsid w:val="007305A8"/>
    <w:rsid w:val="0073210B"/>
    <w:rsid w:val="0073238A"/>
    <w:rsid w:val="007328DA"/>
    <w:rsid w:val="00733F6F"/>
    <w:rsid w:val="007343A6"/>
    <w:rsid w:val="00734773"/>
    <w:rsid w:val="00736EF5"/>
    <w:rsid w:val="007374D3"/>
    <w:rsid w:val="00737C54"/>
    <w:rsid w:val="00737D0B"/>
    <w:rsid w:val="00740E4D"/>
    <w:rsid w:val="00741643"/>
    <w:rsid w:val="00744747"/>
    <w:rsid w:val="00744B83"/>
    <w:rsid w:val="00746254"/>
    <w:rsid w:val="00750B5A"/>
    <w:rsid w:val="0075100C"/>
    <w:rsid w:val="00751F14"/>
    <w:rsid w:val="007520E4"/>
    <w:rsid w:val="00753278"/>
    <w:rsid w:val="00754ECB"/>
    <w:rsid w:val="00755F92"/>
    <w:rsid w:val="00756AEB"/>
    <w:rsid w:val="0076334B"/>
    <w:rsid w:val="007663EA"/>
    <w:rsid w:val="007667E8"/>
    <w:rsid w:val="00766A8E"/>
    <w:rsid w:val="00766D38"/>
    <w:rsid w:val="00770406"/>
    <w:rsid w:val="007711F7"/>
    <w:rsid w:val="0077454A"/>
    <w:rsid w:val="00776D2D"/>
    <w:rsid w:val="0077771C"/>
    <w:rsid w:val="007779C6"/>
    <w:rsid w:val="00780E40"/>
    <w:rsid w:val="00784269"/>
    <w:rsid w:val="0078773E"/>
    <w:rsid w:val="00790B40"/>
    <w:rsid w:val="007920EA"/>
    <w:rsid w:val="00792921"/>
    <w:rsid w:val="007A0114"/>
    <w:rsid w:val="007A313F"/>
    <w:rsid w:val="007A4B57"/>
    <w:rsid w:val="007A54E1"/>
    <w:rsid w:val="007A553B"/>
    <w:rsid w:val="007A58CD"/>
    <w:rsid w:val="007B0069"/>
    <w:rsid w:val="007B055B"/>
    <w:rsid w:val="007B28C1"/>
    <w:rsid w:val="007B45BF"/>
    <w:rsid w:val="007B4629"/>
    <w:rsid w:val="007B5194"/>
    <w:rsid w:val="007B51FC"/>
    <w:rsid w:val="007B6789"/>
    <w:rsid w:val="007C0278"/>
    <w:rsid w:val="007C0620"/>
    <w:rsid w:val="007C2938"/>
    <w:rsid w:val="007C2D9D"/>
    <w:rsid w:val="007C44AA"/>
    <w:rsid w:val="007C634C"/>
    <w:rsid w:val="007C6FF5"/>
    <w:rsid w:val="007C77FB"/>
    <w:rsid w:val="007D2C9A"/>
    <w:rsid w:val="007D3C29"/>
    <w:rsid w:val="007E00D5"/>
    <w:rsid w:val="007E066D"/>
    <w:rsid w:val="007E3C17"/>
    <w:rsid w:val="007E634B"/>
    <w:rsid w:val="007F0149"/>
    <w:rsid w:val="007F39B2"/>
    <w:rsid w:val="007F3A9C"/>
    <w:rsid w:val="007F42B8"/>
    <w:rsid w:val="007F47F7"/>
    <w:rsid w:val="007F5195"/>
    <w:rsid w:val="007F5AC1"/>
    <w:rsid w:val="00800F97"/>
    <w:rsid w:val="008017AB"/>
    <w:rsid w:val="00801DF4"/>
    <w:rsid w:val="00804AF5"/>
    <w:rsid w:val="00806BD7"/>
    <w:rsid w:val="008133C4"/>
    <w:rsid w:val="008139D8"/>
    <w:rsid w:val="008149E0"/>
    <w:rsid w:val="00815297"/>
    <w:rsid w:val="00822B6A"/>
    <w:rsid w:val="00824F3A"/>
    <w:rsid w:val="00826F54"/>
    <w:rsid w:val="00827069"/>
    <w:rsid w:val="00827C7D"/>
    <w:rsid w:val="0083094D"/>
    <w:rsid w:val="00831218"/>
    <w:rsid w:val="008335BA"/>
    <w:rsid w:val="00834752"/>
    <w:rsid w:val="0083628D"/>
    <w:rsid w:val="00836415"/>
    <w:rsid w:val="00836C8A"/>
    <w:rsid w:val="00842C70"/>
    <w:rsid w:val="0084421B"/>
    <w:rsid w:val="008455EF"/>
    <w:rsid w:val="00850B2D"/>
    <w:rsid w:val="00851654"/>
    <w:rsid w:val="00853116"/>
    <w:rsid w:val="008535CE"/>
    <w:rsid w:val="008540D8"/>
    <w:rsid w:val="00854EC5"/>
    <w:rsid w:val="00856A92"/>
    <w:rsid w:val="008614BB"/>
    <w:rsid w:val="00863E2A"/>
    <w:rsid w:val="008652B8"/>
    <w:rsid w:val="008655B6"/>
    <w:rsid w:val="00867530"/>
    <w:rsid w:val="00867883"/>
    <w:rsid w:val="00867CC5"/>
    <w:rsid w:val="0087011F"/>
    <w:rsid w:val="008701AD"/>
    <w:rsid w:val="00871189"/>
    <w:rsid w:val="008731AB"/>
    <w:rsid w:val="008736E5"/>
    <w:rsid w:val="0087592E"/>
    <w:rsid w:val="0087602D"/>
    <w:rsid w:val="008767D3"/>
    <w:rsid w:val="00877468"/>
    <w:rsid w:val="008824A7"/>
    <w:rsid w:val="008830E9"/>
    <w:rsid w:val="008855B8"/>
    <w:rsid w:val="008858BC"/>
    <w:rsid w:val="00886381"/>
    <w:rsid w:val="0088785F"/>
    <w:rsid w:val="008914BD"/>
    <w:rsid w:val="00893242"/>
    <w:rsid w:val="00893966"/>
    <w:rsid w:val="0089592F"/>
    <w:rsid w:val="0089617A"/>
    <w:rsid w:val="0089629F"/>
    <w:rsid w:val="0089638F"/>
    <w:rsid w:val="008A0BCE"/>
    <w:rsid w:val="008A11E3"/>
    <w:rsid w:val="008A25CD"/>
    <w:rsid w:val="008A268B"/>
    <w:rsid w:val="008A2EFC"/>
    <w:rsid w:val="008A302B"/>
    <w:rsid w:val="008A324D"/>
    <w:rsid w:val="008A3BFD"/>
    <w:rsid w:val="008A5EE1"/>
    <w:rsid w:val="008A7BDA"/>
    <w:rsid w:val="008B06DD"/>
    <w:rsid w:val="008B1AC7"/>
    <w:rsid w:val="008B51D2"/>
    <w:rsid w:val="008C3628"/>
    <w:rsid w:val="008C474E"/>
    <w:rsid w:val="008C567D"/>
    <w:rsid w:val="008C57A3"/>
    <w:rsid w:val="008C675D"/>
    <w:rsid w:val="008C7FED"/>
    <w:rsid w:val="008D0CC3"/>
    <w:rsid w:val="008D2C66"/>
    <w:rsid w:val="008D39A7"/>
    <w:rsid w:val="008D5295"/>
    <w:rsid w:val="008D544E"/>
    <w:rsid w:val="008D54E9"/>
    <w:rsid w:val="008E09F2"/>
    <w:rsid w:val="008E0A51"/>
    <w:rsid w:val="008E35DF"/>
    <w:rsid w:val="008E5B2C"/>
    <w:rsid w:val="008F1525"/>
    <w:rsid w:val="008F1D08"/>
    <w:rsid w:val="008F26CD"/>
    <w:rsid w:val="008F54E7"/>
    <w:rsid w:val="008F6BCF"/>
    <w:rsid w:val="00902968"/>
    <w:rsid w:val="00904FE8"/>
    <w:rsid w:val="009060CB"/>
    <w:rsid w:val="00906395"/>
    <w:rsid w:val="0091092D"/>
    <w:rsid w:val="00910ACB"/>
    <w:rsid w:val="009117FD"/>
    <w:rsid w:val="00911B5A"/>
    <w:rsid w:val="00913B58"/>
    <w:rsid w:val="00915B46"/>
    <w:rsid w:val="00920FE9"/>
    <w:rsid w:val="00921416"/>
    <w:rsid w:val="009226E0"/>
    <w:rsid w:val="0092399F"/>
    <w:rsid w:val="0092496C"/>
    <w:rsid w:val="00924A1B"/>
    <w:rsid w:val="00924A66"/>
    <w:rsid w:val="0092595C"/>
    <w:rsid w:val="0092613C"/>
    <w:rsid w:val="009264E3"/>
    <w:rsid w:val="00931A9E"/>
    <w:rsid w:val="00931D23"/>
    <w:rsid w:val="009320B0"/>
    <w:rsid w:val="00932AF7"/>
    <w:rsid w:val="00932B32"/>
    <w:rsid w:val="00933335"/>
    <w:rsid w:val="0093341C"/>
    <w:rsid w:val="009334DA"/>
    <w:rsid w:val="00933BF0"/>
    <w:rsid w:val="00933F53"/>
    <w:rsid w:val="0093620E"/>
    <w:rsid w:val="0093649C"/>
    <w:rsid w:val="0093731C"/>
    <w:rsid w:val="0093753D"/>
    <w:rsid w:val="00940C01"/>
    <w:rsid w:val="00941277"/>
    <w:rsid w:val="009417CA"/>
    <w:rsid w:val="00941874"/>
    <w:rsid w:val="00942273"/>
    <w:rsid w:val="00944683"/>
    <w:rsid w:val="00947D8E"/>
    <w:rsid w:val="00950B28"/>
    <w:rsid w:val="00951C12"/>
    <w:rsid w:val="0095496B"/>
    <w:rsid w:val="00956370"/>
    <w:rsid w:val="00956802"/>
    <w:rsid w:val="00957CEB"/>
    <w:rsid w:val="00960450"/>
    <w:rsid w:val="00961806"/>
    <w:rsid w:val="00961F25"/>
    <w:rsid w:val="00962CB3"/>
    <w:rsid w:val="00962FD9"/>
    <w:rsid w:val="00963426"/>
    <w:rsid w:val="009646D7"/>
    <w:rsid w:val="009650E3"/>
    <w:rsid w:val="00965DF4"/>
    <w:rsid w:val="00971C2C"/>
    <w:rsid w:val="00972359"/>
    <w:rsid w:val="00976277"/>
    <w:rsid w:val="00976B2F"/>
    <w:rsid w:val="00980DD8"/>
    <w:rsid w:val="0098131F"/>
    <w:rsid w:val="0098236C"/>
    <w:rsid w:val="009834FA"/>
    <w:rsid w:val="00984520"/>
    <w:rsid w:val="009849EF"/>
    <w:rsid w:val="0098613E"/>
    <w:rsid w:val="00990ED3"/>
    <w:rsid w:val="00991E1C"/>
    <w:rsid w:val="009921DB"/>
    <w:rsid w:val="00993C33"/>
    <w:rsid w:val="00993F92"/>
    <w:rsid w:val="0099408D"/>
    <w:rsid w:val="00996300"/>
    <w:rsid w:val="009966E7"/>
    <w:rsid w:val="00996C11"/>
    <w:rsid w:val="0099782D"/>
    <w:rsid w:val="009A0248"/>
    <w:rsid w:val="009A69D5"/>
    <w:rsid w:val="009B0043"/>
    <w:rsid w:val="009B07AC"/>
    <w:rsid w:val="009B3FCD"/>
    <w:rsid w:val="009B7563"/>
    <w:rsid w:val="009B7757"/>
    <w:rsid w:val="009C0BDF"/>
    <w:rsid w:val="009C171A"/>
    <w:rsid w:val="009C1D80"/>
    <w:rsid w:val="009C359C"/>
    <w:rsid w:val="009C5518"/>
    <w:rsid w:val="009D2927"/>
    <w:rsid w:val="009D3CB7"/>
    <w:rsid w:val="009D4387"/>
    <w:rsid w:val="009D5651"/>
    <w:rsid w:val="009D5F8E"/>
    <w:rsid w:val="009D64E5"/>
    <w:rsid w:val="009D79E5"/>
    <w:rsid w:val="009E2273"/>
    <w:rsid w:val="009E4063"/>
    <w:rsid w:val="009E5AAF"/>
    <w:rsid w:val="009E60B3"/>
    <w:rsid w:val="009E7D18"/>
    <w:rsid w:val="009F01F4"/>
    <w:rsid w:val="009F3291"/>
    <w:rsid w:val="009F43B0"/>
    <w:rsid w:val="009F617B"/>
    <w:rsid w:val="009F6845"/>
    <w:rsid w:val="009F6D7D"/>
    <w:rsid w:val="009F6F47"/>
    <w:rsid w:val="00A009C5"/>
    <w:rsid w:val="00A010B1"/>
    <w:rsid w:val="00A03799"/>
    <w:rsid w:val="00A03DE5"/>
    <w:rsid w:val="00A102FE"/>
    <w:rsid w:val="00A11D83"/>
    <w:rsid w:val="00A16689"/>
    <w:rsid w:val="00A16BD5"/>
    <w:rsid w:val="00A220D5"/>
    <w:rsid w:val="00A2228E"/>
    <w:rsid w:val="00A22582"/>
    <w:rsid w:val="00A22835"/>
    <w:rsid w:val="00A24575"/>
    <w:rsid w:val="00A26613"/>
    <w:rsid w:val="00A367C4"/>
    <w:rsid w:val="00A37F25"/>
    <w:rsid w:val="00A405E8"/>
    <w:rsid w:val="00A44D89"/>
    <w:rsid w:val="00A46EFE"/>
    <w:rsid w:val="00A52A83"/>
    <w:rsid w:val="00A52E6D"/>
    <w:rsid w:val="00A54615"/>
    <w:rsid w:val="00A55064"/>
    <w:rsid w:val="00A566C3"/>
    <w:rsid w:val="00A56DF1"/>
    <w:rsid w:val="00A600A2"/>
    <w:rsid w:val="00A60866"/>
    <w:rsid w:val="00A60F77"/>
    <w:rsid w:val="00A65CC2"/>
    <w:rsid w:val="00A676B8"/>
    <w:rsid w:val="00A7089E"/>
    <w:rsid w:val="00A70A46"/>
    <w:rsid w:val="00A70A4A"/>
    <w:rsid w:val="00A71160"/>
    <w:rsid w:val="00A72579"/>
    <w:rsid w:val="00A7303E"/>
    <w:rsid w:val="00A73041"/>
    <w:rsid w:val="00A73095"/>
    <w:rsid w:val="00A73938"/>
    <w:rsid w:val="00A73965"/>
    <w:rsid w:val="00A74DDD"/>
    <w:rsid w:val="00A80E74"/>
    <w:rsid w:val="00A9079A"/>
    <w:rsid w:val="00A91163"/>
    <w:rsid w:val="00A914FC"/>
    <w:rsid w:val="00A916A7"/>
    <w:rsid w:val="00A916AB"/>
    <w:rsid w:val="00A93C9D"/>
    <w:rsid w:val="00A95C4B"/>
    <w:rsid w:val="00A9622C"/>
    <w:rsid w:val="00A97FA3"/>
    <w:rsid w:val="00AA09BF"/>
    <w:rsid w:val="00AA1E14"/>
    <w:rsid w:val="00AA27EC"/>
    <w:rsid w:val="00AA380D"/>
    <w:rsid w:val="00AA4766"/>
    <w:rsid w:val="00AA4C48"/>
    <w:rsid w:val="00AA5D9C"/>
    <w:rsid w:val="00AB13D0"/>
    <w:rsid w:val="00AB20F7"/>
    <w:rsid w:val="00AB4627"/>
    <w:rsid w:val="00AB7F8A"/>
    <w:rsid w:val="00AC02D8"/>
    <w:rsid w:val="00AC04F9"/>
    <w:rsid w:val="00AC105D"/>
    <w:rsid w:val="00AC2125"/>
    <w:rsid w:val="00AC2F32"/>
    <w:rsid w:val="00AC408B"/>
    <w:rsid w:val="00AC4350"/>
    <w:rsid w:val="00AC48AF"/>
    <w:rsid w:val="00AC6138"/>
    <w:rsid w:val="00AC6B26"/>
    <w:rsid w:val="00AD4413"/>
    <w:rsid w:val="00AD5DDF"/>
    <w:rsid w:val="00AD7099"/>
    <w:rsid w:val="00AD7588"/>
    <w:rsid w:val="00AE0139"/>
    <w:rsid w:val="00AE03FD"/>
    <w:rsid w:val="00AE0E71"/>
    <w:rsid w:val="00AE1183"/>
    <w:rsid w:val="00AE1B48"/>
    <w:rsid w:val="00AE38F9"/>
    <w:rsid w:val="00AE3B1C"/>
    <w:rsid w:val="00AE411A"/>
    <w:rsid w:val="00AE52E2"/>
    <w:rsid w:val="00AF10B0"/>
    <w:rsid w:val="00AF1C79"/>
    <w:rsid w:val="00AF1DF4"/>
    <w:rsid w:val="00AF33CC"/>
    <w:rsid w:val="00AF4CC8"/>
    <w:rsid w:val="00AF64A3"/>
    <w:rsid w:val="00AF68F9"/>
    <w:rsid w:val="00B000FB"/>
    <w:rsid w:val="00B01F1B"/>
    <w:rsid w:val="00B02F53"/>
    <w:rsid w:val="00B02F8C"/>
    <w:rsid w:val="00B059E9"/>
    <w:rsid w:val="00B05A23"/>
    <w:rsid w:val="00B0699B"/>
    <w:rsid w:val="00B11E98"/>
    <w:rsid w:val="00B14854"/>
    <w:rsid w:val="00B1652E"/>
    <w:rsid w:val="00B1693D"/>
    <w:rsid w:val="00B16F9F"/>
    <w:rsid w:val="00B172BE"/>
    <w:rsid w:val="00B20279"/>
    <w:rsid w:val="00B20C11"/>
    <w:rsid w:val="00B21C55"/>
    <w:rsid w:val="00B22803"/>
    <w:rsid w:val="00B23A65"/>
    <w:rsid w:val="00B24FF5"/>
    <w:rsid w:val="00B254C7"/>
    <w:rsid w:val="00B30391"/>
    <w:rsid w:val="00B31DFD"/>
    <w:rsid w:val="00B323F7"/>
    <w:rsid w:val="00B3568A"/>
    <w:rsid w:val="00B36D6C"/>
    <w:rsid w:val="00B420B8"/>
    <w:rsid w:val="00B42A94"/>
    <w:rsid w:val="00B42F01"/>
    <w:rsid w:val="00B472EE"/>
    <w:rsid w:val="00B4775A"/>
    <w:rsid w:val="00B47AD6"/>
    <w:rsid w:val="00B501EE"/>
    <w:rsid w:val="00B50692"/>
    <w:rsid w:val="00B516A4"/>
    <w:rsid w:val="00B534A1"/>
    <w:rsid w:val="00B56289"/>
    <w:rsid w:val="00B57502"/>
    <w:rsid w:val="00B607DE"/>
    <w:rsid w:val="00B61531"/>
    <w:rsid w:val="00B615B1"/>
    <w:rsid w:val="00B62CD1"/>
    <w:rsid w:val="00B65B24"/>
    <w:rsid w:val="00B66BD9"/>
    <w:rsid w:val="00B67370"/>
    <w:rsid w:val="00B72767"/>
    <w:rsid w:val="00B72BE3"/>
    <w:rsid w:val="00B72F7A"/>
    <w:rsid w:val="00B8070F"/>
    <w:rsid w:val="00B80A3D"/>
    <w:rsid w:val="00B81B35"/>
    <w:rsid w:val="00B81F92"/>
    <w:rsid w:val="00B833EA"/>
    <w:rsid w:val="00B839E1"/>
    <w:rsid w:val="00B83C0B"/>
    <w:rsid w:val="00B84F7B"/>
    <w:rsid w:val="00B87DA2"/>
    <w:rsid w:val="00B91BA3"/>
    <w:rsid w:val="00B922B5"/>
    <w:rsid w:val="00B93FAD"/>
    <w:rsid w:val="00B94ACA"/>
    <w:rsid w:val="00B961E8"/>
    <w:rsid w:val="00BA066D"/>
    <w:rsid w:val="00BA0C99"/>
    <w:rsid w:val="00BA26E4"/>
    <w:rsid w:val="00BA4E12"/>
    <w:rsid w:val="00BA7AB5"/>
    <w:rsid w:val="00BB2230"/>
    <w:rsid w:val="00BB43AD"/>
    <w:rsid w:val="00BB6ED8"/>
    <w:rsid w:val="00BB7477"/>
    <w:rsid w:val="00BB7819"/>
    <w:rsid w:val="00BC2EAF"/>
    <w:rsid w:val="00BC3A20"/>
    <w:rsid w:val="00BC6351"/>
    <w:rsid w:val="00BD0C52"/>
    <w:rsid w:val="00BD3924"/>
    <w:rsid w:val="00BD4287"/>
    <w:rsid w:val="00BD4618"/>
    <w:rsid w:val="00BD4DDF"/>
    <w:rsid w:val="00BD4F8F"/>
    <w:rsid w:val="00BD5205"/>
    <w:rsid w:val="00BD55F0"/>
    <w:rsid w:val="00BD5D1D"/>
    <w:rsid w:val="00BD6653"/>
    <w:rsid w:val="00BD6E06"/>
    <w:rsid w:val="00BD7213"/>
    <w:rsid w:val="00BE00E8"/>
    <w:rsid w:val="00BF2272"/>
    <w:rsid w:val="00BF23D0"/>
    <w:rsid w:val="00BF2B36"/>
    <w:rsid w:val="00BF3C42"/>
    <w:rsid w:val="00BF637C"/>
    <w:rsid w:val="00BF7F1B"/>
    <w:rsid w:val="00C000E4"/>
    <w:rsid w:val="00C0025F"/>
    <w:rsid w:val="00C00DDF"/>
    <w:rsid w:val="00C01E28"/>
    <w:rsid w:val="00C022DA"/>
    <w:rsid w:val="00C0319D"/>
    <w:rsid w:val="00C12318"/>
    <w:rsid w:val="00C12EB8"/>
    <w:rsid w:val="00C145FA"/>
    <w:rsid w:val="00C14E17"/>
    <w:rsid w:val="00C16332"/>
    <w:rsid w:val="00C220FE"/>
    <w:rsid w:val="00C239DB"/>
    <w:rsid w:val="00C24CD1"/>
    <w:rsid w:val="00C26073"/>
    <w:rsid w:val="00C321A6"/>
    <w:rsid w:val="00C35E2F"/>
    <w:rsid w:val="00C376C1"/>
    <w:rsid w:val="00C37898"/>
    <w:rsid w:val="00C41403"/>
    <w:rsid w:val="00C41B5F"/>
    <w:rsid w:val="00C42394"/>
    <w:rsid w:val="00C43294"/>
    <w:rsid w:val="00C438A0"/>
    <w:rsid w:val="00C467EC"/>
    <w:rsid w:val="00C5084A"/>
    <w:rsid w:val="00C51FBE"/>
    <w:rsid w:val="00C52181"/>
    <w:rsid w:val="00C52329"/>
    <w:rsid w:val="00C5295E"/>
    <w:rsid w:val="00C531CF"/>
    <w:rsid w:val="00C5336B"/>
    <w:rsid w:val="00C55EC5"/>
    <w:rsid w:val="00C570D9"/>
    <w:rsid w:val="00C616F5"/>
    <w:rsid w:val="00C62D4D"/>
    <w:rsid w:val="00C64637"/>
    <w:rsid w:val="00C6510A"/>
    <w:rsid w:val="00C67C04"/>
    <w:rsid w:val="00C7009B"/>
    <w:rsid w:val="00C70C78"/>
    <w:rsid w:val="00C71D87"/>
    <w:rsid w:val="00C740D8"/>
    <w:rsid w:val="00C75323"/>
    <w:rsid w:val="00C7554E"/>
    <w:rsid w:val="00C77492"/>
    <w:rsid w:val="00C80FDA"/>
    <w:rsid w:val="00C83561"/>
    <w:rsid w:val="00C835A9"/>
    <w:rsid w:val="00C925B2"/>
    <w:rsid w:val="00C92B4A"/>
    <w:rsid w:val="00C92C33"/>
    <w:rsid w:val="00C93DC6"/>
    <w:rsid w:val="00C94ED0"/>
    <w:rsid w:val="00C94F4F"/>
    <w:rsid w:val="00C97A5E"/>
    <w:rsid w:val="00CA0174"/>
    <w:rsid w:val="00CA32BE"/>
    <w:rsid w:val="00CA40C2"/>
    <w:rsid w:val="00CA4172"/>
    <w:rsid w:val="00CA5DE9"/>
    <w:rsid w:val="00CA6117"/>
    <w:rsid w:val="00CA7D93"/>
    <w:rsid w:val="00CB0B2C"/>
    <w:rsid w:val="00CB0D6D"/>
    <w:rsid w:val="00CB1597"/>
    <w:rsid w:val="00CB5229"/>
    <w:rsid w:val="00CB733E"/>
    <w:rsid w:val="00CC011C"/>
    <w:rsid w:val="00CC0E51"/>
    <w:rsid w:val="00CC0E98"/>
    <w:rsid w:val="00CC2DA7"/>
    <w:rsid w:val="00CC45AA"/>
    <w:rsid w:val="00CC76FA"/>
    <w:rsid w:val="00CD46B5"/>
    <w:rsid w:val="00CD5D2B"/>
    <w:rsid w:val="00CD6AC8"/>
    <w:rsid w:val="00CD6B3B"/>
    <w:rsid w:val="00CE2F8B"/>
    <w:rsid w:val="00CE3538"/>
    <w:rsid w:val="00CE356C"/>
    <w:rsid w:val="00CE4F88"/>
    <w:rsid w:val="00CE5105"/>
    <w:rsid w:val="00CE543D"/>
    <w:rsid w:val="00CE73A8"/>
    <w:rsid w:val="00CE79B1"/>
    <w:rsid w:val="00CF2DDE"/>
    <w:rsid w:val="00CF312D"/>
    <w:rsid w:val="00CF3E3D"/>
    <w:rsid w:val="00CF40A9"/>
    <w:rsid w:val="00CF4C61"/>
    <w:rsid w:val="00CF4F8B"/>
    <w:rsid w:val="00CF5353"/>
    <w:rsid w:val="00CF7396"/>
    <w:rsid w:val="00D0032E"/>
    <w:rsid w:val="00D00B45"/>
    <w:rsid w:val="00D01048"/>
    <w:rsid w:val="00D02E7C"/>
    <w:rsid w:val="00D04E94"/>
    <w:rsid w:val="00D0642B"/>
    <w:rsid w:val="00D07F5F"/>
    <w:rsid w:val="00D10148"/>
    <w:rsid w:val="00D11FB1"/>
    <w:rsid w:val="00D13B82"/>
    <w:rsid w:val="00D145E9"/>
    <w:rsid w:val="00D14EC4"/>
    <w:rsid w:val="00D1632F"/>
    <w:rsid w:val="00D200E9"/>
    <w:rsid w:val="00D20217"/>
    <w:rsid w:val="00D234D6"/>
    <w:rsid w:val="00D23979"/>
    <w:rsid w:val="00D24AF7"/>
    <w:rsid w:val="00D268A8"/>
    <w:rsid w:val="00D275BA"/>
    <w:rsid w:val="00D27A03"/>
    <w:rsid w:val="00D27CF4"/>
    <w:rsid w:val="00D33723"/>
    <w:rsid w:val="00D34CD9"/>
    <w:rsid w:val="00D35385"/>
    <w:rsid w:val="00D35AC7"/>
    <w:rsid w:val="00D40D72"/>
    <w:rsid w:val="00D40DAF"/>
    <w:rsid w:val="00D40F3C"/>
    <w:rsid w:val="00D40F4D"/>
    <w:rsid w:val="00D41677"/>
    <w:rsid w:val="00D4268A"/>
    <w:rsid w:val="00D447D7"/>
    <w:rsid w:val="00D44926"/>
    <w:rsid w:val="00D44B41"/>
    <w:rsid w:val="00D47F04"/>
    <w:rsid w:val="00D509F5"/>
    <w:rsid w:val="00D50A69"/>
    <w:rsid w:val="00D50ECB"/>
    <w:rsid w:val="00D52A1A"/>
    <w:rsid w:val="00D53368"/>
    <w:rsid w:val="00D5359B"/>
    <w:rsid w:val="00D53ABC"/>
    <w:rsid w:val="00D541FB"/>
    <w:rsid w:val="00D542A3"/>
    <w:rsid w:val="00D543D5"/>
    <w:rsid w:val="00D5543C"/>
    <w:rsid w:val="00D55B34"/>
    <w:rsid w:val="00D55C5E"/>
    <w:rsid w:val="00D55F2C"/>
    <w:rsid w:val="00D56666"/>
    <w:rsid w:val="00D57AF5"/>
    <w:rsid w:val="00D627C7"/>
    <w:rsid w:val="00D658E2"/>
    <w:rsid w:val="00D65DEA"/>
    <w:rsid w:val="00D670F6"/>
    <w:rsid w:val="00D71309"/>
    <w:rsid w:val="00D7301B"/>
    <w:rsid w:val="00D76791"/>
    <w:rsid w:val="00D84981"/>
    <w:rsid w:val="00D8550E"/>
    <w:rsid w:val="00D90167"/>
    <w:rsid w:val="00D91C90"/>
    <w:rsid w:val="00D921E4"/>
    <w:rsid w:val="00D92705"/>
    <w:rsid w:val="00D92D80"/>
    <w:rsid w:val="00D92EAC"/>
    <w:rsid w:val="00D931A3"/>
    <w:rsid w:val="00D94182"/>
    <w:rsid w:val="00D96F76"/>
    <w:rsid w:val="00DA50B9"/>
    <w:rsid w:val="00DA5E5E"/>
    <w:rsid w:val="00DB029D"/>
    <w:rsid w:val="00DB0AE1"/>
    <w:rsid w:val="00DB2190"/>
    <w:rsid w:val="00DB2E8C"/>
    <w:rsid w:val="00DB43D9"/>
    <w:rsid w:val="00DB5BAA"/>
    <w:rsid w:val="00DC0510"/>
    <w:rsid w:val="00DC219A"/>
    <w:rsid w:val="00DC283A"/>
    <w:rsid w:val="00DC2EF7"/>
    <w:rsid w:val="00DC4429"/>
    <w:rsid w:val="00DC4F29"/>
    <w:rsid w:val="00DD0ED7"/>
    <w:rsid w:val="00DD23A4"/>
    <w:rsid w:val="00DD256E"/>
    <w:rsid w:val="00DD2C10"/>
    <w:rsid w:val="00DD5F7B"/>
    <w:rsid w:val="00DD75A7"/>
    <w:rsid w:val="00DE18FB"/>
    <w:rsid w:val="00DE1C7E"/>
    <w:rsid w:val="00DE1DEA"/>
    <w:rsid w:val="00DE2142"/>
    <w:rsid w:val="00DE4032"/>
    <w:rsid w:val="00DE42D7"/>
    <w:rsid w:val="00DE4BC6"/>
    <w:rsid w:val="00DE61C3"/>
    <w:rsid w:val="00DE7C27"/>
    <w:rsid w:val="00DF045C"/>
    <w:rsid w:val="00DF05EC"/>
    <w:rsid w:val="00DF20AF"/>
    <w:rsid w:val="00DF2703"/>
    <w:rsid w:val="00DF2F90"/>
    <w:rsid w:val="00DF4BC4"/>
    <w:rsid w:val="00DF550A"/>
    <w:rsid w:val="00DF70EB"/>
    <w:rsid w:val="00E00ACC"/>
    <w:rsid w:val="00E028DC"/>
    <w:rsid w:val="00E033A0"/>
    <w:rsid w:val="00E039A6"/>
    <w:rsid w:val="00E041BA"/>
    <w:rsid w:val="00E04ED9"/>
    <w:rsid w:val="00E06A1E"/>
    <w:rsid w:val="00E07451"/>
    <w:rsid w:val="00E104CE"/>
    <w:rsid w:val="00E12962"/>
    <w:rsid w:val="00E176F9"/>
    <w:rsid w:val="00E17980"/>
    <w:rsid w:val="00E209FC"/>
    <w:rsid w:val="00E26134"/>
    <w:rsid w:val="00E2679F"/>
    <w:rsid w:val="00E273CA"/>
    <w:rsid w:val="00E30DA2"/>
    <w:rsid w:val="00E329A8"/>
    <w:rsid w:val="00E3459F"/>
    <w:rsid w:val="00E34A24"/>
    <w:rsid w:val="00E37595"/>
    <w:rsid w:val="00E41F07"/>
    <w:rsid w:val="00E422B7"/>
    <w:rsid w:val="00E465E3"/>
    <w:rsid w:val="00E46FBE"/>
    <w:rsid w:val="00E510A8"/>
    <w:rsid w:val="00E51127"/>
    <w:rsid w:val="00E5166E"/>
    <w:rsid w:val="00E5263C"/>
    <w:rsid w:val="00E53953"/>
    <w:rsid w:val="00E53C0F"/>
    <w:rsid w:val="00E55FC6"/>
    <w:rsid w:val="00E562E3"/>
    <w:rsid w:val="00E56B7D"/>
    <w:rsid w:val="00E57A86"/>
    <w:rsid w:val="00E611BB"/>
    <w:rsid w:val="00E61371"/>
    <w:rsid w:val="00E61C90"/>
    <w:rsid w:val="00E639A8"/>
    <w:rsid w:val="00E6483A"/>
    <w:rsid w:val="00E653A1"/>
    <w:rsid w:val="00E6578A"/>
    <w:rsid w:val="00E70706"/>
    <w:rsid w:val="00E711A9"/>
    <w:rsid w:val="00E713E4"/>
    <w:rsid w:val="00E72D49"/>
    <w:rsid w:val="00E73351"/>
    <w:rsid w:val="00E737C5"/>
    <w:rsid w:val="00E75CF6"/>
    <w:rsid w:val="00E76AC4"/>
    <w:rsid w:val="00E779A7"/>
    <w:rsid w:val="00E82D22"/>
    <w:rsid w:val="00E83D13"/>
    <w:rsid w:val="00E8505B"/>
    <w:rsid w:val="00E854B8"/>
    <w:rsid w:val="00E870DA"/>
    <w:rsid w:val="00E8713C"/>
    <w:rsid w:val="00E94799"/>
    <w:rsid w:val="00E96A58"/>
    <w:rsid w:val="00EA3EBA"/>
    <w:rsid w:val="00EA4005"/>
    <w:rsid w:val="00EA4B6A"/>
    <w:rsid w:val="00EA5026"/>
    <w:rsid w:val="00EB19B1"/>
    <w:rsid w:val="00EB1E51"/>
    <w:rsid w:val="00EB20B2"/>
    <w:rsid w:val="00EB3E50"/>
    <w:rsid w:val="00EB48BA"/>
    <w:rsid w:val="00EB4D65"/>
    <w:rsid w:val="00EB638B"/>
    <w:rsid w:val="00EB6EAB"/>
    <w:rsid w:val="00EC1ED4"/>
    <w:rsid w:val="00EC3246"/>
    <w:rsid w:val="00EC3D9D"/>
    <w:rsid w:val="00EC4119"/>
    <w:rsid w:val="00EC53EF"/>
    <w:rsid w:val="00EC5CB2"/>
    <w:rsid w:val="00EC778C"/>
    <w:rsid w:val="00EC78E3"/>
    <w:rsid w:val="00ED0920"/>
    <w:rsid w:val="00ED1E46"/>
    <w:rsid w:val="00ED437E"/>
    <w:rsid w:val="00ED4BC2"/>
    <w:rsid w:val="00ED78E9"/>
    <w:rsid w:val="00EE006B"/>
    <w:rsid w:val="00EE0D6E"/>
    <w:rsid w:val="00EE43D1"/>
    <w:rsid w:val="00EE4F12"/>
    <w:rsid w:val="00EF0B86"/>
    <w:rsid w:val="00EF0C11"/>
    <w:rsid w:val="00F00DBC"/>
    <w:rsid w:val="00F02777"/>
    <w:rsid w:val="00F034F6"/>
    <w:rsid w:val="00F05214"/>
    <w:rsid w:val="00F05523"/>
    <w:rsid w:val="00F05C04"/>
    <w:rsid w:val="00F05C27"/>
    <w:rsid w:val="00F112C1"/>
    <w:rsid w:val="00F20F65"/>
    <w:rsid w:val="00F226E9"/>
    <w:rsid w:val="00F22F8D"/>
    <w:rsid w:val="00F237D5"/>
    <w:rsid w:val="00F23DD5"/>
    <w:rsid w:val="00F248F6"/>
    <w:rsid w:val="00F268EB"/>
    <w:rsid w:val="00F312AF"/>
    <w:rsid w:val="00F312DA"/>
    <w:rsid w:val="00F346B5"/>
    <w:rsid w:val="00F36CB6"/>
    <w:rsid w:val="00F40852"/>
    <w:rsid w:val="00F40CE8"/>
    <w:rsid w:val="00F40D75"/>
    <w:rsid w:val="00F40E31"/>
    <w:rsid w:val="00F4154B"/>
    <w:rsid w:val="00F426D4"/>
    <w:rsid w:val="00F443B8"/>
    <w:rsid w:val="00F463E6"/>
    <w:rsid w:val="00F466AF"/>
    <w:rsid w:val="00F472F9"/>
    <w:rsid w:val="00F51E49"/>
    <w:rsid w:val="00F51EE5"/>
    <w:rsid w:val="00F52A28"/>
    <w:rsid w:val="00F5301E"/>
    <w:rsid w:val="00F53056"/>
    <w:rsid w:val="00F54352"/>
    <w:rsid w:val="00F54652"/>
    <w:rsid w:val="00F54CD2"/>
    <w:rsid w:val="00F55C0E"/>
    <w:rsid w:val="00F56E3C"/>
    <w:rsid w:val="00F602B6"/>
    <w:rsid w:val="00F60783"/>
    <w:rsid w:val="00F640E1"/>
    <w:rsid w:val="00F65DE2"/>
    <w:rsid w:val="00F66C66"/>
    <w:rsid w:val="00F676D5"/>
    <w:rsid w:val="00F706B9"/>
    <w:rsid w:val="00F736DF"/>
    <w:rsid w:val="00F73CE0"/>
    <w:rsid w:val="00F759E9"/>
    <w:rsid w:val="00F77715"/>
    <w:rsid w:val="00F8022A"/>
    <w:rsid w:val="00F80388"/>
    <w:rsid w:val="00F80781"/>
    <w:rsid w:val="00F83178"/>
    <w:rsid w:val="00F83AD5"/>
    <w:rsid w:val="00F84586"/>
    <w:rsid w:val="00F85D23"/>
    <w:rsid w:val="00F8786D"/>
    <w:rsid w:val="00F879CC"/>
    <w:rsid w:val="00F87A5E"/>
    <w:rsid w:val="00F90539"/>
    <w:rsid w:val="00F93ACC"/>
    <w:rsid w:val="00F93F0A"/>
    <w:rsid w:val="00F95B90"/>
    <w:rsid w:val="00F95E99"/>
    <w:rsid w:val="00F9742A"/>
    <w:rsid w:val="00FA0F38"/>
    <w:rsid w:val="00FA147D"/>
    <w:rsid w:val="00FA7BE8"/>
    <w:rsid w:val="00FA7F5A"/>
    <w:rsid w:val="00FA7F62"/>
    <w:rsid w:val="00FB0C77"/>
    <w:rsid w:val="00FB0E27"/>
    <w:rsid w:val="00FB1640"/>
    <w:rsid w:val="00FB2465"/>
    <w:rsid w:val="00FB66F1"/>
    <w:rsid w:val="00FB6F62"/>
    <w:rsid w:val="00FC0699"/>
    <w:rsid w:val="00FC179D"/>
    <w:rsid w:val="00FC28AB"/>
    <w:rsid w:val="00FC2E2D"/>
    <w:rsid w:val="00FC4E15"/>
    <w:rsid w:val="00FC5279"/>
    <w:rsid w:val="00FC5897"/>
    <w:rsid w:val="00FC5A5F"/>
    <w:rsid w:val="00FC5AA9"/>
    <w:rsid w:val="00FC5BFD"/>
    <w:rsid w:val="00FC5DCF"/>
    <w:rsid w:val="00FC6889"/>
    <w:rsid w:val="00FC6F6A"/>
    <w:rsid w:val="00FD06A0"/>
    <w:rsid w:val="00FD0E85"/>
    <w:rsid w:val="00FD0FEF"/>
    <w:rsid w:val="00FD17A0"/>
    <w:rsid w:val="00FD1B8A"/>
    <w:rsid w:val="00FD2F04"/>
    <w:rsid w:val="00FD3586"/>
    <w:rsid w:val="00FD3F96"/>
    <w:rsid w:val="00FD52B7"/>
    <w:rsid w:val="00FD57F3"/>
    <w:rsid w:val="00FD5BC4"/>
    <w:rsid w:val="00FD5D13"/>
    <w:rsid w:val="00FD77F1"/>
    <w:rsid w:val="00FE08AB"/>
    <w:rsid w:val="00FE444C"/>
    <w:rsid w:val="00FE4520"/>
    <w:rsid w:val="00FE4DB5"/>
    <w:rsid w:val="00FF02CE"/>
    <w:rsid w:val="00FF0ECE"/>
    <w:rsid w:val="00FF1270"/>
    <w:rsid w:val="00FF3069"/>
    <w:rsid w:val="00FF3475"/>
    <w:rsid w:val="00FF5F7D"/>
    <w:rsid w:val="00FF690B"/>
    <w:rsid w:val="00FF6F2F"/>
    <w:rsid w:val="00FF75B3"/>
    <w:rsid w:val="00FF7B89"/>
    <w:rsid w:val="01644A2B"/>
    <w:rsid w:val="01D93E07"/>
    <w:rsid w:val="03822F17"/>
    <w:rsid w:val="03CD7B31"/>
    <w:rsid w:val="03DC04B7"/>
    <w:rsid w:val="05CC47F9"/>
    <w:rsid w:val="068E3887"/>
    <w:rsid w:val="07863477"/>
    <w:rsid w:val="08364485"/>
    <w:rsid w:val="08544082"/>
    <w:rsid w:val="088167A9"/>
    <w:rsid w:val="0BE96679"/>
    <w:rsid w:val="0CD356AE"/>
    <w:rsid w:val="0CFA23B6"/>
    <w:rsid w:val="0E3D1777"/>
    <w:rsid w:val="0FEBF1F6"/>
    <w:rsid w:val="10577868"/>
    <w:rsid w:val="10AD1A32"/>
    <w:rsid w:val="116320A5"/>
    <w:rsid w:val="12064A54"/>
    <w:rsid w:val="12943FDF"/>
    <w:rsid w:val="132D7312"/>
    <w:rsid w:val="1361511B"/>
    <w:rsid w:val="138654A1"/>
    <w:rsid w:val="13B42790"/>
    <w:rsid w:val="13BF89B9"/>
    <w:rsid w:val="145612DD"/>
    <w:rsid w:val="161D4AF5"/>
    <w:rsid w:val="161F397D"/>
    <w:rsid w:val="163E0CA3"/>
    <w:rsid w:val="16814839"/>
    <w:rsid w:val="177FFE75"/>
    <w:rsid w:val="1A147B04"/>
    <w:rsid w:val="1A5A6226"/>
    <w:rsid w:val="1AA40A9C"/>
    <w:rsid w:val="1ABF1A0D"/>
    <w:rsid w:val="1B70283A"/>
    <w:rsid w:val="1BAE6658"/>
    <w:rsid w:val="1BEBA102"/>
    <w:rsid w:val="1DD96733"/>
    <w:rsid w:val="1E224F32"/>
    <w:rsid w:val="1E3719AB"/>
    <w:rsid w:val="1E970CC6"/>
    <w:rsid w:val="1F3E433C"/>
    <w:rsid w:val="1F667A7F"/>
    <w:rsid w:val="1F792752"/>
    <w:rsid w:val="1F9FDA7E"/>
    <w:rsid w:val="1FB73BA1"/>
    <w:rsid w:val="20614D65"/>
    <w:rsid w:val="207059B2"/>
    <w:rsid w:val="2283724B"/>
    <w:rsid w:val="2415017C"/>
    <w:rsid w:val="242100AB"/>
    <w:rsid w:val="2452671D"/>
    <w:rsid w:val="251008AD"/>
    <w:rsid w:val="252E454D"/>
    <w:rsid w:val="25C76E3C"/>
    <w:rsid w:val="26D235DD"/>
    <w:rsid w:val="27136CE7"/>
    <w:rsid w:val="2727529D"/>
    <w:rsid w:val="29F34139"/>
    <w:rsid w:val="2B85261A"/>
    <w:rsid w:val="2BD749F5"/>
    <w:rsid w:val="2BED6A56"/>
    <w:rsid w:val="2BFF832E"/>
    <w:rsid w:val="2CF990C8"/>
    <w:rsid w:val="2D683875"/>
    <w:rsid w:val="2E5462D8"/>
    <w:rsid w:val="2EBF18C0"/>
    <w:rsid w:val="2EFF1643"/>
    <w:rsid w:val="2F1A796B"/>
    <w:rsid w:val="2FC020FB"/>
    <w:rsid w:val="2FFF41BC"/>
    <w:rsid w:val="31521536"/>
    <w:rsid w:val="317D8AD9"/>
    <w:rsid w:val="33DBBFEB"/>
    <w:rsid w:val="357FCB64"/>
    <w:rsid w:val="35B1499E"/>
    <w:rsid w:val="35D169AB"/>
    <w:rsid w:val="35FF5F3D"/>
    <w:rsid w:val="36496F62"/>
    <w:rsid w:val="36DF5A4B"/>
    <w:rsid w:val="36F150EE"/>
    <w:rsid w:val="37981156"/>
    <w:rsid w:val="3921472D"/>
    <w:rsid w:val="39D46A1F"/>
    <w:rsid w:val="39FF8CD6"/>
    <w:rsid w:val="3A2F64AC"/>
    <w:rsid w:val="3B0E1FAD"/>
    <w:rsid w:val="3B131C0C"/>
    <w:rsid w:val="3B3E870E"/>
    <w:rsid w:val="3B615B40"/>
    <w:rsid w:val="3B7B59CD"/>
    <w:rsid w:val="3CB00A83"/>
    <w:rsid w:val="3DCF8424"/>
    <w:rsid w:val="3E163771"/>
    <w:rsid w:val="3E5FBC79"/>
    <w:rsid w:val="3E5FD589"/>
    <w:rsid w:val="3EAF5A47"/>
    <w:rsid w:val="3EEB474D"/>
    <w:rsid w:val="3EFFFDD4"/>
    <w:rsid w:val="3F465622"/>
    <w:rsid w:val="3F7FB7B5"/>
    <w:rsid w:val="3FBFCC51"/>
    <w:rsid w:val="3FF3A9F9"/>
    <w:rsid w:val="3FFBE074"/>
    <w:rsid w:val="3FFF1114"/>
    <w:rsid w:val="413E90C8"/>
    <w:rsid w:val="414B3EB2"/>
    <w:rsid w:val="41E1658D"/>
    <w:rsid w:val="425B5D4E"/>
    <w:rsid w:val="42E27D6B"/>
    <w:rsid w:val="457C1ACB"/>
    <w:rsid w:val="45B646C4"/>
    <w:rsid w:val="467B1487"/>
    <w:rsid w:val="46976B59"/>
    <w:rsid w:val="46B87087"/>
    <w:rsid w:val="4761346E"/>
    <w:rsid w:val="49E8096E"/>
    <w:rsid w:val="4AE901F5"/>
    <w:rsid w:val="4B7EF168"/>
    <w:rsid w:val="4EF24B4E"/>
    <w:rsid w:val="4F2D3D48"/>
    <w:rsid w:val="4FCD7F78"/>
    <w:rsid w:val="4FEE621F"/>
    <w:rsid w:val="50F5006D"/>
    <w:rsid w:val="510F4049"/>
    <w:rsid w:val="51200931"/>
    <w:rsid w:val="539A366D"/>
    <w:rsid w:val="53DEBD97"/>
    <w:rsid w:val="53DF0540"/>
    <w:rsid w:val="53E4320A"/>
    <w:rsid w:val="53FF1AD4"/>
    <w:rsid w:val="54D952F5"/>
    <w:rsid w:val="54E13239"/>
    <w:rsid w:val="550409BE"/>
    <w:rsid w:val="559F4ED0"/>
    <w:rsid w:val="55D01E9E"/>
    <w:rsid w:val="55EDB6AF"/>
    <w:rsid w:val="55F911C0"/>
    <w:rsid w:val="55FF9ADD"/>
    <w:rsid w:val="579B56EB"/>
    <w:rsid w:val="57AF2EF2"/>
    <w:rsid w:val="57BF2ACE"/>
    <w:rsid w:val="58827E2E"/>
    <w:rsid w:val="5932292C"/>
    <w:rsid w:val="597F3C5D"/>
    <w:rsid w:val="5A8D4A5D"/>
    <w:rsid w:val="5AEF02D8"/>
    <w:rsid w:val="5BDD201C"/>
    <w:rsid w:val="5CD85420"/>
    <w:rsid w:val="5CDE86AE"/>
    <w:rsid w:val="5D7E78A9"/>
    <w:rsid w:val="5D8A7F81"/>
    <w:rsid w:val="5DF1439B"/>
    <w:rsid w:val="5E1E30D0"/>
    <w:rsid w:val="5E572284"/>
    <w:rsid w:val="5E676B70"/>
    <w:rsid w:val="5E9F1221"/>
    <w:rsid w:val="5F6F133A"/>
    <w:rsid w:val="5FB6BA05"/>
    <w:rsid w:val="5FBE9A45"/>
    <w:rsid w:val="5FF40E5C"/>
    <w:rsid w:val="5FFB4438"/>
    <w:rsid w:val="5FFC9F78"/>
    <w:rsid w:val="600B7CE5"/>
    <w:rsid w:val="63832472"/>
    <w:rsid w:val="63BC2892"/>
    <w:rsid w:val="63CA1738"/>
    <w:rsid w:val="63FE1747"/>
    <w:rsid w:val="650B1F01"/>
    <w:rsid w:val="658B5BB7"/>
    <w:rsid w:val="66145279"/>
    <w:rsid w:val="66C34BF6"/>
    <w:rsid w:val="66FFBA88"/>
    <w:rsid w:val="673A5C51"/>
    <w:rsid w:val="67F5DD0E"/>
    <w:rsid w:val="68060A84"/>
    <w:rsid w:val="685B729C"/>
    <w:rsid w:val="68D025EA"/>
    <w:rsid w:val="69633188"/>
    <w:rsid w:val="6A1B00BC"/>
    <w:rsid w:val="6A6D6E3A"/>
    <w:rsid w:val="6ABE479C"/>
    <w:rsid w:val="6AF769B4"/>
    <w:rsid w:val="6B0D2011"/>
    <w:rsid w:val="6B427BDE"/>
    <w:rsid w:val="6B976F93"/>
    <w:rsid w:val="6BA62BAA"/>
    <w:rsid w:val="6BF5838E"/>
    <w:rsid w:val="6C997852"/>
    <w:rsid w:val="6ED9D968"/>
    <w:rsid w:val="6F4D83EF"/>
    <w:rsid w:val="6FBBB48E"/>
    <w:rsid w:val="6FEECA84"/>
    <w:rsid w:val="6FEF7872"/>
    <w:rsid w:val="6FFA5786"/>
    <w:rsid w:val="6FFBCE1C"/>
    <w:rsid w:val="716D7F61"/>
    <w:rsid w:val="72486C09"/>
    <w:rsid w:val="72BC2B0F"/>
    <w:rsid w:val="72D7426A"/>
    <w:rsid w:val="73765EC0"/>
    <w:rsid w:val="73ED6E7A"/>
    <w:rsid w:val="74B406AE"/>
    <w:rsid w:val="75347D60"/>
    <w:rsid w:val="75B45151"/>
    <w:rsid w:val="76026FD9"/>
    <w:rsid w:val="767F158C"/>
    <w:rsid w:val="76934AC7"/>
    <w:rsid w:val="76D3288A"/>
    <w:rsid w:val="76F638F6"/>
    <w:rsid w:val="76F7E9DD"/>
    <w:rsid w:val="770E76D2"/>
    <w:rsid w:val="772763B2"/>
    <w:rsid w:val="77440BE7"/>
    <w:rsid w:val="775B251C"/>
    <w:rsid w:val="777660D3"/>
    <w:rsid w:val="777F046D"/>
    <w:rsid w:val="77A261B6"/>
    <w:rsid w:val="77F79900"/>
    <w:rsid w:val="77F7EE90"/>
    <w:rsid w:val="77FF0DAB"/>
    <w:rsid w:val="77FFF544"/>
    <w:rsid w:val="78ED9699"/>
    <w:rsid w:val="79375B09"/>
    <w:rsid w:val="794C087F"/>
    <w:rsid w:val="7A062D39"/>
    <w:rsid w:val="7A246228"/>
    <w:rsid w:val="7A8A5311"/>
    <w:rsid w:val="7A934D6F"/>
    <w:rsid w:val="7AEC944A"/>
    <w:rsid w:val="7AEF3FA9"/>
    <w:rsid w:val="7AFB23EC"/>
    <w:rsid w:val="7AFBB62D"/>
    <w:rsid w:val="7BD7B0F1"/>
    <w:rsid w:val="7BFB2FA1"/>
    <w:rsid w:val="7C480342"/>
    <w:rsid w:val="7C591206"/>
    <w:rsid w:val="7CC723C1"/>
    <w:rsid w:val="7D15720A"/>
    <w:rsid w:val="7D4A4FE6"/>
    <w:rsid w:val="7D6E137B"/>
    <w:rsid w:val="7D9DCB67"/>
    <w:rsid w:val="7DDFE731"/>
    <w:rsid w:val="7DE73E3A"/>
    <w:rsid w:val="7DFB2235"/>
    <w:rsid w:val="7E6AC073"/>
    <w:rsid w:val="7E79C517"/>
    <w:rsid w:val="7EBA5CDC"/>
    <w:rsid w:val="7ED77F23"/>
    <w:rsid w:val="7EFC1112"/>
    <w:rsid w:val="7EFDEC79"/>
    <w:rsid w:val="7F1DAF5E"/>
    <w:rsid w:val="7F357440"/>
    <w:rsid w:val="7F4F8CDA"/>
    <w:rsid w:val="7F57C50C"/>
    <w:rsid w:val="7F790969"/>
    <w:rsid w:val="7F7FB65F"/>
    <w:rsid w:val="7FA16677"/>
    <w:rsid w:val="7FAB585D"/>
    <w:rsid w:val="7FB5B78B"/>
    <w:rsid w:val="7FDB362A"/>
    <w:rsid w:val="7FDFD723"/>
    <w:rsid w:val="7FEF458A"/>
    <w:rsid w:val="7FEF5E58"/>
    <w:rsid w:val="7FF6EA3D"/>
    <w:rsid w:val="7FF98A77"/>
    <w:rsid w:val="7FFE3267"/>
    <w:rsid w:val="7FFFB587"/>
    <w:rsid w:val="7FFFD3FC"/>
    <w:rsid w:val="8A7FFD08"/>
    <w:rsid w:val="8BF40C47"/>
    <w:rsid w:val="99B7D738"/>
    <w:rsid w:val="99F1865D"/>
    <w:rsid w:val="9BFBA09C"/>
    <w:rsid w:val="9EDD79A0"/>
    <w:rsid w:val="9FF71DA1"/>
    <w:rsid w:val="9FFE42AA"/>
    <w:rsid w:val="A36D6754"/>
    <w:rsid w:val="A7EFB23A"/>
    <w:rsid w:val="A9BFB2BE"/>
    <w:rsid w:val="ABFF9998"/>
    <w:rsid w:val="AC6B1A77"/>
    <w:rsid w:val="ADBC62CB"/>
    <w:rsid w:val="AEC68FA4"/>
    <w:rsid w:val="B6AD9CD9"/>
    <w:rsid w:val="B77D1BEF"/>
    <w:rsid w:val="B7D6A1E5"/>
    <w:rsid w:val="BA3A72C7"/>
    <w:rsid w:val="BA676191"/>
    <w:rsid w:val="BB3F868B"/>
    <w:rsid w:val="BBF224C2"/>
    <w:rsid w:val="BCB734DF"/>
    <w:rsid w:val="BCF53CB1"/>
    <w:rsid w:val="BD3EFF6F"/>
    <w:rsid w:val="BD9BF624"/>
    <w:rsid w:val="BDB71C35"/>
    <w:rsid w:val="BDCD54EC"/>
    <w:rsid w:val="BE7E5845"/>
    <w:rsid w:val="BF1BF4E3"/>
    <w:rsid w:val="BF9F0945"/>
    <w:rsid w:val="BFB2A159"/>
    <w:rsid w:val="BFDF1962"/>
    <w:rsid w:val="BFEFE53D"/>
    <w:rsid w:val="BFF23947"/>
    <w:rsid w:val="BFF76BF9"/>
    <w:rsid w:val="C33CE604"/>
    <w:rsid w:val="C7FBCCC9"/>
    <w:rsid w:val="CBDBDCA0"/>
    <w:rsid w:val="CBF1E638"/>
    <w:rsid w:val="CD7339DC"/>
    <w:rsid w:val="CDBF1759"/>
    <w:rsid w:val="CE9E42AB"/>
    <w:rsid w:val="CF6B8668"/>
    <w:rsid w:val="CF7F63A7"/>
    <w:rsid w:val="CFFB8E5C"/>
    <w:rsid w:val="CFFDE93D"/>
    <w:rsid w:val="CFFF8327"/>
    <w:rsid w:val="D2FEEF7A"/>
    <w:rsid w:val="D79A7F5A"/>
    <w:rsid w:val="D79E6D61"/>
    <w:rsid w:val="DBF451DA"/>
    <w:rsid w:val="DBFCA3A6"/>
    <w:rsid w:val="DEB573A2"/>
    <w:rsid w:val="DED7E6CF"/>
    <w:rsid w:val="DEE760C6"/>
    <w:rsid w:val="DEFB2EB9"/>
    <w:rsid w:val="DEFFBA26"/>
    <w:rsid w:val="DEFFD688"/>
    <w:rsid w:val="DF7FC031"/>
    <w:rsid w:val="DFBF2783"/>
    <w:rsid w:val="E6E66025"/>
    <w:rsid w:val="E6FF466C"/>
    <w:rsid w:val="E7E74E47"/>
    <w:rsid w:val="E91FFB18"/>
    <w:rsid w:val="E9B65611"/>
    <w:rsid w:val="EA0F6116"/>
    <w:rsid w:val="EABD9E46"/>
    <w:rsid w:val="EBBF8CC2"/>
    <w:rsid w:val="EDBF2BA8"/>
    <w:rsid w:val="EDEB9CF5"/>
    <w:rsid w:val="EE5D1EB8"/>
    <w:rsid w:val="EEEAF0F9"/>
    <w:rsid w:val="EF77D33F"/>
    <w:rsid w:val="EF9F5437"/>
    <w:rsid w:val="EFBF8681"/>
    <w:rsid w:val="EFD77BE0"/>
    <w:rsid w:val="EFF6E090"/>
    <w:rsid w:val="EFFF6125"/>
    <w:rsid w:val="EFFFE502"/>
    <w:rsid w:val="F29725F5"/>
    <w:rsid w:val="F37DE711"/>
    <w:rsid w:val="F3EF433A"/>
    <w:rsid w:val="F3FB3972"/>
    <w:rsid w:val="F57FC667"/>
    <w:rsid w:val="F5FEFA87"/>
    <w:rsid w:val="F6FEB420"/>
    <w:rsid w:val="F7ACCBC7"/>
    <w:rsid w:val="F7EF3544"/>
    <w:rsid w:val="F7FA3568"/>
    <w:rsid w:val="F99A4551"/>
    <w:rsid w:val="F9DFACD3"/>
    <w:rsid w:val="FA779FB1"/>
    <w:rsid w:val="FAEF941B"/>
    <w:rsid w:val="FB67C763"/>
    <w:rsid w:val="FB736D19"/>
    <w:rsid w:val="FB7FCBAF"/>
    <w:rsid w:val="FBEDDC56"/>
    <w:rsid w:val="FBFBEA77"/>
    <w:rsid w:val="FBFD18D3"/>
    <w:rsid w:val="FC3D6D05"/>
    <w:rsid w:val="FC7DE02C"/>
    <w:rsid w:val="FCF779BE"/>
    <w:rsid w:val="FCFF2A90"/>
    <w:rsid w:val="FD675154"/>
    <w:rsid w:val="FD9B7A19"/>
    <w:rsid w:val="FDE0BFC8"/>
    <w:rsid w:val="FDE776D3"/>
    <w:rsid w:val="FDFD5863"/>
    <w:rsid w:val="FDFE5550"/>
    <w:rsid w:val="FDFF7C38"/>
    <w:rsid w:val="FE7E7D6C"/>
    <w:rsid w:val="FEDD329C"/>
    <w:rsid w:val="FF2DA221"/>
    <w:rsid w:val="FF774136"/>
    <w:rsid w:val="FF8BB37E"/>
    <w:rsid w:val="FF9A9164"/>
    <w:rsid w:val="FF9EAA29"/>
    <w:rsid w:val="FFAD68A1"/>
    <w:rsid w:val="FFB6C03D"/>
    <w:rsid w:val="FFDBCCD3"/>
    <w:rsid w:val="FFDE4BD3"/>
    <w:rsid w:val="FFF7DC7E"/>
    <w:rsid w:val="FFFCE206"/>
    <w:rsid w:val="FFFEBE54"/>
    <w:rsid w:val="FFFED653"/>
    <w:rsid w:val="FFFF9DA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14">
    <w:name w:val="Default Paragraph Font"/>
    <w:unhideWhenUsed/>
    <w:qFormat/>
    <w:uiPriority w:val="1"/>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ascii="Calibri" w:hAnsi="Calibri" w:cs="Arial"/>
      <w:kern w:val="2"/>
      <w:sz w:val="21"/>
      <w:szCs w:val="22"/>
    </w:rPr>
    <w:tblPr>
      <w:tblCellMar>
        <w:top w:w="0" w:type="dxa"/>
        <w:left w:w="108" w:type="dxa"/>
        <w:bottom w:w="0" w:type="dxa"/>
        <w:right w:w="108" w:type="dxa"/>
      </w:tblCellMar>
    </w:tblPr>
  </w:style>
  <w:style w:type="paragraph" w:styleId="2">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paragraph" w:styleId="4">
    <w:name w:val="annotation text"/>
    <w:basedOn w:val="1"/>
    <w:link w:val="19"/>
    <w:unhideWhenUsed/>
    <w:qFormat/>
    <w:uiPriority w:val="99"/>
    <w:pPr>
      <w:jc w:val="left"/>
    </w:pPr>
  </w:style>
  <w:style w:type="paragraph" w:styleId="5">
    <w:name w:val="Plain Text"/>
    <w:basedOn w:val="1"/>
    <w:link w:val="20"/>
    <w:qFormat/>
    <w:uiPriority w:val="99"/>
    <w:rPr>
      <w:rFonts w:ascii="宋体" w:hAnsi="Courier New" w:eastAsia="宋体" w:cs="Times New Roman"/>
      <w:sz w:val="21"/>
      <w:szCs w:val="21"/>
    </w:rPr>
  </w:style>
  <w:style w:type="paragraph" w:styleId="6">
    <w:name w:val="Date"/>
    <w:basedOn w:val="1"/>
    <w:next w:val="1"/>
    <w:link w:val="21"/>
    <w:qFormat/>
    <w:uiPriority w:val="0"/>
    <w:rPr>
      <w:rFonts w:cs="Times New Roman"/>
      <w:kern w:val="0"/>
    </w:rPr>
  </w:style>
  <w:style w:type="paragraph" w:styleId="7">
    <w:name w:val="Balloon Text"/>
    <w:basedOn w:val="1"/>
    <w:link w:val="22"/>
    <w:unhideWhenUsed/>
    <w:qFormat/>
    <w:uiPriority w:val="99"/>
    <w:rPr>
      <w:rFonts w:ascii="宋体" w:eastAsia="宋体"/>
      <w:sz w:val="18"/>
      <w:szCs w:val="18"/>
    </w:rPr>
  </w:style>
  <w:style w:type="paragraph" w:styleId="8">
    <w:name w:val="footer"/>
    <w:basedOn w:val="1"/>
    <w:link w:val="23"/>
    <w:unhideWhenUsed/>
    <w:qFormat/>
    <w:uiPriority w:val="99"/>
    <w:pPr>
      <w:tabs>
        <w:tab w:val="center" w:pos="4153"/>
        <w:tab w:val="right" w:pos="8306"/>
      </w:tabs>
      <w:snapToGrid w:val="0"/>
      <w:jc w:val="left"/>
    </w:pPr>
    <w:rPr>
      <w:rFonts w:eastAsia="宋体" w:cs="Times New Roman"/>
      <w:kern w:val="0"/>
      <w:sz w:val="18"/>
      <w:szCs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jc w:val="center"/>
    </w:pPr>
    <w:rPr>
      <w:rFonts w:eastAsia="宋体" w:cs="Times New Roman"/>
      <w:kern w:val="0"/>
      <w:sz w:val="18"/>
      <w:szCs w:val="18"/>
    </w:rPr>
  </w:style>
  <w:style w:type="paragraph" w:styleId="10">
    <w:name w:val="Body Text 2"/>
    <w:basedOn w:val="1"/>
    <w:link w:val="25"/>
    <w:qFormat/>
    <w:uiPriority w:val="0"/>
    <w:pPr>
      <w:autoSpaceDE w:val="0"/>
      <w:autoSpaceDN w:val="0"/>
      <w:adjustRightInd w:val="0"/>
      <w:spacing w:line="520" w:lineRule="exact"/>
      <w:jc w:val="center"/>
    </w:pPr>
    <w:rPr>
      <w:rFonts w:ascii="楷体_GB2312" w:eastAsia="楷体_GB2312" w:cs="Times New Roman"/>
      <w:kern w:val="0"/>
      <w:sz w:val="44"/>
      <w:szCs w:val="32"/>
      <w:lang w:val="zh-CN"/>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4"/>
    <w:next w:val="4"/>
    <w:link w:val="26"/>
    <w:unhideWhenUsed/>
    <w:qFormat/>
    <w:uiPriority w:val="99"/>
    <w:rPr>
      <w:b/>
      <w:bCs/>
    </w:rPr>
  </w:style>
  <w:style w:type="character" w:styleId="15">
    <w:name w:val="page number"/>
    <w:qFormat/>
    <w:uiPriority w:val="0"/>
  </w:style>
  <w:style w:type="character" w:styleId="16">
    <w:name w:val="Hyperlink"/>
    <w:unhideWhenUsed/>
    <w:qFormat/>
    <w:uiPriority w:val="99"/>
    <w:rPr>
      <w:color w:val="0000FF"/>
      <w:u w:val="single"/>
    </w:rPr>
  </w:style>
  <w:style w:type="character" w:styleId="17">
    <w:name w:val="annotation reference"/>
    <w:unhideWhenUsed/>
    <w:qFormat/>
    <w:uiPriority w:val="99"/>
    <w:rPr>
      <w:sz w:val="21"/>
      <w:szCs w:val="21"/>
    </w:rPr>
  </w:style>
  <w:style w:type="character" w:customStyle="1" w:styleId="18">
    <w:name w:val="标题 1字符"/>
    <w:link w:val="3"/>
    <w:qFormat/>
    <w:uiPriority w:val="9"/>
    <w:rPr>
      <w:rFonts w:eastAsia="仿宋_GB2312"/>
      <w:b/>
      <w:bCs/>
      <w:kern w:val="44"/>
      <w:sz w:val="44"/>
      <w:szCs w:val="44"/>
    </w:rPr>
  </w:style>
  <w:style w:type="character" w:customStyle="1" w:styleId="19">
    <w:name w:val="批注文字字符"/>
    <w:link w:val="4"/>
    <w:semiHidden/>
    <w:qFormat/>
    <w:uiPriority w:val="99"/>
    <w:rPr>
      <w:rFonts w:eastAsia="仿宋_GB2312"/>
      <w:kern w:val="2"/>
      <w:sz w:val="28"/>
    </w:rPr>
  </w:style>
  <w:style w:type="character" w:customStyle="1" w:styleId="20">
    <w:name w:val="纯文本字符"/>
    <w:link w:val="5"/>
    <w:qFormat/>
    <w:uiPriority w:val="99"/>
    <w:rPr>
      <w:rFonts w:ascii="宋体" w:hAnsi="Courier New" w:cs="Courier New"/>
      <w:kern w:val="2"/>
      <w:sz w:val="21"/>
      <w:szCs w:val="21"/>
    </w:rPr>
  </w:style>
  <w:style w:type="character" w:customStyle="1" w:styleId="21">
    <w:name w:val="日期字符"/>
    <w:link w:val="6"/>
    <w:qFormat/>
    <w:uiPriority w:val="0"/>
    <w:rPr>
      <w:rFonts w:ascii="Times New Roman" w:hAnsi="Times New Roman" w:eastAsia="仿宋_GB2312" w:cs="Times New Roman"/>
      <w:sz w:val="28"/>
      <w:szCs w:val="20"/>
    </w:rPr>
  </w:style>
  <w:style w:type="character" w:customStyle="1" w:styleId="22">
    <w:name w:val="批注框文本字符"/>
    <w:link w:val="7"/>
    <w:semiHidden/>
    <w:qFormat/>
    <w:uiPriority w:val="99"/>
    <w:rPr>
      <w:rFonts w:ascii="宋体"/>
      <w:kern w:val="2"/>
      <w:sz w:val="18"/>
      <w:szCs w:val="18"/>
    </w:rPr>
  </w:style>
  <w:style w:type="character" w:customStyle="1" w:styleId="23">
    <w:name w:val="页脚字符"/>
    <w:link w:val="8"/>
    <w:semiHidden/>
    <w:qFormat/>
    <w:uiPriority w:val="99"/>
    <w:rPr>
      <w:sz w:val="18"/>
      <w:szCs w:val="18"/>
    </w:rPr>
  </w:style>
  <w:style w:type="character" w:customStyle="1" w:styleId="24">
    <w:name w:val="页眉字符"/>
    <w:link w:val="9"/>
    <w:semiHidden/>
    <w:qFormat/>
    <w:uiPriority w:val="99"/>
    <w:rPr>
      <w:sz w:val="18"/>
      <w:szCs w:val="18"/>
    </w:rPr>
  </w:style>
  <w:style w:type="character" w:customStyle="1" w:styleId="25">
    <w:name w:val="正文文本 2字符"/>
    <w:link w:val="10"/>
    <w:qFormat/>
    <w:uiPriority w:val="0"/>
    <w:rPr>
      <w:rFonts w:ascii="楷体_GB2312" w:hAnsi="Times New Roman" w:eastAsia="楷体_GB2312"/>
      <w:sz w:val="44"/>
      <w:szCs w:val="32"/>
      <w:lang w:val="zh-CN"/>
    </w:rPr>
  </w:style>
  <w:style w:type="character" w:customStyle="1" w:styleId="26">
    <w:name w:val="批注主题字符"/>
    <w:link w:val="12"/>
    <w:semiHidden/>
    <w:qFormat/>
    <w:uiPriority w:val="99"/>
    <w:rPr>
      <w:rFonts w:eastAsia="仿宋_GB2312"/>
      <w:b/>
      <w:bCs/>
      <w:kern w:val="2"/>
      <w:sz w:val="28"/>
    </w:rPr>
  </w:style>
  <w:style w:type="character" w:customStyle="1" w:styleId="27">
    <w:name w:val="16"/>
    <w:qFormat/>
    <w:uiPriority w:val="0"/>
    <w:rPr>
      <w:rFonts w:hint="default" w:ascii="Times New Roman" w:hAnsi="Times New Roman" w:cs="Times New Roman"/>
      <w:color w:val="0000FF"/>
      <w:u w:val="single"/>
    </w:rPr>
  </w:style>
  <w:style w:type="paragraph" w:customStyle="1" w:styleId="28">
    <w:name w:val="p2"/>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1642</Words>
  <Characters>9362</Characters>
  <Lines>1</Lines>
  <Paragraphs>1</Paragraphs>
  <TotalTime>20</TotalTime>
  <ScaleCrop>false</ScaleCrop>
  <LinksUpToDate>false</LinksUpToDate>
  <CharactersWithSpaces>10983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2020-10-15T09:16:00Z</dcterms:created>
  <dc:creator>hp</dc:creator>
  <cp:lastModifiedBy>民三庭信箱</cp:lastModifiedBy>
  <cp:lastPrinted>2021-11-19T01:43:00Z</cp:lastPrinted>
  <dcterms:modified xsi:type="dcterms:W3CDTF">2026-06-11T10:12:27Z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