
<file path=[Content_Types].xml><?xml version="1.0" encoding="utf-8"?>
<Types xmlns="http://schemas.openxmlformats.org/package/2006/content-types">
  <Default Extension="xml" ContentType="application/xml"/>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20" w:lineRule="exact"/>
        <w:rPr>
          <w:rFonts w:eastAsia="文鼎大标宋简"/>
          <w:sz w:val="52"/>
        </w:rPr>
      </w:pPr>
      <w:r>
        <w:rPr>
          <w:rFonts w:eastAsia="文鼎大标宋简"/>
          <w:sz w:val="52"/>
        </w:rPr>
        <w:t xml:space="preserve">                     </w:t>
      </w:r>
    </w:p>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eastAsia="华文中宋"/>
          <w:spacing w:val="20"/>
          <w:sz w:val="52"/>
        </w:rPr>
      </w:pPr>
      <w:r>
        <w:rPr>
          <w:rFonts w:hAnsi="华文中宋" w:eastAsia="华文中宋"/>
          <w:spacing w:val="20"/>
          <w:sz w:val="44"/>
        </w:rPr>
        <w:t>浙</w:t>
      </w:r>
      <w:r>
        <w:rPr>
          <w:rFonts w:eastAsia="华文中宋"/>
          <w:spacing w:val="20"/>
          <w:sz w:val="44"/>
        </w:rPr>
        <w:t xml:space="preserve"> </w:t>
      </w:r>
      <w:r>
        <w:rPr>
          <w:rFonts w:hAnsi="华文中宋" w:eastAsia="华文中宋"/>
          <w:spacing w:val="20"/>
          <w:sz w:val="44"/>
        </w:rPr>
        <w:t>江</w:t>
      </w:r>
      <w:r>
        <w:rPr>
          <w:rFonts w:eastAsia="华文中宋"/>
          <w:spacing w:val="20"/>
          <w:sz w:val="44"/>
        </w:rPr>
        <w:t xml:space="preserve"> </w:t>
      </w:r>
      <w:r>
        <w:rPr>
          <w:rFonts w:hAnsi="华文中宋" w:eastAsia="华文中宋"/>
          <w:spacing w:val="20"/>
          <w:sz w:val="44"/>
        </w:rPr>
        <w:t>省</w:t>
      </w:r>
      <w:r>
        <w:rPr>
          <w:rFonts w:eastAsia="华文中宋"/>
          <w:spacing w:val="20"/>
          <w:sz w:val="44"/>
        </w:rPr>
        <w:t xml:space="preserve"> </w:t>
      </w:r>
      <w:r>
        <w:rPr>
          <w:rFonts w:hAnsi="华文中宋" w:eastAsia="华文中宋"/>
          <w:spacing w:val="20"/>
          <w:sz w:val="44"/>
        </w:rPr>
        <w:t>高</w:t>
      </w:r>
      <w:r>
        <w:rPr>
          <w:rFonts w:eastAsia="华文中宋"/>
          <w:spacing w:val="20"/>
          <w:sz w:val="44"/>
        </w:rPr>
        <w:t xml:space="preserve"> </w:t>
      </w:r>
      <w:r>
        <w:rPr>
          <w:rFonts w:hAnsi="华文中宋" w:eastAsia="华文中宋"/>
          <w:spacing w:val="20"/>
          <w:sz w:val="44"/>
        </w:rPr>
        <w:t>级</w:t>
      </w:r>
      <w:r>
        <w:rPr>
          <w:rFonts w:eastAsia="华文中宋"/>
          <w:spacing w:val="20"/>
          <w:sz w:val="44"/>
        </w:rPr>
        <w:t xml:space="preserve"> </w:t>
      </w:r>
      <w:r>
        <w:rPr>
          <w:rFonts w:hAnsi="华文中宋" w:eastAsia="华文中宋"/>
          <w:spacing w:val="20"/>
          <w:sz w:val="44"/>
        </w:rPr>
        <w:t>人</w:t>
      </w:r>
      <w:r>
        <w:rPr>
          <w:rFonts w:eastAsia="华文中宋"/>
          <w:spacing w:val="20"/>
          <w:sz w:val="44"/>
        </w:rPr>
        <w:t xml:space="preserve"> </w:t>
      </w:r>
      <w:r>
        <w:rPr>
          <w:rFonts w:hAnsi="华文中宋" w:eastAsia="华文中宋"/>
          <w:spacing w:val="20"/>
          <w:sz w:val="44"/>
        </w:rPr>
        <w:t>民</w:t>
      </w:r>
      <w:r>
        <w:rPr>
          <w:rFonts w:eastAsia="华文中宋"/>
          <w:spacing w:val="20"/>
          <w:sz w:val="44"/>
        </w:rPr>
        <w:t xml:space="preserve"> </w:t>
      </w:r>
      <w:r>
        <w:rPr>
          <w:rFonts w:hAnsi="华文中宋" w:eastAsia="华文中宋"/>
          <w:spacing w:val="20"/>
          <w:sz w:val="44"/>
        </w:rPr>
        <w:t>法</w:t>
      </w:r>
      <w:r>
        <w:rPr>
          <w:rFonts w:eastAsia="华文中宋"/>
          <w:spacing w:val="20"/>
          <w:sz w:val="44"/>
        </w:rPr>
        <w:t xml:space="preserve"> </w:t>
      </w:r>
      <w:r>
        <w:rPr>
          <w:rFonts w:hAnsi="华文中宋" w:eastAsia="华文中宋"/>
          <w:spacing w:val="20"/>
          <w:sz w:val="44"/>
        </w:rPr>
        <w:t>院</w:t>
      </w:r>
    </w:p>
    <w:p>
      <w:pPr>
        <w:keepNext w:val="0"/>
        <w:keepLines w:val="0"/>
        <w:pageBreakBefore w:val="0"/>
        <w:widowControl w:val="0"/>
        <w:kinsoku/>
        <w:overflowPunct/>
        <w:topLinePunct w:val="0"/>
        <w:autoSpaceDE/>
        <w:autoSpaceDN/>
        <w:bidi w:val="0"/>
        <w:adjustRightInd/>
        <w:snapToGrid/>
        <w:spacing w:line="580" w:lineRule="exact"/>
        <w:jc w:val="center"/>
        <w:textAlignment w:val="auto"/>
        <w:rPr>
          <w:rFonts w:eastAsia="华文中宋"/>
          <w:sz w:val="52"/>
        </w:rPr>
      </w:pPr>
      <w:r>
        <w:rPr>
          <w:rFonts w:hAnsi="华文中宋" w:eastAsia="华文中宋"/>
          <w:spacing w:val="240"/>
          <w:sz w:val="52"/>
        </w:rPr>
        <w:t>民事判决</w:t>
      </w:r>
      <w:r>
        <w:rPr>
          <w:rFonts w:hAnsi="华文中宋" w:eastAsia="华文中宋"/>
          <w:sz w:val="52"/>
        </w:rPr>
        <w:t>书</w:t>
      </w:r>
    </w:p>
    <w:p>
      <w:pPr>
        <w:keepNext w:val="0"/>
        <w:keepLines w:val="0"/>
        <w:pageBreakBefore w:val="0"/>
        <w:widowControl w:val="0"/>
        <w:kinsoku/>
        <w:overflowPunct/>
        <w:topLinePunct w:val="0"/>
        <w:autoSpaceDE/>
        <w:autoSpaceDN/>
        <w:bidi w:val="0"/>
        <w:adjustRightInd/>
        <w:snapToGrid/>
        <w:spacing w:line="580" w:lineRule="exact"/>
        <w:textAlignment w:val="auto"/>
        <w:rPr>
          <w:sz w:val="32"/>
        </w:rPr>
      </w:pPr>
      <w:r>
        <w:rPr>
          <w:sz w:val="32"/>
        </w:rPr>
        <w:t xml:space="preserve">  </w:t>
      </w:r>
    </w:p>
    <w:p>
      <w:pPr>
        <w:keepNext w:val="0"/>
        <w:keepLines w:val="0"/>
        <w:pageBreakBefore w:val="0"/>
        <w:widowControl w:val="0"/>
        <w:kinsoku/>
        <w:wordWrap w:val="0"/>
        <w:overflowPunct/>
        <w:topLinePunct w:val="0"/>
        <w:autoSpaceDE/>
        <w:autoSpaceDN/>
        <w:bidi w:val="0"/>
        <w:adjustRightInd/>
        <w:snapToGrid/>
        <w:spacing w:line="580" w:lineRule="exact"/>
        <w:ind w:firstLine="573"/>
        <w:jc w:val="right"/>
        <w:textAlignment w:val="auto"/>
        <w:rPr>
          <w:sz w:val="32"/>
          <w:szCs w:val="32"/>
        </w:rPr>
      </w:pPr>
      <w:r>
        <w:rPr>
          <w:sz w:val="32"/>
          <w:szCs w:val="32"/>
        </w:rPr>
        <w:t>（20</w:t>
      </w:r>
      <w:r>
        <w:rPr>
          <w:rFonts w:hint="eastAsia"/>
          <w:sz w:val="32"/>
          <w:szCs w:val="32"/>
        </w:rPr>
        <w:t>21</w:t>
      </w:r>
      <w:r>
        <w:rPr>
          <w:sz w:val="32"/>
          <w:szCs w:val="32"/>
        </w:rPr>
        <w:t>）浙民终</w:t>
      </w:r>
      <w:r>
        <w:rPr>
          <w:rFonts w:hint="eastAsia"/>
          <w:sz w:val="32"/>
          <w:szCs w:val="32"/>
        </w:rPr>
        <w:t>893</w:t>
      </w:r>
      <w:r>
        <w:rPr>
          <w:sz w:val="32"/>
          <w:szCs w:val="32"/>
        </w:rPr>
        <w:t xml:space="preserve">号   </w:t>
      </w:r>
    </w:p>
    <w:p>
      <w:pPr>
        <w:keepNext w:val="0"/>
        <w:keepLines w:val="0"/>
        <w:pageBreakBefore w:val="0"/>
        <w:widowControl w:val="0"/>
        <w:kinsoku/>
        <w:overflowPunct/>
        <w:topLinePunct w:val="0"/>
        <w:autoSpaceDE/>
        <w:autoSpaceDN/>
        <w:bidi w:val="0"/>
        <w:adjustRightInd/>
        <w:snapToGrid/>
        <w:spacing w:line="580" w:lineRule="exact"/>
        <w:ind w:firstLine="539" w:firstLineChars="174"/>
        <w:textAlignment w:val="auto"/>
        <w:rPr>
          <w:sz w:val="32"/>
        </w:rPr>
      </w:pPr>
    </w:p>
    <w:p>
      <w:pPr>
        <w:keepNext w:val="0"/>
        <w:keepLines w:val="0"/>
        <w:pageBreakBefore w:val="0"/>
        <w:widowControl w:val="0"/>
        <w:kinsoku/>
        <w:overflowPunct/>
        <w:topLinePunct w:val="0"/>
        <w:autoSpaceDE/>
        <w:autoSpaceDN/>
        <w:bidi w:val="0"/>
        <w:adjustRightInd/>
        <w:snapToGrid/>
        <w:spacing w:line="580" w:lineRule="exact"/>
        <w:ind w:firstLine="620" w:firstLineChars="200"/>
        <w:textAlignment w:val="auto"/>
        <w:rPr>
          <w:rFonts w:hint="eastAsia"/>
          <w:sz w:val="32"/>
        </w:rPr>
      </w:pPr>
      <w:r>
        <w:rPr>
          <w:rFonts w:hint="eastAsia"/>
          <w:sz w:val="32"/>
        </w:rPr>
        <w:t>上诉人（原审被告）：</w:t>
      </w:r>
      <w:r>
        <w:rPr>
          <w:rFonts w:hint="eastAsia"/>
          <w:sz w:val="32"/>
          <w:lang w:eastAsia="zh-CN"/>
        </w:rPr>
        <w:t>义乌市重某贸易有限公司</w:t>
      </w:r>
      <w:r>
        <w:rPr>
          <w:rFonts w:hint="eastAsia"/>
          <w:sz w:val="32"/>
        </w:rPr>
        <w:t>，住所地浙江省义乌市。</w:t>
      </w:r>
    </w:p>
    <w:p>
      <w:pPr>
        <w:keepNext w:val="0"/>
        <w:keepLines w:val="0"/>
        <w:pageBreakBefore w:val="0"/>
        <w:widowControl w:val="0"/>
        <w:kinsoku/>
        <w:overflowPunct/>
        <w:topLinePunct w:val="0"/>
        <w:autoSpaceDE/>
        <w:autoSpaceDN/>
        <w:bidi w:val="0"/>
        <w:adjustRightInd/>
        <w:snapToGrid/>
        <w:spacing w:line="580" w:lineRule="exact"/>
        <w:ind w:firstLine="620" w:firstLineChars="200"/>
        <w:textAlignment w:val="auto"/>
        <w:rPr>
          <w:rFonts w:hint="eastAsia"/>
          <w:sz w:val="32"/>
        </w:rPr>
      </w:pPr>
      <w:r>
        <w:rPr>
          <w:rFonts w:hint="eastAsia"/>
          <w:sz w:val="32"/>
        </w:rPr>
        <w:t>被上诉人（原审原告）：</w:t>
      </w:r>
      <w:r>
        <w:rPr>
          <w:rFonts w:hint="eastAsia"/>
          <w:sz w:val="32"/>
          <w:lang w:eastAsia="zh-CN"/>
        </w:rPr>
        <w:t>永康市剑某电器有限公司</w:t>
      </w:r>
      <w:r>
        <w:rPr>
          <w:rFonts w:hint="eastAsia"/>
          <w:sz w:val="32"/>
        </w:rPr>
        <w:t>，住所地浙江省永康市。</w:t>
      </w:r>
    </w:p>
    <w:p>
      <w:pPr>
        <w:keepNext w:val="0"/>
        <w:keepLines w:val="0"/>
        <w:pageBreakBefore w:val="0"/>
        <w:widowControl w:val="0"/>
        <w:kinsoku/>
        <w:overflowPunct/>
        <w:topLinePunct w:val="0"/>
        <w:autoSpaceDE/>
        <w:autoSpaceDN/>
        <w:bidi w:val="0"/>
        <w:adjustRightInd/>
        <w:snapToGrid/>
        <w:spacing w:line="580" w:lineRule="exact"/>
        <w:ind w:firstLine="620" w:firstLineChars="200"/>
        <w:textAlignment w:val="auto"/>
        <w:rPr>
          <w:sz w:val="32"/>
          <w:szCs w:val="32"/>
        </w:rPr>
      </w:pPr>
      <w:r>
        <w:rPr>
          <w:rFonts w:hint="eastAsia"/>
          <w:sz w:val="32"/>
          <w:szCs w:val="32"/>
        </w:rPr>
        <w:t>上诉人</w:t>
      </w:r>
      <w:r>
        <w:rPr>
          <w:rFonts w:hint="eastAsia"/>
          <w:sz w:val="32"/>
          <w:lang w:eastAsia="zh-CN"/>
        </w:rPr>
        <w:t>义乌市重某贸易有限公司</w:t>
      </w:r>
      <w:r>
        <w:rPr>
          <w:rFonts w:hint="eastAsia"/>
          <w:sz w:val="32"/>
          <w:szCs w:val="32"/>
        </w:rPr>
        <w:t>（</w:t>
      </w:r>
      <w:bookmarkStart w:id="0" w:name="_GoBack"/>
      <w:bookmarkEnd w:id="0"/>
      <w:r>
        <w:rPr>
          <w:rFonts w:hint="eastAsia"/>
          <w:sz w:val="32"/>
          <w:szCs w:val="32"/>
        </w:rPr>
        <w:t>以下简称</w:t>
      </w:r>
      <w:r>
        <w:rPr>
          <w:rFonts w:hint="eastAsia"/>
          <w:sz w:val="32"/>
          <w:szCs w:val="32"/>
          <w:lang w:eastAsia="zh-CN"/>
        </w:rPr>
        <w:t>重某公司</w:t>
      </w:r>
      <w:r>
        <w:rPr>
          <w:rFonts w:hint="eastAsia"/>
          <w:sz w:val="32"/>
          <w:szCs w:val="32"/>
        </w:rPr>
        <w:t>）因与被上诉人</w:t>
      </w:r>
      <w:r>
        <w:rPr>
          <w:rFonts w:hint="eastAsia"/>
          <w:sz w:val="32"/>
          <w:szCs w:val="32"/>
          <w:lang w:eastAsia="zh-CN"/>
        </w:rPr>
        <w:t>永康市剑某电器有限公司</w:t>
      </w:r>
      <w:r>
        <w:rPr>
          <w:rFonts w:hint="eastAsia"/>
          <w:sz w:val="32"/>
          <w:szCs w:val="32"/>
        </w:rPr>
        <w:t>（以下简称</w:t>
      </w:r>
      <w:r>
        <w:rPr>
          <w:rFonts w:hint="eastAsia"/>
          <w:sz w:val="32"/>
          <w:szCs w:val="32"/>
          <w:lang w:eastAsia="zh-CN"/>
        </w:rPr>
        <w:t>剑某公司</w:t>
      </w:r>
      <w:r>
        <w:rPr>
          <w:rFonts w:hint="eastAsia"/>
          <w:sz w:val="32"/>
          <w:szCs w:val="32"/>
        </w:rPr>
        <w:t>）侵害外观设计专利权纠纷一案</w:t>
      </w:r>
      <w:r>
        <w:rPr>
          <w:sz w:val="32"/>
          <w:szCs w:val="32"/>
        </w:rPr>
        <w:t>，不服浙江省</w:t>
      </w:r>
      <w:r>
        <w:rPr>
          <w:rFonts w:hint="eastAsia"/>
          <w:sz w:val="32"/>
          <w:szCs w:val="32"/>
        </w:rPr>
        <w:t>杭州市</w:t>
      </w:r>
      <w:r>
        <w:rPr>
          <w:sz w:val="32"/>
          <w:szCs w:val="32"/>
        </w:rPr>
        <w:t>中级人民法院</w:t>
      </w:r>
      <w:r>
        <w:rPr>
          <w:rFonts w:hint="eastAsia"/>
          <w:sz w:val="32"/>
          <w:szCs w:val="32"/>
        </w:rPr>
        <w:t>（2020）浙01民初854号民事判决</w:t>
      </w:r>
      <w:r>
        <w:rPr>
          <w:sz w:val="32"/>
          <w:szCs w:val="32"/>
        </w:rPr>
        <w:t>，向本院提起上诉。本院于20</w:t>
      </w:r>
      <w:r>
        <w:rPr>
          <w:rFonts w:hint="eastAsia"/>
          <w:sz w:val="32"/>
          <w:szCs w:val="32"/>
        </w:rPr>
        <w:t>21</w:t>
      </w:r>
      <w:r>
        <w:rPr>
          <w:sz w:val="32"/>
          <w:szCs w:val="32"/>
        </w:rPr>
        <w:t>年</w:t>
      </w:r>
      <w:r>
        <w:rPr>
          <w:rFonts w:hint="eastAsia"/>
          <w:sz w:val="32"/>
          <w:szCs w:val="32"/>
        </w:rPr>
        <w:t>6</w:t>
      </w:r>
      <w:r>
        <w:rPr>
          <w:sz w:val="32"/>
          <w:szCs w:val="32"/>
        </w:rPr>
        <w:t>月</w:t>
      </w:r>
      <w:r>
        <w:rPr>
          <w:rFonts w:hint="eastAsia"/>
          <w:sz w:val="32"/>
          <w:szCs w:val="32"/>
        </w:rPr>
        <w:t>9</w:t>
      </w:r>
      <w:r>
        <w:rPr>
          <w:sz w:val="32"/>
          <w:szCs w:val="32"/>
        </w:rPr>
        <w:t>日立案后，依法组成合议庭进行了审理。本案现已审理终结。</w:t>
      </w:r>
    </w:p>
    <w:p>
      <w:pPr>
        <w:keepNext w:val="0"/>
        <w:keepLines w:val="0"/>
        <w:pageBreakBefore w:val="0"/>
        <w:widowControl w:val="0"/>
        <w:kinsoku/>
        <w:overflowPunct/>
        <w:topLinePunct w:val="0"/>
        <w:autoSpaceDE/>
        <w:autoSpaceDN/>
        <w:bidi w:val="0"/>
        <w:adjustRightInd/>
        <w:snapToGrid/>
        <w:spacing w:line="580" w:lineRule="exact"/>
        <w:ind w:firstLine="620" w:firstLineChars="200"/>
        <w:textAlignment w:val="auto"/>
        <w:rPr>
          <w:sz w:val="32"/>
          <w:szCs w:val="32"/>
        </w:rPr>
      </w:pPr>
      <w:r>
        <w:rPr>
          <w:rFonts w:hint="eastAsia"/>
          <w:sz w:val="32"/>
          <w:szCs w:val="32"/>
          <w:lang w:eastAsia="zh-CN"/>
        </w:rPr>
        <w:t>重某公司</w:t>
      </w:r>
      <w:r>
        <w:rPr>
          <w:rFonts w:hint="eastAsia"/>
          <w:sz w:val="32"/>
          <w:szCs w:val="32"/>
        </w:rPr>
        <w:t>上诉请求：撤销一审判决，并依法改判。事实和理由：1.在涉案专利无效宣告请求审查程序中，国家知识产权局认为引证专利与涉案专利在整体外围形状和圆孔的位置排布上均存在不同，对整体视觉效果具有显著影响，进而认定两者既不相同也不近似。本案中被诉侵权设计与授权外观设计在整体外围形状和圆孔位置上亦存在区别，应当按照国家知识产权局的审查思路，认定被诉侵权设计与授权外观设计既不相同也不近似，一审法院比对结论明显错误。2.对于“光面款折叠俯卧撑板”被诉侵权产品，</w:t>
      </w:r>
      <w:r>
        <w:rPr>
          <w:rFonts w:hint="eastAsia"/>
          <w:sz w:val="32"/>
          <w:szCs w:val="32"/>
          <w:lang w:eastAsia="zh-CN"/>
        </w:rPr>
        <w:t>重某公司</w:t>
      </w:r>
      <w:r>
        <w:rPr>
          <w:rFonts w:hint="eastAsia"/>
          <w:sz w:val="32"/>
          <w:szCs w:val="32"/>
        </w:rPr>
        <w:t>已提交证据证明该产品实施的系他人的专利，国家知识产权局在专利权评价报告中亦认定该他人专利与包括涉案专利在内的现有设计存在明显区别。3.若按照一审法院的比对结论，则被诉侵权设计实施的系现有设计，不构成对涉案专利权的侵害。4.被诉侵权链接内含多款不同产品，一审法院将该链接的全部销量认定为被诉侵权产品的实际销量有误。</w:t>
      </w:r>
    </w:p>
    <w:p>
      <w:pPr>
        <w:keepNext w:val="0"/>
        <w:keepLines w:val="0"/>
        <w:pageBreakBefore w:val="0"/>
        <w:widowControl w:val="0"/>
        <w:kinsoku/>
        <w:overflowPunct/>
        <w:topLinePunct w:val="0"/>
        <w:autoSpaceDE/>
        <w:autoSpaceDN/>
        <w:bidi w:val="0"/>
        <w:adjustRightInd/>
        <w:snapToGrid/>
        <w:spacing w:line="580" w:lineRule="exact"/>
        <w:ind w:firstLine="620" w:firstLineChars="200"/>
        <w:textAlignment w:val="auto"/>
        <w:rPr>
          <w:rFonts w:hint="eastAsia"/>
          <w:sz w:val="32"/>
          <w:szCs w:val="32"/>
        </w:rPr>
      </w:pPr>
      <w:r>
        <w:rPr>
          <w:rFonts w:hint="eastAsia"/>
          <w:sz w:val="32"/>
          <w:szCs w:val="32"/>
          <w:lang w:eastAsia="zh-CN"/>
        </w:rPr>
        <w:t>剑某公司</w:t>
      </w:r>
      <w:r>
        <w:rPr>
          <w:rFonts w:hint="eastAsia"/>
          <w:sz w:val="32"/>
          <w:szCs w:val="32"/>
        </w:rPr>
        <w:t>辩称，1.本案与涉案专利无效宣告请求审查程序中的比对情况并不相同，被诉侵权设计与授权外观设计在底板形状和圆孔的位置排布上差异较小，一审法院认定两者构成近似并无不当。2.被诉侵权设计与现有设计并不相同，</w:t>
      </w:r>
      <w:r>
        <w:rPr>
          <w:rFonts w:hint="eastAsia"/>
          <w:sz w:val="32"/>
          <w:szCs w:val="32"/>
          <w:lang w:eastAsia="zh-CN"/>
        </w:rPr>
        <w:t>重某公司</w:t>
      </w:r>
      <w:r>
        <w:rPr>
          <w:rFonts w:hint="eastAsia"/>
          <w:sz w:val="32"/>
          <w:szCs w:val="32"/>
        </w:rPr>
        <w:t>的现有设计抗辩不能成立。3.一审法院对被诉侵权产品部分销量未予认定，其认定的销量仅为</w:t>
      </w:r>
      <w:r>
        <w:rPr>
          <w:rFonts w:hint="eastAsia"/>
          <w:sz w:val="32"/>
          <w:szCs w:val="32"/>
          <w:lang w:eastAsia="zh-CN"/>
        </w:rPr>
        <w:t>重某公司</w:t>
      </w:r>
      <w:r>
        <w:rPr>
          <w:rFonts w:hint="eastAsia"/>
          <w:sz w:val="32"/>
          <w:szCs w:val="32"/>
        </w:rPr>
        <w:t>实际销量的一半。</w:t>
      </w:r>
    </w:p>
    <w:p>
      <w:pPr>
        <w:keepNext w:val="0"/>
        <w:keepLines w:val="0"/>
        <w:pageBreakBefore w:val="0"/>
        <w:widowControl w:val="0"/>
        <w:kinsoku/>
        <w:overflowPunct/>
        <w:topLinePunct w:val="0"/>
        <w:autoSpaceDE/>
        <w:autoSpaceDN/>
        <w:bidi w:val="0"/>
        <w:adjustRightInd/>
        <w:snapToGrid/>
        <w:spacing w:line="580" w:lineRule="exact"/>
        <w:ind w:firstLine="620" w:firstLineChars="200"/>
        <w:textAlignment w:val="auto"/>
        <w:rPr>
          <w:rFonts w:hint="eastAsia"/>
          <w:sz w:val="32"/>
          <w:szCs w:val="32"/>
        </w:rPr>
      </w:pPr>
      <w:r>
        <w:rPr>
          <w:rFonts w:hint="eastAsia"/>
          <w:sz w:val="32"/>
          <w:szCs w:val="32"/>
          <w:lang w:eastAsia="zh-CN"/>
        </w:rPr>
        <w:t>剑某公司</w:t>
      </w:r>
      <w:r>
        <w:rPr>
          <w:rFonts w:hint="eastAsia"/>
          <w:sz w:val="32"/>
          <w:szCs w:val="32"/>
        </w:rPr>
        <w:t>向一审法院起诉，请求判令</w:t>
      </w:r>
      <w:r>
        <w:rPr>
          <w:rFonts w:hint="eastAsia"/>
          <w:sz w:val="32"/>
          <w:szCs w:val="32"/>
          <w:lang w:eastAsia="zh-CN"/>
        </w:rPr>
        <w:t>重某公司</w:t>
      </w:r>
      <w:r>
        <w:rPr>
          <w:rFonts w:hint="eastAsia"/>
          <w:sz w:val="32"/>
          <w:szCs w:val="32"/>
        </w:rPr>
        <w:t>：1.立即停止销售侵害其专利号为</w:t>
      </w:r>
      <w:r>
        <w:rPr>
          <w:rFonts w:hint="eastAsia"/>
          <w:sz w:val="32"/>
          <w:szCs w:val="32"/>
          <w:lang w:eastAsia="zh-CN"/>
        </w:rPr>
        <w:t>ZL2017xxxx1695.7</w:t>
      </w:r>
      <w:r>
        <w:rPr>
          <w:rFonts w:hint="eastAsia"/>
          <w:sz w:val="32"/>
          <w:szCs w:val="32"/>
        </w:rPr>
        <w:t>，名称为“俯卧撑板（多功能）”的外观设计专利权产品的行为，并销毁库存产品；2.赔偿经济损失50万元（包含合理费用）。一审庭审中，</w:t>
      </w:r>
      <w:r>
        <w:rPr>
          <w:rFonts w:hint="eastAsia"/>
          <w:sz w:val="32"/>
          <w:szCs w:val="32"/>
          <w:lang w:eastAsia="zh-CN"/>
        </w:rPr>
        <w:t>剑某公司</w:t>
      </w:r>
      <w:r>
        <w:rPr>
          <w:rFonts w:hint="eastAsia"/>
          <w:sz w:val="32"/>
          <w:szCs w:val="32"/>
        </w:rPr>
        <w:t>放弃第一项诉讼请求中关于销毁库存产品的主张，一审法院予以准许。</w:t>
      </w:r>
    </w:p>
    <w:p>
      <w:pPr>
        <w:keepNext w:val="0"/>
        <w:keepLines w:val="0"/>
        <w:pageBreakBefore w:val="0"/>
        <w:widowControl w:val="0"/>
        <w:kinsoku/>
        <w:overflowPunct/>
        <w:topLinePunct w:val="0"/>
        <w:autoSpaceDE/>
        <w:autoSpaceDN/>
        <w:bidi w:val="0"/>
        <w:adjustRightInd/>
        <w:snapToGrid/>
        <w:spacing w:line="580" w:lineRule="exact"/>
        <w:ind w:firstLine="620" w:firstLineChars="200"/>
        <w:textAlignment w:val="auto"/>
        <w:rPr>
          <w:rFonts w:hint="eastAsia"/>
          <w:sz w:val="32"/>
          <w:szCs w:val="32"/>
        </w:rPr>
      </w:pPr>
      <w:r>
        <w:rPr>
          <w:rFonts w:hint="eastAsia"/>
          <w:sz w:val="32"/>
          <w:szCs w:val="32"/>
        </w:rPr>
        <w:t>一审法院认定事实：</w:t>
      </w:r>
      <w:r>
        <w:rPr>
          <w:rFonts w:hint="eastAsia"/>
          <w:sz w:val="32"/>
          <w:szCs w:val="32"/>
          <w:lang w:eastAsia="zh-CN"/>
        </w:rPr>
        <w:t>姚某</w:t>
      </w:r>
      <w:r>
        <w:rPr>
          <w:rFonts w:hint="eastAsia"/>
          <w:sz w:val="32"/>
          <w:szCs w:val="32"/>
        </w:rPr>
        <w:t>系名称为“俯卧撑板（多功能）”，专利号为</w:t>
      </w:r>
      <w:r>
        <w:rPr>
          <w:rFonts w:hint="eastAsia"/>
          <w:sz w:val="32"/>
          <w:szCs w:val="32"/>
          <w:lang w:eastAsia="zh-CN"/>
        </w:rPr>
        <w:t>ZL2017xxxx1695.7</w:t>
      </w:r>
      <w:r>
        <w:rPr>
          <w:rFonts w:hint="eastAsia"/>
          <w:sz w:val="32"/>
          <w:szCs w:val="32"/>
        </w:rPr>
        <w:t>的外观设计专利的权利人。该专利申请日为2017年8月18日，授权公告日为2018年3月27日。目前，该专利权处于有效状态。简要说明载明，该外观设计产品系用于健身的器械，其设计要点在于产品的形状，最能表明设计要点的图片或照片为立体图。2019年8月23日，国家知识产权局就涉案专利出具外观设计专利权评价报告，初步结论为全部外观设计未发现存在不符合授予专利权条件的缺陷。2018年10月1日，</w:t>
      </w:r>
      <w:r>
        <w:rPr>
          <w:rFonts w:hint="eastAsia"/>
          <w:sz w:val="32"/>
          <w:szCs w:val="32"/>
          <w:lang w:eastAsia="zh-CN"/>
        </w:rPr>
        <w:t>姚某</w:t>
      </w:r>
      <w:r>
        <w:rPr>
          <w:rFonts w:hint="eastAsia"/>
          <w:sz w:val="32"/>
          <w:szCs w:val="32"/>
        </w:rPr>
        <w:t>和</w:t>
      </w:r>
      <w:r>
        <w:rPr>
          <w:rFonts w:hint="eastAsia"/>
          <w:sz w:val="32"/>
          <w:szCs w:val="32"/>
          <w:lang w:eastAsia="zh-CN"/>
        </w:rPr>
        <w:t>剑某公司</w:t>
      </w:r>
      <w:r>
        <w:rPr>
          <w:rFonts w:hint="eastAsia"/>
          <w:sz w:val="32"/>
          <w:szCs w:val="32"/>
        </w:rPr>
        <w:t>签订《知识产权独占使用许可协议》，约定</w:t>
      </w:r>
      <w:r>
        <w:rPr>
          <w:rFonts w:hint="eastAsia"/>
          <w:sz w:val="32"/>
          <w:szCs w:val="32"/>
          <w:lang w:eastAsia="zh-CN"/>
        </w:rPr>
        <w:t>姚某</w:t>
      </w:r>
      <w:r>
        <w:rPr>
          <w:rFonts w:hint="eastAsia"/>
          <w:sz w:val="32"/>
          <w:szCs w:val="32"/>
        </w:rPr>
        <w:t>将涉案专利以独占许可的方式授权</w:t>
      </w:r>
      <w:r>
        <w:rPr>
          <w:rFonts w:hint="eastAsia"/>
          <w:sz w:val="32"/>
          <w:szCs w:val="32"/>
          <w:lang w:eastAsia="zh-CN"/>
        </w:rPr>
        <w:t>剑某公司</w:t>
      </w:r>
      <w:r>
        <w:rPr>
          <w:rFonts w:hint="eastAsia"/>
          <w:sz w:val="32"/>
          <w:szCs w:val="32"/>
        </w:rPr>
        <w:t>在中国境内使用，许可期限为2018年10月1日至该专利有效期届满之日止。</w:t>
      </w:r>
    </w:p>
    <w:p>
      <w:pPr>
        <w:keepNext w:val="0"/>
        <w:keepLines w:val="0"/>
        <w:pageBreakBefore w:val="0"/>
        <w:widowControl w:val="0"/>
        <w:kinsoku/>
        <w:overflowPunct/>
        <w:topLinePunct w:val="0"/>
        <w:autoSpaceDE/>
        <w:autoSpaceDN/>
        <w:bidi w:val="0"/>
        <w:adjustRightInd/>
        <w:snapToGrid/>
        <w:spacing w:line="580" w:lineRule="exact"/>
        <w:ind w:firstLine="620" w:firstLineChars="200"/>
        <w:textAlignment w:val="auto"/>
        <w:rPr>
          <w:rFonts w:hint="eastAsia"/>
          <w:sz w:val="32"/>
          <w:szCs w:val="32"/>
        </w:rPr>
      </w:pPr>
      <w:r>
        <w:rPr>
          <w:rFonts w:hint="eastAsia"/>
          <w:sz w:val="32"/>
          <w:szCs w:val="32"/>
        </w:rPr>
        <w:t>2019年11月28日，在浙江省义乌市公证处公证人员的见证下，</w:t>
      </w:r>
      <w:r>
        <w:rPr>
          <w:rFonts w:hint="eastAsia"/>
          <w:sz w:val="32"/>
          <w:szCs w:val="32"/>
          <w:lang w:eastAsia="zh-CN"/>
        </w:rPr>
        <w:t>剑某公司</w:t>
      </w:r>
      <w:r>
        <w:rPr>
          <w:rFonts w:hint="eastAsia"/>
          <w:sz w:val="32"/>
          <w:szCs w:val="32"/>
        </w:rPr>
        <w:t>的委托代理人在该公证处的电脑上登录www.1688.com 网站，查看“蚂蚁0579”账号下已购买的订单页面以及订单号为572210596705314595的订单详情、货品快照、最新销售信息。上述订单详情页面显示，货名为“俯卧撑支架男健身器材家用练胸肌臂肌背阔肌工字型多功能俯卧撑板”，其中款式分别为“肌肉款俯卧撑板”和“光面款折叠俯卧撑板”，对应单价分别为37元/台和40元/台，数量均为2，已付款162元（含运费8元），供应商为“</w:t>
      </w:r>
      <w:r>
        <w:rPr>
          <w:rFonts w:hint="eastAsia"/>
          <w:sz w:val="32"/>
          <w:szCs w:val="32"/>
          <w:lang w:eastAsia="zh-CN"/>
        </w:rPr>
        <w:t>义乌市重某贸易有限公司</w:t>
      </w:r>
      <w:r>
        <w:rPr>
          <w:rFonts w:hint="eastAsia"/>
          <w:sz w:val="32"/>
          <w:szCs w:val="32"/>
        </w:rPr>
        <w:t>”，收货地址为“浙江省金华市义乌市</w:t>
      </w:r>
      <w:r>
        <w:rPr>
          <w:rFonts w:hint="eastAsia"/>
          <w:sz w:val="32"/>
          <w:szCs w:val="32"/>
          <w:lang w:val="en-US" w:eastAsia="zh-CN"/>
        </w:rPr>
        <w:t>xxxx</w:t>
      </w:r>
      <w:r>
        <w:rPr>
          <w:rFonts w:hint="eastAsia"/>
          <w:sz w:val="32"/>
          <w:szCs w:val="32"/>
        </w:rPr>
        <w:t>”，收货人为“</w:t>
      </w:r>
      <w:r>
        <w:rPr>
          <w:rFonts w:hint="eastAsia"/>
          <w:sz w:val="32"/>
          <w:szCs w:val="32"/>
          <w:lang w:eastAsia="zh-CN"/>
        </w:rPr>
        <w:t>吴某</w:t>
      </w:r>
      <w:r>
        <w:rPr>
          <w:rFonts w:hint="eastAsia"/>
          <w:sz w:val="32"/>
          <w:szCs w:val="32"/>
        </w:rPr>
        <w:t>”。该产品页面展示了产品图片，显示价格为37-65元/台，30天内3419台成交，453条评价以及37-65元/台，已售26470台等信息。该网店还显示</w:t>
      </w:r>
      <w:r>
        <w:rPr>
          <w:rFonts w:hint="eastAsia"/>
          <w:sz w:val="32"/>
          <w:szCs w:val="32"/>
          <w:lang w:eastAsia="zh-CN"/>
        </w:rPr>
        <w:t>重某公司</w:t>
      </w:r>
      <w:r>
        <w:rPr>
          <w:rFonts w:hint="eastAsia"/>
          <w:sz w:val="32"/>
          <w:szCs w:val="32"/>
        </w:rPr>
        <w:t>的经营模式为生产加工。</w:t>
      </w:r>
    </w:p>
    <w:p>
      <w:pPr>
        <w:keepNext w:val="0"/>
        <w:keepLines w:val="0"/>
        <w:pageBreakBefore w:val="0"/>
        <w:widowControl w:val="0"/>
        <w:kinsoku/>
        <w:overflowPunct/>
        <w:topLinePunct w:val="0"/>
        <w:autoSpaceDE/>
        <w:autoSpaceDN/>
        <w:bidi w:val="0"/>
        <w:adjustRightInd/>
        <w:snapToGrid/>
        <w:spacing w:line="580" w:lineRule="exact"/>
        <w:ind w:firstLine="620" w:firstLineChars="200"/>
        <w:textAlignment w:val="auto"/>
        <w:rPr>
          <w:rFonts w:hint="eastAsia"/>
          <w:sz w:val="32"/>
          <w:szCs w:val="32"/>
        </w:rPr>
      </w:pPr>
      <w:r>
        <w:rPr>
          <w:rFonts w:hint="eastAsia"/>
          <w:sz w:val="32"/>
          <w:szCs w:val="32"/>
        </w:rPr>
        <w:t>2019年11月28日，</w:t>
      </w:r>
      <w:r>
        <w:rPr>
          <w:rFonts w:hint="eastAsia"/>
          <w:sz w:val="32"/>
          <w:szCs w:val="32"/>
          <w:lang w:eastAsia="zh-CN"/>
        </w:rPr>
        <w:t>吴某</w:t>
      </w:r>
      <w:r>
        <w:rPr>
          <w:rFonts w:hint="eastAsia"/>
          <w:sz w:val="32"/>
          <w:szCs w:val="32"/>
        </w:rPr>
        <w:t>在义乌市公证处收到一件快递货物。该货物运输单据显示为：圆通速递，运单编号：YT4242817110937。当日，程</w:t>
      </w:r>
      <w:r>
        <w:rPr>
          <w:rFonts w:hint="eastAsia"/>
          <w:sz w:val="32"/>
          <w:szCs w:val="32"/>
          <w:lang w:eastAsia="zh-CN"/>
        </w:rPr>
        <w:t>某</w:t>
      </w:r>
      <w:r>
        <w:rPr>
          <w:rFonts w:hint="eastAsia"/>
          <w:sz w:val="32"/>
          <w:szCs w:val="32"/>
        </w:rPr>
        <w:t>对该货物进行拆包，并从中抽取两个“俯卧撑板”作为封存物交由公证员进行封存。公证人员对运输单据、收到的货物、货物拆开后的现状、封存物、封存物现状分别进行了拍照，并对上述货物的签收保管、拆包过程进行了记录。该货物快递运单与上述网购的产品物流信息网页显示的运单号码和物流公司均一致。该公证处对上述过程出具了（2019）浙义证民内字第14379号公证书。</w:t>
      </w:r>
    </w:p>
    <w:p>
      <w:pPr>
        <w:keepNext w:val="0"/>
        <w:keepLines w:val="0"/>
        <w:pageBreakBefore w:val="0"/>
        <w:widowControl w:val="0"/>
        <w:kinsoku/>
        <w:overflowPunct/>
        <w:topLinePunct w:val="0"/>
        <w:autoSpaceDE/>
        <w:autoSpaceDN/>
        <w:bidi w:val="0"/>
        <w:adjustRightInd/>
        <w:snapToGrid/>
        <w:spacing w:line="580" w:lineRule="exact"/>
        <w:ind w:firstLine="620" w:firstLineChars="200"/>
        <w:textAlignment w:val="auto"/>
        <w:rPr>
          <w:rFonts w:hint="eastAsia"/>
          <w:sz w:val="32"/>
          <w:szCs w:val="32"/>
        </w:rPr>
      </w:pPr>
      <w:r>
        <w:rPr>
          <w:rFonts w:hint="eastAsia"/>
          <w:sz w:val="32"/>
          <w:szCs w:val="32"/>
        </w:rPr>
        <w:t>一审当庭拆封上述公证封存物，内有俯卧撑板两款，分别为“肌肉款俯卧撑板”和“光面款折叠俯卧撑板”，</w:t>
      </w:r>
      <w:r>
        <w:rPr>
          <w:rFonts w:hint="eastAsia"/>
          <w:sz w:val="32"/>
          <w:szCs w:val="32"/>
          <w:lang w:eastAsia="zh-CN"/>
        </w:rPr>
        <w:t>剑某公司</w:t>
      </w:r>
      <w:r>
        <w:rPr>
          <w:rFonts w:hint="eastAsia"/>
          <w:sz w:val="32"/>
          <w:szCs w:val="32"/>
        </w:rPr>
        <w:t>主张两款产品均侵害涉案专利权。</w:t>
      </w:r>
      <w:r>
        <w:rPr>
          <w:rFonts w:hint="eastAsia"/>
          <w:sz w:val="32"/>
          <w:szCs w:val="32"/>
          <w:lang w:eastAsia="zh-CN"/>
        </w:rPr>
        <w:t>重某公司</w:t>
      </w:r>
      <w:r>
        <w:rPr>
          <w:rFonts w:hint="eastAsia"/>
          <w:sz w:val="32"/>
          <w:szCs w:val="32"/>
        </w:rPr>
        <w:t>确认被诉侵权产品系其销售。经一审庭审比对，</w:t>
      </w:r>
      <w:r>
        <w:rPr>
          <w:rFonts w:hint="eastAsia"/>
          <w:sz w:val="32"/>
          <w:szCs w:val="32"/>
          <w:lang w:eastAsia="zh-CN"/>
        </w:rPr>
        <w:t>剑某公司</w:t>
      </w:r>
      <w:r>
        <w:rPr>
          <w:rFonts w:hint="eastAsia"/>
          <w:sz w:val="32"/>
          <w:szCs w:val="32"/>
        </w:rPr>
        <w:t>意见如下：1.“肌肉款俯卧撑板”被诉侵权设计与授权外观设计构成近似，区别点在于涉案专利长边一侧有两个凹角，而被诉侵权产品无此凹角，以及被诉侵权产品左右两侧孔洞数量相比涉案专利均多一个孔洞；2.“光面款折叠俯卧撑板”被诉侵权设计与授权外观设计亦构成近似，区别点在于孔洞的排列存在细微的差异，且该款被诉侵权产品长边一侧没有凹角，长板中间呈对称折叠设计，而涉案专利无上述相应设计。</w:t>
      </w:r>
      <w:r>
        <w:rPr>
          <w:rFonts w:hint="eastAsia"/>
          <w:sz w:val="32"/>
          <w:szCs w:val="32"/>
          <w:lang w:eastAsia="zh-CN"/>
        </w:rPr>
        <w:t>重某公司</w:t>
      </w:r>
      <w:r>
        <w:rPr>
          <w:rFonts w:hint="eastAsia"/>
          <w:sz w:val="32"/>
          <w:szCs w:val="32"/>
        </w:rPr>
        <w:t>意见如下：1.“肌肉款俯卧撑板”被诉侵权设计与授权外观设计相比较，构成不同设计。从主视图看，授权外观设计主体部分可分为一个平板和两个握把，其中平板上的孔洞可供握把随意插入使用，而与被诉侵权设计外形相比存在差异。从立体图及俯视图看，授权外观设计下部长边一侧有两个凹角，而被诉侵权设计下部平整，不存在凹角设计，且握把的位置不同。另外，被诉侵权设计平板上部为弧线设计，与授权外观设计也存在差异。2.“光面款折叠俯卧撑板”被诉侵权设计与授权外观设计相比较，亦构成不同设计。该款被诉侵权设计已被授予外观设计专利权，且国家知识产权局就该专利出具了外观设计专利权评价报告，报告中也引证了</w:t>
      </w:r>
      <w:r>
        <w:rPr>
          <w:rFonts w:hint="eastAsia"/>
          <w:sz w:val="32"/>
          <w:szCs w:val="32"/>
          <w:lang w:eastAsia="zh-CN"/>
        </w:rPr>
        <w:t>剑某公司</w:t>
      </w:r>
      <w:r>
        <w:rPr>
          <w:rFonts w:hint="eastAsia"/>
          <w:sz w:val="32"/>
          <w:szCs w:val="32"/>
        </w:rPr>
        <w:t>的涉案专利进行比对，结论为在设计上存在明显区别。一审庭审中，</w:t>
      </w:r>
      <w:r>
        <w:rPr>
          <w:rFonts w:hint="eastAsia"/>
          <w:sz w:val="32"/>
          <w:szCs w:val="32"/>
          <w:lang w:eastAsia="zh-CN"/>
        </w:rPr>
        <w:t>剑某公司</w:t>
      </w:r>
      <w:r>
        <w:rPr>
          <w:rFonts w:hint="eastAsia"/>
          <w:sz w:val="32"/>
          <w:szCs w:val="32"/>
        </w:rPr>
        <w:t>确认被诉侵权产品链接已经删除。</w:t>
      </w:r>
    </w:p>
    <w:p>
      <w:pPr>
        <w:keepNext w:val="0"/>
        <w:keepLines w:val="0"/>
        <w:pageBreakBefore w:val="0"/>
        <w:widowControl w:val="0"/>
        <w:kinsoku/>
        <w:overflowPunct/>
        <w:topLinePunct w:val="0"/>
        <w:autoSpaceDE/>
        <w:autoSpaceDN/>
        <w:bidi w:val="0"/>
        <w:adjustRightInd/>
        <w:snapToGrid/>
        <w:spacing w:line="580" w:lineRule="exact"/>
        <w:ind w:firstLine="620" w:firstLineChars="200"/>
        <w:textAlignment w:val="auto"/>
        <w:rPr>
          <w:rFonts w:hint="eastAsia"/>
          <w:sz w:val="32"/>
          <w:szCs w:val="32"/>
        </w:rPr>
      </w:pPr>
      <w:r>
        <w:rPr>
          <w:rFonts w:hint="eastAsia"/>
          <w:sz w:val="32"/>
          <w:szCs w:val="32"/>
        </w:rPr>
        <w:t>一审另查明：1.</w:t>
      </w:r>
      <w:r>
        <w:rPr>
          <w:rFonts w:hint="eastAsia"/>
          <w:sz w:val="32"/>
          <w:szCs w:val="32"/>
          <w:lang w:eastAsia="zh-CN"/>
        </w:rPr>
        <w:t>夏某</w:t>
      </w:r>
      <w:r>
        <w:rPr>
          <w:rFonts w:hint="eastAsia"/>
          <w:sz w:val="32"/>
          <w:szCs w:val="32"/>
        </w:rPr>
        <w:t>系名称为“多功能俯卧撑板”，专利号为</w:t>
      </w:r>
      <w:r>
        <w:rPr>
          <w:rFonts w:hint="eastAsia"/>
          <w:sz w:val="32"/>
          <w:szCs w:val="32"/>
          <w:lang w:eastAsia="zh-CN"/>
        </w:rPr>
        <w:t>ZL2019xxxx5169.0</w:t>
      </w:r>
      <w:r>
        <w:rPr>
          <w:rFonts w:hint="eastAsia"/>
          <w:sz w:val="32"/>
          <w:szCs w:val="32"/>
        </w:rPr>
        <w:t>的外观设计专利权人。该专利申请日为2019年7月10日，授权公告日为同年12月27日。2020年2月11日，国家知识产权局就上述专利出具外观设计专利权评价报告，初步结论为全部外观设计未发现存在不符合授予专利权条件的缺陷，认定该专利与包括涉案专利在内的现有设计在产品设计上存在明显区别。2.</w:t>
      </w:r>
      <w:r>
        <w:rPr>
          <w:rFonts w:hint="eastAsia"/>
          <w:sz w:val="32"/>
          <w:szCs w:val="32"/>
          <w:lang w:eastAsia="zh-CN"/>
        </w:rPr>
        <w:t>重某公司</w:t>
      </w:r>
      <w:r>
        <w:rPr>
          <w:rFonts w:hint="eastAsia"/>
          <w:sz w:val="32"/>
          <w:szCs w:val="32"/>
        </w:rPr>
        <w:t>成立于2011年9月5日，工商登记类型为有限责任公司（自然人投资或控股），注册资本100万元，经营范围包括健身器材、服装、化妆品（不含危险化学品）等批发。3.</w:t>
      </w:r>
      <w:r>
        <w:rPr>
          <w:rFonts w:hint="eastAsia"/>
          <w:sz w:val="32"/>
          <w:szCs w:val="32"/>
          <w:lang w:eastAsia="zh-CN"/>
        </w:rPr>
        <w:t>剑某公司</w:t>
      </w:r>
      <w:r>
        <w:rPr>
          <w:rFonts w:hint="eastAsia"/>
          <w:sz w:val="32"/>
          <w:szCs w:val="32"/>
        </w:rPr>
        <w:t>为本案购买被诉侵权产品，并委托公证、聘请律师，支出了一定的人力和财力。</w:t>
      </w:r>
    </w:p>
    <w:p>
      <w:pPr>
        <w:keepNext w:val="0"/>
        <w:keepLines w:val="0"/>
        <w:pageBreakBefore w:val="0"/>
        <w:widowControl w:val="0"/>
        <w:kinsoku/>
        <w:overflowPunct/>
        <w:topLinePunct w:val="0"/>
        <w:autoSpaceDE/>
        <w:autoSpaceDN/>
        <w:bidi w:val="0"/>
        <w:adjustRightInd/>
        <w:snapToGrid/>
        <w:spacing w:line="580" w:lineRule="exact"/>
        <w:ind w:firstLine="620" w:firstLineChars="200"/>
        <w:textAlignment w:val="auto"/>
        <w:rPr>
          <w:rFonts w:hint="eastAsia"/>
          <w:sz w:val="32"/>
          <w:szCs w:val="32"/>
        </w:rPr>
      </w:pPr>
      <w:r>
        <w:rPr>
          <w:rFonts w:hint="eastAsia"/>
          <w:sz w:val="32"/>
          <w:szCs w:val="32"/>
        </w:rPr>
        <w:t>一审法院认为，涉案专利权在有效期限内，法律状态稳定，其权利人已履行了缴纳专利年费的义务，故该专利为有效专利，应受国家法律保护。</w:t>
      </w:r>
      <w:r>
        <w:rPr>
          <w:rFonts w:hint="eastAsia"/>
          <w:sz w:val="32"/>
          <w:szCs w:val="32"/>
          <w:lang w:eastAsia="zh-CN"/>
        </w:rPr>
        <w:t>剑某公司</w:t>
      </w:r>
      <w:r>
        <w:rPr>
          <w:rFonts w:hint="eastAsia"/>
          <w:sz w:val="32"/>
          <w:szCs w:val="32"/>
        </w:rPr>
        <w:t>作为涉案专利权独占被许可人，有权就侵害涉案专利权的行为提起诉讼。本案的争议焦点在于：一是被诉侵权设计是否落入涉案专利权的保护范围；二是若侵权成立，</w:t>
      </w:r>
      <w:r>
        <w:rPr>
          <w:rFonts w:hint="eastAsia"/>
          <w:sz w:val="32"/>
          <w:szCs w:val="32"/>
          <w:lang w:eastAsia="zh-CN"/>
        </w:rPr>
        <w:t>重某公司</w:t>
      </w:r>
      <w:r>
        <w:rPr>
          <w:rFonts w:hint="eastAsia"/>
          <w:sz w:val="32"/>
          <w:szCs w:val="32"/>
        </w:rPr>
        <w:t>应承担的法律责任。</w:t>
      </w:r>
    </w:p>
    <w:p>
      <w:pPr>
        <w:keepNext w:val="0"/>
        <w:keepLines w:val="0"/>
        <w:pageBreakBefore w:val="0"/>
        <w:widowControl w:val="0"/>
        <w:kinsoku/>
        <w:overflowPunct/>
        <w:topLinePunct w:val="0"/>
        <w:autoSpaceDE/>
        <w:autoSpaceDN/>
        <w:bidi w:val="0"/>
        <w:adjustRightInd/>
        <w:snapToGrid/>
        <w:spacing w:line="580" w:lineRule="exact"/>
        <w:ind w:firstLine="620" w:firstLineChars="200"/>
        <w:textAlignment w:val="auto"/>
        <w:rPr>
          <w:rFonts w:hint="eastAsia"/>
          <w:sz w:val="32"/>
          <w:szCs w:val="32"/>
        </w:rPr>
      </w:pPr>
      <w:r>
        <w:rPr>
          <w:rFonts w:hint="eastAsia"/>
          <w:sz w:val="32"/>
          <w:szCs w:val="32"/>
        </w:rPr>
        <w:t>关于争议焦点一。《中华人民共和国专利法》（2008年修正，下同）第五十九条第二款规定：“外观设计专利权的保护范围以表示在图片或者照片中的该产品的外观设计为准，简要说明可以用于解释图片或者照片所表示的该产品的外观设计。”《最高人民法院关于审理侵犯专利权纠纷案件应用法律若干问题的解释》第八条规定：“在与外观设计专利产品相同或者相近种类产品上，采用与授权外观设计相同或者近似的外观设计的，人民法院应当认定被诉侵权设计落入专利法第五十九条第二款规定的外观设计专利权的保护范围。”第十一条规定：“人民法院认定外观设计是否相同或者近似时，应当根据授权外观设计、被诉侵权设计的设计特征，以外观设计的整体视觉效果进行综合判断；对于主要由技术功能决定的设计特征以及对整体视觉效果不产生影响的产品的材料、内部结构等特征，应当不予考虑。下列情形，通常对外观设计的整体视觉效果更具有影响：（一）产品正常使用时容易被直接观察到的部位相对于其他部位；（二）授权外观设计区别于现有设计的设计特征相对于授权外观设计的其他设计特征。被诉侵权设计与授权外观设计在整体视觉效果上无差异的，人民法院应当认定两者相同；在整体视觉效果上无实质性差异的，应当认定两者近似。”本案中，二款被诉侵权产品与涉案专利产品均为俯卧撑板，属于相同种类的产品。将二款被诉侵权设计与授权外观设计进行比对，区别点主要在于：1.二款被诉侵权设计平板下部均为平整设计，而授权外观设计下部长边两侧采用凹角设计；2.“肌肉款俯卧撑板”被诉侵权设计平板上部为弧线设计，而授权外观设计为直线设计；3.“肌肉款俯卧撑板”被诉侵权设计面板左右两侧呈对称性分布若干孔洞，孔洞数量较涉案专利多出2个；4.“光面款折叠俯卧撑板”被诉侵权产品面板上的孔洞的排列存在细微差异，长板中间呈对称折叠设计，而涉案专利无上述相应设计。该院认为，涉案“俯卧撑板”主体部分为一个长平板和两个把手的组合，其中平板上对称分布着若干孔洞，用以供把手插入使用。涉案外观设计专利的设计要点在于整体形状。对一般消费者而言，产品的整体造型，系正常使用时更易对整体视觉效果产生影响的部分，二者上述部分的设计特征基本相同。至于上述二者的主要区别所涉及的平板上、下部不同设计以及孔洞数量的差异，在整体设计中所占比例不大，而平板中间呈对称折叠设计更多的系基于功能性设计的考虑，在正常使用时，对整体视觉效果产生的影响并不显著，以该产品的一般消费者的判断而言，上述变化不足以导致整体视觉效果产生实质性差异。根据“整体观察，综合判断”原则，两者应属于相近似的外观设计，两款被诉侵权设计均落入涉案专利权的保护范围。</w:t>
      </w:r>
    </w:p>
    <w:p>
      <w:pPr>
        <w:keepNext w:val="0"/>
        <w:keepLines w:val="0"/>
        <w:pageBreakBefore w:val="0"/>
        <w:widowControl w:val="0"/>
        <w:kinsoku/>
        <w:overflowPunct/>
        <w:topLinePunct w:val="0"/>
        <w:autoSpaceDE/>
        <w:autoSpaceDN/>
        <w:bidi w:val="0"/>
        <w:adjustRightInd/>
        <w:snapToGrid/>
        <w:spacing w:line="580" w:lineRule="exact"/>
        <w:ind w:firstLine="620" w:firstLineChars="200"/>
        <w:textAlignment w:val="auto"/>
        <w:rPr>
          <w:rFonts w:hint="eastAsia"/>
          <w:sz w:val="32"/>
          <w:szCs w:val="32"/>
        </w:rPr>
      </w:pPr>
      <w:r>
        <w:rPr>
          <w:rFonts w:hint="eastAsia"/>
          <w:sz w:val="32"/>
          <w:szCs w:val="32"/>
        </w:rPr>
        <w:t>关于争议焦点二。《中华人民共和国专利法》第十一条第二款规定：“外观设计专利权被授予后，任何单位或者个人未经专利权人许可，都不得实施其专利，即不得为生产经营目的制造、许诺销售、销售、进口其外观设计专利产品。”本案中，对于销售涉案侵权产品，</w:t>
      </w:r>
      <w:r>
        <w:rPr>
          <w:rFonts w:hint="eastAsia"/>
          <w:sz w:val="32"/>
          <w:szCs w:val="32"/>
          <w:lang w:eastAsia="zh-CN"/>
        </w:rPr>
        <w:t>重某公司</w:t>
      </w:r>
      <w:r>
        <w:rPr>
          <w:rFonts w:hint="eastAsia"/>
          <w:sz w:val="32"/>
          <w:szCs w:val="32"/>
        </w:rPr>
        <w:t>并无异议。</w:t>
      </w:r>
      <w:r>
        <w:rPr>
          <w:rFonts w:hint="eastAsia"/>
          <w:sz w:val="32"/>
          <w:szCs w:val="32"/>
          <w:lang w:eastAsia="zh-CN"/>
        </w:rPr>
        <w:t>重某公司</w:t>
      </w:r>
      <w:r>
        <w:rPr>
          <w:rFonts w:hint="eastAsia"/>
          <w:sz w:val="32"/>
          <w:szCs w:val="32"/>
        </w:rPr>
        <w:t>未经许可，以生产经营为目的销售涉案侵权产品，侵害了涉案外观设计专利权，构成了销售侵权，应承担停止侵权、赔偿损失的责任。关于赔偿金额，《中华人民共和国专利法》第六十五条规定：“侵犯专利权的赔偿数额按照权利人因被侵权所受到的实际损失确定；实际损失难以确定的，可以按照侵权人因侵权所获得的利益确定。权利人的损失或者侵权人获得的利益难以确定的，参照该专利许可使用费的倍数合理确定。赔偿数额还应当包括权利人为制止侵权行为所支付的合理开支。权利人的损失、侵权人获得的利益和专利许可使用费均难以确定的，人民法院可以根据专利权的类型、侵权行为的性质和情节等因素，确定给予一万元以上一百万元以下的赔偿。”本案中，因</w:t>
      </w:r>
      <w:r>
        <w:rPr>
          <w:rFonts w:hint="eastAsia"/>
          <w:sz w:val="32"/>
          <w:szCs w:val="32"/>
          <w:lang w:eastAsia="zh-CN"/>
        </w:rPr>
        <w:t>剑某公司</w:t>
      </w:r>
      <w:r>
        <w:rPr>
          <w:rFonts w:hint="eastAsia"/>
          <w:sz w:val="32"/>
          <w:szCs w:val="32"/>
        </w:rPr>
        <w:t>未举证证明其因被侵权所受损失及</w:t>
      </w:r>
      <w:r>
        <w:rPr>
          <w:rFonts w:hint="eastAsia"/>
          <w:sz w:val="32"/>
          <w:szCs w:val="32"/>
          <w:lang w:eastAsia="zh-CN"/>
        </w:rPr>
        <w:t>重某公司</w:t>
      </w:r>
      <w:r>
        <w:rPr>
          <w:rFonts w:hint="eastAsia"/>
          <w:sz w:val="32"/>
          <w:szCs w:val="32"/>
        </w:rPr>
        <w:t>因侵权所获得的利益，且明确要求适用法定赔偿，因此，该院综合考虑涉案专利的类型、授权时间，侵权行为的性质、情节，侵权产品的销售规模、范围等因素，按照法定赔偿的方式，酌情确定赔偿数额。该院注意到如下具体事实：1.涉案专利为外观设计专利，申请日为2017年8月18日，授权公告日为2018年3月27日；2.涉案网店显示侵权产品价格为37-65元/台，30天内3419台成交，453条评价以及37-65元/台，已售26470台等信息以及</w:t>
      </w:r>
      <w:r>
        <w:rPr>
          <w:rFonts w:hint="eastAsia"/>
          <w:sz w:val="32"/>
          <w:szCs w:val="32"/>
          <w:lang w:eastAsia="zh-CN"/>
        </w:rPr>
        <w:t>重某公司</w:t>
      </w:r>
      <w:r>
        <w:rPr>
          <w:rFonts w:hint="eastAsia"/>
          <w:sz w:val="32"/>
          <w:szCs w:val="32"/>
        </w:rPr>
        <w:t>的经营模式为生产加工；3.</w:t>
      </w:r>
      <w:r>
        <w:rPr>
          <w:rFonts w:hint="eastAsia"/>
          <w:sz w:val="32"/>
          <w:szCs w:val="32"/>
          <w:lang w:eastAsia="zh-CN"/>
        </w:rPr>
        <w:t>剑某公司</w:t>
      </w:r>
      <w:r>
        <w:rPr>
          <w:rFonts w:hint="eastAsia"/>
          <w:sz w:val="32"/>
          <w:szCs w:val="32"/>
        </w:rPr>
        <w:t>为包括本案在内的多起案件维权购买侵权产品，并支出了一定的律师代理费、公证费用。</w:t>
      </w:r>
    </w:p>
    <w:p>
      <w:pPr>
        <w:keepNext w:val="0"/>
        <w:keepLines w:val="0"/>
        <w:pageBreakBefore w:val="0"/>
        <w:widowControl w:val="0"/>
        <w:kinsoku/>
        <w:overflowPunct/>
        <w:topLinePunct w:val="0"/>
        <w:autoSpaceDE/>
        <w:autoSpaceDN/>
        <w:bidi w:val="0"/>
        <w:adjustRightInd/>
        <w:snapToGrid/>
        <w:spacing w:line="580" w:lineRule="exact"/>
        <w:ind w:firstLine="620" w:firstLineChars="200"/>
        <w:textAlignment w:val="auto"/>
        <w:rPr>
          <w:rFonts w:hint="eastAsia"/>
          <w:sz w:val="32"/>
          <w:szCs w:val="32"/>
        </w:rPr>
      </w:pPr>
      <w:r>
        <w:rPr>
          <w:rFonts w:hint="eastAsia"/>
          <w:sz w:val="32"/>
          <w:szCs w:val="32"/>
        </w:rPr>
        <w:t>据此，一审法院依照《中华人民共和国专利法》第十一条第二款、第五十九条第二款、第六十五条，《最高人民法院关于审理侵犯专利权纠纷案件应用法律若干问题的解释》第八条、第十条、第十一条，《中华人民共和国民事诉讼法》第六十四条之规定，于2021年5月19日判决：1.</w:t>
      </w:r>
      <w:r>
        <w:rPr>
          <w:rFonts w:hint="eastAsia"/>
          <w:sz w:val="32"/>
          <w:szCs w:val="32"/>
          <w:lang w:eastAsia="zh-CN"/>
        </w:rPr>
        <w:t>重某公司</w:t>
      </w:r>
      <w:r>
        <w:rPr>
          <w:rFonts w:hint="eastAsia"/>
          <w:sz w:val="32"/>
          <w:szCs w:val="32"/>
        </w:rPr>
        <w:t>立即停止销售落入专利号为</w:t>
      </w:r>
      <w:r>
        <w:rPr>
          <w:rFonts w:hint="eastAsia"/>
          <w:sz w:val="32"/>
          <w:szCs w:val="32"/>
          <w:lang w:eastAsia="zh-CN"/>
        </w:rPr>
        <w:t>ZL2017xxxx1695.7</w:t>
      </w:r>
      <w:r>
        <w:rPr>
          <w:rFonts w:hint="eastAsia"/>
          <w:sz w:val="32"/>
          <w:szCs w:val="32"/>
        </w:rPr>
        <w:t>的“俯卧撑板（多功能）”外观设计专利权保护范围的产品；2.</w:t>
      </w:r>
      <w:r>
        <w:rPr>
          <w:rFonts w:hint="eastAsia"/>
          <w:sz w:val="32"/>
          <w:szCs w:val="32"/>
          <w:lang w:eastAsia="zh-CN"/>
        </w:rPr>
        <w:t>重某公司</w:t>
      </w:r>
      <w:r>
        <w:rPr>
          <w:rFonts w:hint="eastAsia"/>
          <w:sz w:val="32"/>
          <w:szCs w:val="32"/>
        </w:rPr>
        <w:t>于判决生效之日起十日内赔偿</w:t>
      </w:r>
      <w:r>
        <w:rPr>
          <w:rFonts w:hint="eastAsia"/>
          <w:sz w:val="32"/>
          <w:szCs w:val="32"/>
          <w:lang w:eastAsia="zh-CN"/>
        </w:rPr>
        <w:t>剑某公司</w:t>
      </w:r>
      <w:r>
        <w:rPr>
          <w:rFonts w:hint="eastAsia"/>
          <w:sz w:val="32"/>
          <w:szCs w:val="32"/>
        </w:rPr>
        <w:t>经济损失及为制止侵权支出的合理费用共计15万元；3.驳回</w:t>
      </w:r>
      <w:r>
        <w:rPr>
          <w:rFonts w:hint="eastAsia"/>
          <w:sz w:val="32"/>
          <w:szCs w:val="32"/>
          <w:lang w:eastAsia="zh-CN"/>
        </w:rPr>
        <w:t>剑某公司</w:t>
      </w:r>
      <w:r>
        <w:rPr>
          <w:rFonts w:hint="eastAsia"/>
          <w:sz w:val="32"/>
          <w:szCs w:val="32"/>
        </w:rPr>
        <w:t>的其他诉讼请求。如果未按判决指定的期间履行给付金钱义务，应当依照《中华人民共和国民事诉讼法》第二百五十三条之规定，加倍支付迟延履行期间的债务利息。一审案件受理费8800元，由</w:t>
      </w:r>
      <w:r>
        <w:rPr>
          <w:rFonts w:hint="eastAsia"/>
          <w:sz w:val="32"/>
          <w:szCs w:val="32"/>
          <w:lang w:eastAsia="zh-CN"/>
        </w:rPr>
        <w:t>剑某公司</w:t>
      </w:r>
      <w:r>
        <w:rPr>
          <w:rFonts w:hint="eastAsia"/>
          <w:sz w:val="32"/>
          <w:szCs w:val="32"/>
        </w:rPr>
        <w:t>负担3080元，</w:t>
      </w:r>
      <w:r>
        <w:rPr>
          <w:rFonts w:hint="eastAsia"/>
          <w:sz w:val="32"/>
          <w:szCs w:val="32"/>
          <w:lang w:eastAsia="zh-CN"/>
        </w:rPr>
        <w:t>重某公司</w:t>
      </w:r>
      <w:r>
        <w:rPr>
          <w:rFonts w:hint="eastAsia"/>
          <w:sz w:val="32"/>
          <w:szCs w:val="32"/>
        </w:rPr>
        <w:t>负担5720元。</w:t>
      </w:r>
    </w:p>
    <w:p>
      <w:pPr>
        <w:keepNext w:val="0"/>
        <w:keepLines w:val="0"/>
        <w:pageBreakBefore w:val="0"/>
        <w:widowControl w:val="0"/>
        <w:kinsoku/>
        <w:overflowPunct/>
        <w:topLinePunct w:val="0"/>
        <w:autoSpaceDE/>
        <w:autoSpaceDN/>
        <w:bidi w:val="0"/>
        <w:adjustRightInd/>
        <w:snapToGrid/>
        <w:spacing w:line="580" w:lineRule="exact"/>
        <w:ind w:firstLine="620" w:firstLineChars="200"/>
        <w:textAlignment w:val="auto"/>
        <w:rPr>
          <w:rFonts w:hint="eastAsia"/>
          <w:sz w:val="32"/>
          <w:szCs w:val="32"/>
        </w:rPr>
      </w:pPr>
      <w:r>
        <w:rPr>
          <w:rFonts w:hint="eastAsia"/>
          <w:sz w:val="32"/>
          <w:szCs w:val="32"/>
        </w:rPr>
        <w:t>二审中，</w:t>
      </w:r>
      <w:r>
        <w:rPr>
          <w:rFonts w:hint="eastAsia"/>
          <w:sz w:val="32"/>
          <w:szCs w:val="32"/>
          <w:lang w:eastAsia="zh-CN"/>
        </w:rPr>
        <w:t>重某公司</w:t>
      </w:r>
      <w:r>
        <w:rPr>
          <w:rFonts w:hint="eastAsia"/>
          <w:sz w:val="32"/>
          <w:szCs w:val="32"/>
        </w:rPr>
        <w:t xml:space="preserve">向本院提交了以下新证据：1. </w:t>
      </w:r>
      <w:r>
        <w:rPr>
          <w:rFonts w:hint="eastAsia"/>
          <w:sz w:val="32"/>
          <w:szCs w:val="32"/>
          <w:lang w:eastAsia="zh-CN"/>
        </w:rPr>
        <w:t>ZL2017xxxx6391.1</w:t>
      </w:r>
      <w:r>
        <w:rPr>
          <w:rFonts w:hint="eastAsia"/>
          <w:sz w:val="32"/>
          <w:szCs w:val="32"/>
        </w:rPr>
        <w:t>号实用新型专利权证书；2.</w:t>
      </w:r>
      <w:r>
        <w:rPr>
          <w:rFonts w:hint="eastAsia"/>
          <w:sz w:val="32"/>
          <w:szCs w:val="32"/>
          <w:lang w:eastAsia="zh-CN"/>
        </w:rPr>
        <w:t>ZL2016xxxx6938.8</w:t>
      </w:r>
      <w:r>
        <w:rPr>
          <w:rFonts w:hint="eastAsia"/>
          <w:sz w:val="32"/>
          <w:szCs w:val="32"/>
        </w:rPr>
        <w:t>号外观设计专利权证书；3.</w:t>
      </w:r>
      <w:r>
        <w:rPr>
          <w:rFonts w:hint="eastAsia"/>
          <w:sz w:val="32"/>
          <w:szCs w:val="32"/>
          <w:lang w:eastAsia="zh-CN"/>
        </w:rPr>
        <w:t>ZL2012xxxx9258.X</w:t>
      </w:r>
      <w:r>
        <w:rPr>
          <w:rFonts w:hint="eastAsia"/>
          <w:sz w:val="32"/>
          <w:szCs w:val="32"/>
        </w:rPr>
        <w:t>号外观设计专利权证书。上述专利系涉案专利无效宣告请求审查程序中的引证专利，拟证明国家知识产权局认定上述引证专利与涉案专利不构成近似。同时，</w:t>
      </w:r>
      <w:r>
        <w:rPr>
          <w:rFonts w:hint="eastAsia"/>
          <w:sz w:val="32"/>
          <w:szCs w:val="32"/>
          <w:lang w:eastAsia="zh-CN"/>
        </w:rPr>
        <w:t>重某公司</w:t>
      </w:r>
      <w:r>
        <w:rPr>
          <w:rFonts w:hint="eastAsia"/>
          <w:sz w:val="32"/>
          <w:szCs w:val="32"/>
        </w:rPr>
        <w:t>明确以证据1作为本案现有设计抗辩的依据。经质证，</w:t>
      </w:r>
      <w:r>
        <w:rPr>
          <w:rFonts w:hint="eastAsia"/>
          <w:sz w:val="32"/>
          <w:szCs w:val="32"/>
          <w:lang w:eastAsia="zh-CN"/>
        </w:rPr>
        <w:t>剑某公司</w:t>
      </w:r>
      <w:r>
        <w:rPr>
          <w:rFonts w:hint="eastAsia"/>
          <w:sz w:val="32"/>
          <w:szCs w:val="32"/>
        </w:rPr>
        <w:t xml:space="preserve">对上述证据的真实性无异议，但认为被诉侵权设计与现有设计并不相同，而与涉案专利更加近似。本院认证认为，上述证据具备证据三性，予以认定，至于能否实现证明目的，将在说理部分予以阐述。 </w:t>
      </w:r>
    </w:p>
    <w:p>
      <w:pPr>
        <w:keepNext w:val="0"/>
        <w:keepLines w:val="0"/>
        <w:pageBreakBefore w:val="0"/>
        <w:widowControl w:val="0"/>
        <w:kinsoku/>
        <w:overflowPunct/>
        <w:topLinePunct w:val="0"/>
        <w:autoSpaceDE/>
        <w:autoSpaceDN/>
        <w:bidi w:val="0"/>
        <w:adjustRightInd/>
        <w:snapToGrid/>
        <w:spacing w:line="580" w:lineRule="exact"/>
        <w:ind w:firstLine="620" w:firstLineChars="200"/>
        <w:textAlignment w:val="auto"/>
        <w:rPr>
          <w:rFonts w:hint="eastAsia"/>
          <w:sz w:val="32"/>
          <w:szCs w:val="32"/>
        </w:rPr>
      </w:pPr>
      <w:r>
        <w:rPr>
          <w:rFonts w:hint="eastAsia"/>
          <w:sz w:val="32"/>
          <w:szCs w:val="32"/>
        </w:rPr>
        <w:t>本院对一审查明的事实予以确认。另查明，</w:t>
      </w:r>
      <w:r>
        <w:rPr>
          <w:rFonts w:hint="eastAsia"/>
          <w:sz w:val="32"/>
          <w:szCs w:val="32"/>
          <w:lang w:eastAsia="zh-CN"/>
        </w:rPr>
        <w:t>ZL2017xxxx6391.1</w:t>
      </w:r>
      <w:r>
        <w:rPr>
          <w:rFonts w:hint="eastAsia"/>
          <w:sz w:val="32"/>
          <w:szCs w:val="32"/>
        </w:rPr>
        <w:t>号实用新型专利授权公告日为2017年8月11日，专利权证书中附有清晰展示产品外观的图片。</w:t>
      </w:r>
    </w:p>
    <w:p>
      <w:pPr>
        <w:keepNext w:val="0"/>
        <w:keepLines w:val="0"/>
        <w:pageBreakBefore w:val="0"/>
        <w:widowControl w:val="0"/>
        <w:kinsoku/>
        <w:overflowPunct/>
        <w:topLinePunct w:val="0"/>
        <w:autoSpaceDE/>
        <w:autoSpaceDN/>
        <w:bidi w:val="0"/>
        <w:adjustRightInd/>
        <w:snapToGrid/>
        <w:spacing w:line="580" w:lineRule="exact"/>
        <w:ind w:firstLine="620" w:firstLineChars="200"/>
        <w:textAlignment w:val="auto"/>
        <w:rPr>
          <w:rFonts w:hint="eastAsia"/>
          <w:sz w:val="32"/>
          <w:szCs w:val="32"/>
        </w:rPr>
      </w:pPr>
      <w:r>
        <w:rPr>
          <w:rFonts w:hint="eastAsia"/>
          <w:sz w:val="32"/>
          <w:szCs w:val="32"/>
        </w:rPr>
        <w:t>本院认为，根据</w:t>
      </w:r>
      <w:r>
        <w:rPr>
          <w:rFonts w:hint="eastAsia"/>
          <w:sz w:val="32"/>
          <w:szCs w:val="32"/>
          <w:lang w:eastAsia="zh-CN"/>
        </w:rPr>
        <w:t>重某公司</w:t>
      </w:r>
      <w:r>
        <w:rPr>
          <w:rFonts w:hint="eastAsia"/>
          <w:sz w:val="32"/>
          <w:szCs w:val="32"/>
        </w:rPr>
        <w:t>的上诉请求和理由，以及</w:t>
      </w:r>
      <w:r>
        <w:rPr>
          <w:rFonts w:hint="eastAsia"/>
          <w:sz w:val="32"/>
          <w:szCs w:val="32"/>
          <w:lang w:eastAsia="zh-CN"/>
        </w:rPr>
        <w:t>剑某公司</w:t>
      </w:r>
      <w:r>
        <w:rPr>
          <w:rFonts w:hint="eastAsia"/>
          <w:sz w:val="32"/>
          <w:szCs w:val="32"/>
        </w:rPr>
        <w:t>的答辩意见，本案二审的争议焦点在于：</w:t>
      </w:r>
      <w:r>
        <w:rPr>
          <w:rFonts w:hint="eastAsia"/>
          <w:sz w:val="32"/>
          <w:szCs w:val="32"/>
          <w:lang w:eastAsia="zh-CN"/>
        </w:rPr>
        <w:t>重某公司</w:t>
      </w:r>
      <w:r>
        <w:rPr>
          <w:rFonts w:hint="eastAsia"/>
          <w:sz w:val="32"/>
          <w:szCs w:val="32"/>
        </w:rPr>
        <w:t>主张的现有设计抗辩能否成立；被诉侵权设计是否落入涉案外观设计专利权的保护范围。</w:t>
      </w:r>
    </w:p>
    <w:p>
      <w:pPr>
        <w:keepNext w:val="0"/>
        <w:keepLines w:val="0"/>
        <w:pageBreakBefore w:val="0"/>
        <w:widowControl w:val="0"/>
        <w:kinsoku/>
        <w:overflowPunct/>
        <w:topLinePunct w:val="0"/>
        <w:autoSpaceDE/>
        <w:autoSpaceDN/>
        <w:bidi w:val="0"/>
        <w:adjustRightInd/>
        <w:snapToGrid/>
        <w:spacing w:line="580" w:lineRule="exact"/>
        <w:ind w:firstLine="620" w:firstLineChars="200"/>
        <w:textAlignment w:val="auto"/>
        <w:rPr>
          <w:rFonts w:hint="eastAsia"/>
          <w:sz w:val="32"/>
          <w:szCs w:val="32"/>
        </w:rPr>
      </w:pPr>
      <w:r>
        <w:rPr>
          <w:rFonts w:hint="eastAsia"/>
          <w:sz w:val="32"/>
          <w:szCs w:val="32"/>
        </w:rPr>
        <w:t>一、</w:t>
      </w:r>
      <w:r>
        <w:rPr>
          <w:rFonts w:hint="eastAsia"/>
          <w:sz w:val="32"/>
          <w:szCs w:val="32"/>
          <w:lang w:eastAsia="zh-CN"/>
        </w:rPr>
        <w:t>重某公司</w:t>
      </w:r>
      <w:r>
        <w:rPr>
          <w:rFonts w:hint="eastAsia"/>
          <w:sz w:val="32"/>
          <w:szCs w:val="32"/>
        </w:rPr>
        <w:t>主张的现有设计抗辩能否成立</w:t>
      </w:r>
    </w:p>
    <w:p>
      <w:pPr>
        <w:keepNext w:val="0"/>
        <w:keepLines w:val="0"/>
        <w:pageBreakBefore w:val="0"/>
        <w:widowControl w:val="0"/>
        <w:kinsoku/>
        <w:overflowPunct/>
        <w:topLinePunct w:val="0"/>
        <w:autoSpaceDE/>
        <w:autoSpaceDN/>
        <w:bidi w:val="0"/>
        <w:adjustRightInd/>
        <w:snapToGrid/>
        <w:spacing w:line="580" w:lineRule="exact"/>
        <w:ind w:firstLine="620" w:firstLineChars="200"/>
        <w:textAlignment w:val="auto"/>
        <w:rPr>
          <w:rFonts w:hint="eastAsia"/>
          <w:sz w:val="32"/>
          <w:szCs w:val="32"/>
        </w:rPr>
      </w:pPr>
      <w:r>
        <w:rPr>
          <w:rFonts w:hint="eastAsia"/>
          <w:sz w:val="32"/>
          <w:szCs w:val="32"/>
        </w:rPr>
        <w:t>《中华人民共和国专利法》第六十二条规定：“在专利侵权纠纷中，被控侵权人有证据证明其实施的技术或者设计属于现有技术或者现有设计的，不构成侵犯专利权。”《最高人民法院关于审理侵犯专利权纠纷案件应用法律若干问题的解释》第十四条第二款规定：“被诉侵权设计与一个现有设计相同或者无实质性差异的，人民法院应当认定被诉侵权人实施的设计属于专利法第六十二条规定的现有设计。”本案中，</w:t>
      </w:r>
      <w:r>
        <w:rPr>
          <w:rFonts w:hint="eastAsia"/>
          <w:sz w:val="32"/>
          <w:szCs w:val="32"/>
          <w:lang w:eastAsia="zh-CN"/>
        </w:rPr>
        <w:t>重某公司</w:t>
      </w:r>
      <w:r>
        <w:rPr>
          <w:rFonts w:hint="eastAsia"/>
          <w:sz w:val="32"/>
          <w:szCs w:val="32"/>
        </w:rPr>
        <w:t>以专利号为</w:t>
      </w:r>
      <w:r>
        <w:rPr>
          <w:rFonts w:hint="eastAsia"/>
          <w:sz w:val="32"/>
          <w:szCs w:val="32"/>
          <w:lang w:eastAsia="zh-CN"/>
        </w:rPr>
        <w:t>ZL2017xxxx6391.1</w:t>
      </w:r>
      <w:r>
        <w:rPr>
          <w:rFonts w:hint="eastAsia"/>
          <w:sz w:val="32"/>
          <w:szCs w:val="32"/>
        </w:rPr>
        <w:t>、名称为“俯卧撑训练系统”的实用新型专利权证书作为现有设计抗辩的对比文件。该实用新型专利授权公告日为2017年8月11日，早于涉案专利申请日，所附图片可以作为本案现有设计抗辩的比对依据。将被诉侵权设计与现有设计进行比对，虽然两者均由底板和把手组成，底板板面上均设有若干圆孔，但两者底板长宽比例以及底板与把手的大小比例均不同，底板圆孔数量及具体排布上亦存在明显不同，上述区别点已经对两者产品的整体视觉效果产生显著影响，使两者产生实质性差异。综上，</w:t>
      </w:r>
      <w:r>
        <w:rPr>
          <w:rFonts w:hint="eastAsia"/>
          <w:sz w:val="32"/>
          <w:szCs w:val="32"/>
          <w:lang w:eastAsia="zh-CN"/>
        </w:rPr>
        <w:t>重某公司</w:t>
      </w:r>
      <w:r>
        <w:rPr>
          <w:rFonts w:hint="eastAsia"/>
          <w:sz w:val="32"/>
          <w:szCs w:val="32"/>
        </w:rPr>
        <w:t>主张的现有设计抗辩不能成立。</w:t>
      </w:r>
    </w:p>
    <w:p>
      <w:pPr>
        <w:keepNext w:val="0"/>
        <w:keepLines w:val="0"/>
        <w:pageBreakBefore w:val="0"/>
        <w:widowControl w:val="0"/>
        <w:kinsoku/>
        <w:overflowPunct/>
        <w:topLinePunct w:val="0"/>
        <w:autoSpaceDE/>
        <w:autoSpaceDN/>
        <w:bidi w:val="0"/>
        <w:adjustRightInd/>
        <w:snapToGrid/>
        <w:spacing w:line="580" w:lineRule="exact"/>
        <w:ind w:firstLine="620" w:firstLineChars="200"/>
        <w:textAlignment w:val="auto"/>
        <w:rPr>
          <w:rFonts w:hint="eastAsia"/>
          <w:sz w:val="32"/>
          <w:szCs w:val="32"/>
        </w:rPr>
      </w:pPr>
      <w:r>
        <w:rPr>
          <w:rFonts w:hint="eastAsia"/>
          <w:sz w:val="32"/>
          <w:szCs w:val="32"/>
        </w:rPr>
        <w:t>二、被诉侵权设计是否落入涉案专利权的保护范围</w:t>
      </w:r>
    </w:p>
    <w:p>
      <w:pPr>
        <w:keepNext w:val="0"/>
        <w:keepLines w:val="0"/>
        <w:pageBreakBefore w:val="0"/>
        <w:widowControl w:val="0"/>
        <w:kinsoku/>
        <w:overflowPunct/>
        <w:topLinePunct w:val="0"/>
        <w:autoSpaceDE/>
        <w:autoSpaceDN/>
        <w:bidi w:val="0"/>
        <w:adjustRightInd/>
        <w:snapToGrid/>
        <w:spacing w:line="580" w:lineRule="exact"/>
        <w:ind w:firstLine="620" w:firstLineChars="200"/>
        <w:textAlignment w:val="auto"/>
        <w:rPr>
          <w:rFonts w:hint="eastAsia"/>
          <w:sz w:val="32"/>
          <w:szCs w:val="32"/>
        </w:rPr>
      </w:pPr>
      <w:r>
        <w:rPr>
          <w:rFonts w:hint="eastAsia"/>
          <w:sz w:val="32"/>
          <w:szCs w:val="32"/>
        </w:rPr>
        <w:t>《中华人民共和国专利法》第五十九条第二款规定，外观设计专利权的保护范围以表示在图片或者照片中的该产品的外观设计为准，简要说明可以用于解释图片或者照片所表示的该产品的外观设计。《最高人民法院关于审理侵犯专利权纠纷案件应用法律若干问题的解释》第十条、第十一条规定，人民法院应当以外观设计专利产品的一般消费者的知识水平和认知能力，判断外观设计是否相同或者近似。认定外观设计是否相同或者近似时，应当根据授权外观设计、被诉侵权设计的设计特征，以外观设计的整体视觉效果进行综合判断。被诉侵权设计与授权外观设计在整体视觉效果上无差异的，应当认定两者相同；在整体视觉效果上无实质性差异的，应当认定两者近似。</w:t>
      </w:r>
    </w:p>
    <w:p>
      <w:pPr>
        <w:keepNext w:val="0"/>
        <w:keepLines w:val="0"/>
        <w:pageBreakBefore w:val="0"/>
        <w:widowControl w:val="0"/>
        <w:kinsoku/>
        <w:overflowPunct/>
        <w:topLinePunct w:val="0"/>
        <w:autoSpaceDE/>
        <w:autoSpaceDN/>
        <w:bidi w:val="0"/>
        <w:adjustRightInd/>
        <w:snapToGrid/>
        <w:spacing w:line="580" w:lineRule="exact"/>
        <w:ind w:firstLine="620" w:firstLineChars="200"/>
        <w:textAlignment w:val="auto"/>
        <w:rPr>
          <w:rFonts w:hint="eastAsia"/>
          <w:sz w:val="32"/>
          <w:szCs w:val="32"/>
        </w:rPr>
      </w:pPr>
      <w:r>
        <w:rPr>
          <w:rFonts w:hint="eastAsia"/>
          <w:sz w:val="32"/>
          <w:szCs w:val="32"/>
        </w:rPr>
        <w:t>本案中，根据涉案专利的各个视图所示，授权外观设计整体上由一块矩形底板和两个把手组成，底板上沿为直线设计，下沿设有两个类似扇形的凹角缺口，板面上有多个圆孔，两个把手位于底板两侧，但涉案专利的视图和简要说明既未体现组装关系，亦无变化状态图，因此从中无法得出两个把手可与底板拆分并安插在不同圆孔中的结论。将被诉侵权设计与授权外观设计进行比对（见附图），虽然两者的组成部分相同，即均由基础形状为矩形的底板和两个把手组成，把手形状亦基本相同，但是，被诉侵权设计在以下几方面与授权外观设计存在明显区别：1.两款被诉侵权设计底板下沿均为平整的直线，没有像授权外观设计那样的扇形凹角缺口；2.“肌肉款俯卧撑板”被诉侵权设计底板上沿为弧线，而授权外观设计为直线，同时被诉侵权设计的圆孔数量比授权外观设计多2个；3.“光面款折叠俯卧撑板”被诉侵权设计的圆孔排列方式与授权外观设计存在差异，且圆孔内有凸起小孔，授权外观设计无此设计。除此之外，被诉侵权设计与授权外观设计还存在以下两处差异：一是两款被诉侵权设计底板上的圆孔之间有粗线段连接，授权外观设计没有任何图案；二是两款被诉侵权设计的把手可与底板分离，既可以呈现两个把手分别安插于底板两侧的外观，也可以安插于不同的圆孔中，从而呈现与授权外观设计更为不同的外观。虽然后两处差异在侵权比对时的考量权重较低，但在特殊情况下仍有可能影响比对结论，因此不应被完全忽略，法院在进行整体观察时应当将之纳入考量范围。</w:t>
      </w:r>
    </w:p>
    <w:p>
      <w:pPr>
        <w:keepNext w:val="0"/>
        <w:keepLines w:val="0"/>
        <w:pageBreakBefore w:val="0"/>
        <w:widowControl w:val="0"/>
        <w:kinsoku/>
        <w:overflowPunct/>
        <w:topLinePunct w:val="0"/>
        <w:autoSpaceDE/>
        <w:autoSpaceDN/>
        <w:bidi w:val="0"/>
        <w:adjustRightInd/>
        <w:snapToGrid/>
        <w:spacing w:line="580" w:lineRule="exact"/>
        <w:ind w:firstLine="620" w:firstLineChars="200"/>
        <w:textAlignment w:val="auto"/>
        <w:rPr>
          <w:rFonts w:hint="eastAsia"/>
          <w:sz w:val="32"/>
          <w:szCs w:val="32"/>
        </w:rPr>
      </w:pPr>
      <w:r>
        <w:rPr>
          <w:rFonts w:hint="eastAsia"/>
          <w:sz w:val="32"/>
          <w:szCs w:val="32"/>
        </w:rPr>
        <w:t>根据</w:t>
      </w:r>
      <w:r>
        <w:rPr>
          <w:rFonts w:hint="eastAsia"/>
          <w:sz w:val="32"/>
          <w:szCs w:val="32"/>
          <w:lang w:eastAsia="zh-CN"/>
        </w:rPr>
        <w:t>重某公司</w:t>
      </w:r>
      <w:r>
        <w:rPr>
          <w:rFonts w:hint="eastAsia"/>
          <w:sz w:val="32"/>
          <w:szCs w:val="32"/>
        </w:rPr>
        <w:t>二审提交的三份在先设计图片可见，就俯卧撑板产品而言，底板与把手相结合的设计并不罕见，且涉案专利底板的基本形状系简单几何图形，把手形状的创新程度也较低，因此，各组成部分在形状上的细节设计容易对此类产品的整体外观产生显著影响。就底板部分而言，涉案专利底板系在简单几何图形矩形的基础上增加了凹角设计和圆孔，两款被诉侵权设计底板的基础形状虽然也是矩形，但是均缺乏凹角设计这一较为特殊的设计特征。同时，“肌肉款俯卧撑板”被诉侵权设计底板上沿和圆孔数量与授权外观设计不同，“光面款折叠俯卧撑板”被诉侵权设计圆孔排列方式和圆孔内的凸起小孔与授权外观设计不同，上述区别已经使被诉侵权设计与授权外观设计产生了较为不同的设计形态。而被诉侵权产品上粗线段相互交错的醒目图案，以及可以通过改变把手安插位置呈现不同外观形态的特点，进一步加大了两者之间的差异。根据“整体观察、综合判断”的比对原则，以该类产品的一般消费者的知识水平和认知能力判断，被诉侵权设计与授权外观设计的上述区别点对产品的整体视觉效果已产生显著影响，使两者产生实质性差异，应认定两者不构成近似，被诉侵权设计未落入涉案专利权的保护范围。一审法院的侵权比对结论有误，本院予以纠正。</w:t>
      </w:r>
    </w:p>
    <w:p>
      <w:pPr>
        <w:keepNext w:val="0"/>
        <w:keepLines w:val="0"/>
        <w:pageBreakBefore w:val="0"/>
        <w:widowControl w:val="0"/>
        <w:kinsoku/>
        <w:overflowPunct/>
        <w:topLinePunct w:val="0"/>
        <w:autoSpaceDE/>
        <w:autoSpaceDN/>
        <w:bidi w:val="0"/>
        <w:adjustRightInd/>
        <w:snapToGrid/>
        <w:spacing w:line="580" w:lineRule="exact"/>
        <w:ind w:firstLine="620" w:firstLineChars="200"/>
        <w:textAlignment w:val="auto"/>
        <w:rPr>
          <w:rFonts w:hint="eastAsia"/>
          <w:kern w:val="0"/>
          <w:sz w:val="32"/>
          <w:szCs w:val="32"/>
          <w:lang w:val="zh-CN"/>
        </w:rPr>
      </w:pPr>
      <w:r>
        <w:rPr>
          <w:rFonts w:hint="eastAsia"/>
          <w:kern w:val="0"/>
          <w:sz w:val="32"/>
          <w:szCs w:val="32"/>
          <w:lang w:val="zh-CN"/>
        </w:rPr>
        <w:t>综上，重某公司的上诉理由部分成立，予以支持。原判认定事实清楚，但适用法律和实体处理错误，应予改判。依照《中华人民共和国专利法》第五十九条第二款、第六十二条，《最高人民法院关于审理侵犯专利权纠纷案件应用法律若干问题的解释》第十条、第十一条、第十四条第二款，《中华人民共和国民事诉讼法》第一百七十条第一款第二项规定，判决如下：</w:t>
      </w:r>
    </w:p>
    <w:p>
      <w:pPr>
        <w:keepNext w:val="0"/>
        <w:keepLines w:val="0"/>
        <w:pageBreakBefore w:val="0"/>
        <w:widowControl w:val="0"/>
        <w:kinsoku/>
        <w:overflowPunct/>
        <w:topLinePunct w:val="0"/>
        <w:autoSpaceDE/>
        <w:autoSpaceDN/>
        <w:bidi w:val="0"/>
        <w:adjustRightInd/>
        <w:snapToGrid/>
        <w:spacing w:line="580" w:lineRule="exact"/>
        <w:ind w:firstLine="620" w:firstLineChars="200"/>
        <w:textAlignment w:val="auto"/>
        <w:rPr>
          <w:rFonts w:hint="eastAsia"/>
          <w:kern w:val="0"/>
          <w:sz w:val="32"/>
          <w:szCs w:val="32"/>
          <w:lang w:val="zh-CN"/>
        </w:rPr>
      </w:pPr>
      <w:r>
        <w:rPr>
          <w:rFonts w:hint="eastAsia"/>
          <w:kern w:val="0"/>
          <w:sz w:val="32"/>
          <w:szCs w:val="32"/>
          <w:lang w:val="zh-CN"/>
        </w:rPr>
        <w:t>一、撤销浙江省杭州市中级人民法院（2020）浙01民初854号民事判决；</w:t>
      </w:r>
    </w:p>
    <w:p>
      <w:pPr>
        <w:keepNext w:val="0"/>
        <w:keepLines w:val="0"/>
        <w:pageBreakBefore w:val="0"/>
        <w:widowControl w:val="0"/>
        <w:kinsoku/>
        <w:overflowPunct/>
        <w:topLinePunct w:val="0"/>
        <w:autoSpaceDE/>
        <w:autoSpaceDN/>
        <w:bidi w:val="0"/>
        <w:adjustRightInd/>
        <w:snapToGrid/>
        <w:spacing w:line="580" w:lineRule="exact"/>
        <w:ind w:firstLine="620" w:firstLineChars="200"/>
        <w:textAlignment w:val="auto"/>
        <w:rPr>
          <w:rFonts w:hint="eastAsia"/>
          <w:kern w:val="0"/>
          <w:sz w:val="32"/>
          <w:szCs w:val="32"/>
          <w:lang w:val="zh-CN"/>
        </w:rPr>
      </w:pPr>
      <w:r>
        <w:rPr>
          <w:rFonts w:hint="eastAsia"/>
          <w:kern w:val="0"/>
          <w:sz w:val="32"/>
          <w:szCs w:val="32"/>
          <w:lang w:val="zh-CN"/>
        </w:rPr>
        <w:t>二、驳回永康市剑某电器有限公司全部诉讼请求。</w:t>
      </w:r>
    </w:p>
    <w:p>
      <w:pPr>
        <w:keepNext w:val="0"/>
        <w:keepLines w:val="0"/>
        <w:pageBreakBefore w:val="0"/>
        <w:widowControl w:val="0"/>
        <w:kinsoku/>
        <w:overflowPunct/>
        <w:topLinePunct w:val="0"/>
        <w:autoSpaceDE/>
        <w:autoSpaceDN/>
        <w:bidi w:val="0"/>
        <w:adjustRightInd/>
        <w:snapToGrid/>
        <w:spacing w:line="580" w:lineRule="exact"/>
        <w:ind w:firstLine="620" w:firstLineChars="200"/>
        <w:textAlignment w:val="auto"/>
        <w:rPr>
          <w:kern w:val="0"/>
          <w:sz w:val="32"/>
          <w:szCs w:val="32"/>
          <w:lang w:val="zh-CN"/>
        </w:rPr>
      </w:pPr>
      <w:r>
        <w:rPr>
          <w:rFonts w:hint="eastAsia"/>
          <w:kern w:val="0"/>
          <w:sz w:val="32"/>
          <w:szCs w:val="32"/>
          <w:lang w:val="zh-CN"/>
        </w:rPr>
        <w:t>一审案件受理费8800元，二审案件受理费3300元，均由永康市剑某电器有限公司负担。</w:t>
      </w:r>
    </w:p>
    <w:p>
      <w:pPr>
        <w:keepNext w:val="0"/>
        <w:keepLines w:val="0"/>
        <w:pageBreakBefore w:val="0"/>
        <w:widowControl w:val="0"/>
        <w:kinsoku/>
        <w:overflowPunct/>
        <w:topLinePunct w:val="0"/>
        <w:autoSpaceDE/>
        <w:autoSpaceDN/>
        <w:bidi w:val="0"/>
        <w:adjustRightInd/>
        <w:snapToGrid/>
        <w:spacing w:line="580" w:lineRule="exact"/>
        <w:ind w:firstLine="620" w:firstLineChars="200"/>
        <w:textAlignment w:val="auto"/>
        <w:rPr>
          <w:sz w:val="32"/>
          <w:szCs w:val="32"/>
        </w:rPr>
      </w:pPr>
      <w:r>
        <w:rPr>
          <w:sz w:val="32"/>
          <w:szCs w:val="32"/>
        </w:rPr>
        <w:t>本判决为终审判决。</w:t>
      </w:r>
    </w:p>
    <w:p>
      <w:pPr>
        <w:keepNext w:val="0"/>
        <w:keepLines w:val="0"/>
        <w:pageBreakBefore w:val="0"/>
        <w:widowControl w:val="0"/>
        <w:kinsoku/>
        <w:overflowPunct/>
        <w:topLinePunct w:val="0"/>
        <w:autoSpaceDE/>
        <w:autoSpaceDN/>
        <w:bidi w:val="0"/>
        <w:adjustRightInd/>
        <w:snapToGrid/>
        <w:spacing w:line="580" w:lineRule="exact"/>
        <w:textAlignment w:val="auto"/>
        <w:rPr>
          <w:sz w:val="32"/>
        </w:rPr>
      </w:pPr>
    </w:p>
    <w:p>
      <w:pPr>
        <w:keepNext w:val="0"/>
        <w:keepLines w:val="0"/>
        <w:pageBreakBefore w:val="0"/>
        <w:widowControl w:val="0"/>
        <w:kinsoku/>
        <w:overflowPunct/>
        <w:topLinePunct w:val="0"/>
        <w:autoSpaceDE/>
        <w:autoSpaceDN/>
        <w:bidi w:val="0"/>
        <w:adjustRightInd/>
        <w:snapToGrid/>
        <w:spacing w:line="580" w:lineRule="exact"/>
        <w:textAlignment w:val="auto"/>
        <w:rPr>
          <w:sz w:val="32"/>
        </w:rPr>
      </w:pPr>
    </w:p>
    <w:p>
      <w:pPr>
        <w:keepNext w:val="0"/>
        <w:keepLines w:val="0"/>
        <w:pageBreakBefore w:val="0"/>
        <w:widowControl w:val="0"/>
        <w:kinsoku/>
        <w:overflowPunct/>
        <w:topLinePunct w:val="0"/>
        <w:autoSpaceDE/>
        <w:autoSpaceDN/>
        <w:bidi w:val="0"/>
        <w:adjustRightInd/>
        <w:snapToGrid/>
        <w:spacing w:line="580" w:lineRule="exact"/>
        <w:textAlignment w:val="auto"/>
        <w:rPr>
          <w:sz w:val="32"/>
        </w:rPr>
      </w:pPr>
    </w:p>
    <w:p>
      <w:pPr>
        <w:keepNext w:val="0"/>
        <w:keepLines w:val="0"/>
        <w:pageBreakBefore w:val="0"/>
        <w:widowControl w:val="0"/>
        <w:kinsoku/>
        <w:overflowPunct/>
        <w:topLinePunct w:val="0"/>
        <w:autoSpaceDE/>
        <w:autoSpaceDN/>
        <w:bidi w:val="0"/>
        <w:adjustRightInd/>
        <w:snapToGrid/>
        <w:spacing w:line="580" w:lineRule="exact"/>
        <w:textAlignment w:val="auto"/>
        <w:rPr>
          <w:rFonts w:hint="eastAsia"/>
          <w:sz w:val="32"/>
        </w:rPr>
      </w:pPr>
    </w:p>
    <w:p>
      <w:pPr>
        <w:keepNext w:val="0"/>
        <w:keepLines w:val="0"/>
        <w:pageBreakBefore w:val="0"/>
        <w:widowControl w:val="0"/>
        <w:tabs>
          <w:tab w:val="left" w:pos="4304"/>
        </w:tabs>
        <w:kinsoku/>
        <w:overflowPunct/>
        <w:topLinePunct w:val="0"/>
        <w:autoSpaceDE/>
        <w:autoSpaceDN/>
        <w:bidi w:val="0"/>
        <w:adjustRightInd/>
        <w:snapToGrid/>
        <w:spacing w:line="580" w:lineRule="exact"/>
        <w:ind w:firstLine="4349" w:firstLineChars="1403"/>
        <w:textAlignment w:val="auto"/>
        <w:rPr>
          <w:sz w:val="32"/>
        </w:rPr>
      </w:pPr>
      <w:r>
        <w:rPr>
          <w:sz w:val="32"/>
        </w:rPr>
        <w:t xml:space="preserve">审  判  长    </w:t>
      </w:r>
      <w:r>
        <w:rPr>
          <w:rFonts w:hint="eastAsia"/>
          <w:sz w:val="32"/>
        </w:rPr>
        <w:t>何      琼</w:t>
      </w:r>
    </w:p>
    <w:p>
      <w:pPr>
        <w:keepNext w:val="0"/>
        <w:keepLines w:val="0"/>
        <w:pageBreakBefore w:val="0"/>
        <w:widowControl w:val="0"/>
        <w:tabs>
          <w:tab w:val="left" w:pos="6456"/>
          <w:tab w:val="left" w:pos="6725"/>
          <w:tab w:val="left" w:pos="7263"/>
        </w:tabs>
        <w:kinsoku/>
        <w:overflowPunct/>
        <w:topLinePunct w:val="0"/>
        <w:autoSpaceDE/>
        <w:autoSpaceDN/>
        <w:bidi w:val="0"/>
        <w:adjustRightInd/>
        <w:snapToGrid/>
        <w:spacing w:line="580" w:lineRule="exact"/>
        <w:ind w:firstLine="4349" w:firstLineChars="1403"/>
        <w:textAlignment w:val="auto"/>
        <w:rPr>
          <w:sz w:val="32"/>
        </w:rPr>
      </w:pPr>
      <w:r>
        <w:rPr>
          <w:sz w:val="32"/>
        </w:rPr>
        <w:t xml:space="preserve">审  判  员    </w:t>
      </w:r>
      <w:r>
        <w:rPr>
          <w:rFonts w:hint="eastAsia"/>
          <w:sz w:val="32"/>
        </w:rPr>
        <w:t>刘  建  中</w:t>
      </w:r>
    </w:p>
    <w:p>
      <w:pPr>
        <w:keepNext w:val="0"/>
        <w:keepLines w:val="0"/>
        <w:pageBreakBefore w:val="0"/>
        <w:widowControl w:val="0"/>
        <w:tabs>
          <w:tab w:val="left" w:pos="5918"/>
          <w:tab w:val="left" w:pos="6456"/>
          <w:tab w:val="left" w:pos="7263"/>
        </w:tabs>
        <w:kinsoku/>
        <w:overflowPunct/>
        <w:topLinePunct w:val="0"/>
        <w:autoSpaceDE/>
        <w:autoSpaceDN/>
        <w:bidi w:val="0"/>
        <w:adjustRightInd/>
        <w:snapToGrid/>
        <w:spacing w:line="580" w:lineRule="exact"/>
        <w:ind w:firstLine="4349" w:firstLineChars="1403"/>
        <w:textAlignment w:val="auto"/>
        <w:rPr>
          <w:sz w:val="32"/>
        </w:rPr>
      </w:pPr>
      <w:r>
        <w:rPr>
          <w:sz w:val="32"/>
        </w:rPr>
        <w:t xml:space="preserve">审  判  员    陈      </w:t>
      </w:r>
      <w:r>
        <w:rPr>
          <w:rFonts w:hint="eastAsia"/>
          <w:sz w:val="32"/>
        </w:rPr>
        <w:t>为</w:t>
      </w:r>
    </w:p>
    <w:p>
      <w:pPr>
        <w:keepNext w:val="0"/>
        <w:keepLines w:val="0"/>
        <w:pageBreakBefore w:val="0"/>
        <w:widowControl w:val="0"/>
        <w:tabs>
          <w:tab w:val="left" w:pos="5918"/>
        </w:tabs>
        <w:kinsoku/>
        <w:overflowPunct/>
        <w:topLinePunct w:val="0"/>
        <w:autoSpaceDE/>
        <w:autoSpaceDN/>
        <w:bidi w:val="0"/>
        <w:adjustRightInd/>
        <w:snapToGrid/>
        <w:spacing w:line="580" w:lineRule="exact"/>
        <w:ind w:firstLine="4349" w:firstLineChars="1403"/>
        <w:textAlignment w:val="auto"/>
        <w:rPr>
          <w:sz w:val="32"/>
        </w:rPr>
      </w:pPr>
    </w:p>
    <w:p>
      <w:pPr>
        <w:keepNext w:val="0"/>
        <w:keepLines w:val="0"/>
        <w:pageBreakBefore w:val="0"/>
        <w:widowControl w:val="0"/>
        <w:tabs>
          <w:tab w:val="left" w:pos="5918"/>
        </w:tabs>
        <w:kinsoku/>
        <w:overflowPunct/>
        <w:topLinePunct w:val="0"/>
        <w:autoSpaceDE/>
        <w:autoSpaceDN/>
        <w:bidi w:val="0"/>
        <w:adjustRightInd/>
        <w:snapToGrid/>
        <w:spacing w:line="580" w:lineRule="exact"/>
        <w:ind w:firstLine="4349" w:firstLineChars="1403"/>
        <w:textAlignment w:val="auto"/>
        <w:rPr>
          <w:sz w:val="32"/>
        </w:rPr>
      </w:pPr>
    </w:p>
    <w:p>
      <w:pPr>
        <w:keepNext w:val="0"/>
        <w:keepLines w:val="0"/>
        <w:pageBreakBefore w:val="0"/>
        <w:widowControl w:val="0"/>
        <w:tabs>
          <w:tab w:val="left" w:pos="5918"/>
        </w:tabs>
        <w:kinsoku/>
        <w:overflowPunct/>
        <w:topLinePunct w:val="0"/>
        <w:autoSpaceDE/>
        <w:autoSpaceDN/>
        <w:bidi w:val="0"/>
        <w:adjustRightInd/>
        <w:snapToGrid/>
        <w:spacing w:line="580" w:lineRule="exact"/>
        <w:ind w:firstLine="4349" w:firstLineChars="1403"/>
        <w:textAlignment w:val="auto"/>
        <w:rPr>
          <w:sz w:val="32"/>
        </w:rPr>
      </w:pPr>
    </w:p>
    <w:p>
      <w:pPr>
        <w:keepNext w:val="0"/>
        <w:keepLines w:val="0"/>
        <w:pageBreakBefore w:val="0"/>
        <w:widowControl w:val="0"/>
        <w:tabs>
          <w:tab w:val="left" w:pos="5918"/>
        </w:tabs>
        <w:kinsoku/>
        <w:overflowPunct/>
        <w:topLinePunct w:val="0"/>
        <w:autoSpaceDE/>
        <w:autoSpaceDN/>
        <w:bidi w:val="0"/>
        <w:adjustRightInd/>
        <w:snapToGrid/>
        <w:spacing w:line="580" w:lineRule="exact"/>
        <w:ind w:firstLine="4349" w:firstLineChars="1403"/>
        <w:textAlignment w:val="auto"/>
        <w:rPr>
          <w:sz w:val="32"/>
        </w:rPr>
      </w:pPr>
    </w:p>
    <w:tbl>
      <w:tblPr>
        <w:tblStyle w:val="6"/>
        <w:tblW w:w="0" w:type="auto"/>
        <w:tblInd w:w="34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53" w:type="dxa"/>
            <w:tcBorders>
              <w:top w:val="nil"/>
              <w:left w:val="nil"/>
              <w:bottom w:val="nil"/>
              <w:right w:val="nil"/>
            </w:tcBorders>
          </w:tcPr>
          <w:p>
            <w:pPr>
              <w:pStyle w:val="2"/>
              <w:keepNext w:val="0"/>
              <w:keepLines w:val="0"/>
              <w:pageBreakBefore w:val="0"/>
              <w:widowControl w:val="0"/>
              <w:kinsoku/>
              <w:overflowPunct/>
              <w:topLinePunct w:val="0"/>
              <w:autoSpaceDE/>
              <w:autoSpaceDN/>
              <w:bidi w:val="0"/>
              <w:adjustRightInd/>
              <w:snapToGrid/>
              <w:spacing w:line="580" w:lineRule="exact"/>
              <w:ind w:firstLine="547" w:firstLineChars="147"/>
              <w:textAlignment w:val="auto"/>
              <w:rPr>
                <w:sz w:val="32"/>
              </w:rPr>
            </w:pPr>
            <w:r>
              <w:rPr>
                <w:rFonts w:hint="eastAsia"/>
                <w:spacing w:val="31"/>
                <w:kern w:val="0"/>
                <w:sz w:val="32"/>
              </w:rPr>
              <w:t xml:space="preserve">   </w:t>
            </w:r>
            <w:r>
              <w:rPr>
                <w:spacing w:val="31"/>
                <w:kern w:val="0"/>
                <w:sz w:val="32"/>
              </w:rPr>
              <w:t>二</w:t>
            </w:r>
            <w:r>
              <w:rPr>
                <w:rFonts w:hint="eastAsia" w:ascii="宋体" w:hAnsi="宋体" w:eastAsia="宋体" w:cs="宋体"/>
                <w:spacing w:val="31"/>
                <w:kern w:val="0"/>
                <w:sz w:val="32"/>
              </w:rPr>
              <w:t>〇</w:t>
            </w:r>
            <w:r>
              <w:rPr>
                <w:spacing w:val="31"/>
                <w:kern w:val="0"/>
                <w:sz w:val="32"/>
              </w:rPr>
              <w:t>二</w:t>
            </w:r>
            <w:r>
              <w:rPr>
                <w:rFonts w:hint="eastAsia"/>
                <w:spacing w:val="31"/>
                <w:kern w:val="0"/>
                <w:sz w:val="32"/>
              </w:rPr>
              <w:t>一</w:t>
            </w:r>
            <w:r>
              <w:rPr>
                <w:spacing w:val="31"/>
                <w:kern w:val="0"/>
                <w:sz w:val="32"/>
              </w:rPr>
              <w:t>年</w:t>
            </w:r>
            <w:r>
              <w:rPr>
                <w:rFonts w:hint="eastAsia"/>
                <w:spacing w:val="31"/>
                <w:kern w:val="0"/>
                <w:sz w:val="32"/>
              </w:rPr>
              <w:t>九</w:t>
            </w:r>
            <w:r>
              <w:rPr>
                <w:spacing w:val="31"/>
                <w:kern w:val="0"/>
                <w:sz w:val="32"/>
              </w:rPr>
              <w:t>月</w:t>
            </w:r>
            <w:r>
              <w:rPr>
                <w:rFonts w:hint="eastAsia"/>
                <w:spacing w:val="31"/>
                <w:kern w:val="0"/>
                <w:sz w:val="32"/>
              </w:rPr>
              <w:t>八</w:t>
            </w:r>
            <w:r>
              <w:rPr>
                <w:spacing w:val="4"/>
                <w:kern w:val="0"/>
                <w:sz w:val="32"/>
              </w:rPr>
              <w:t>日</w:t>
            </w:r>
          </w:p>
        </w:tc>
      </w:tr>
    </w:tbl>
    <w:p>
      <w:pPr>
        <w:keepNext w:val="0"/>
        <w:keepLines w:val="0"/>
        <w:pageBreakBefore w:val="0"/>
        <w:widowControl w:val="0"/>
        <w:kinsoku/>
        <w:overflowPunct/>
        <w:topLinePunct w:val="0"/>
        <w:autoSpaceDE/>
        <w:autoSpaceDN/>
        <w:bidi w:val="0"/>
        <w:adjustRightInd/>
        <w:snapToGrid/>
        <w:spacing w:line="580" w:lineRule="exact"/>
        <w:textAlignment w:val="auto"/>
        <w:rPr>
          <w:sz w:val="32"/>
        </w:rPr>
      </w:pPr>
      <w:r>
        <w:rPr>
          <w:sz w:val="32"/>
        </w:rPr>
        <w:t>本件与原本核对无异</w:t>
      </w:r>
    </w:p>
    <w:p>
      <w:pPr>
        <w:keepNext w:val="0"/>
        <w:keepLines w:val="0"/>
        <w:pageBreakBefore w:val="0"/>
        <w:widowControl w:val="0"/>
        <w:kinsoku/>
        <w:overflowPunct/>
        <w:topLinePunct w:val="0"/>
        <w:autoSpaceDE/>
        <w:autoSpaceDN/>
        <w:bidi w:val="0"/>
        <w:adjustRightInd/>
        <w:snapToGrid/>
        <w:spacing w:line="580" w:lineRule="exact"/>
        <w:ind w:firstLine="646"/>
        <w:textAlignment w:val="auto"/>
        <w:rPr>
          <w:kern w:val="0"/>
          <w:sz w:val="32"/>
        </w:rPr>
      </w:pPr>
      <w:r>
        <w:rPr>
          <w:sz w:val="32"/>
        </w:rPr>
        <w:t xml:space="preserve">                        </w:t>
      </w:r>
      <w:r>
        <w:rPr>
          <w:spacing w:val="30"/>
          <w:kern w:val="36"/>
          <w:sz w:val="32"/>
        </w:rPr>
        <w:t>法官助理</w:t>
      </w:r>
      <w:r>
        <w:rPr>
          <w:spacing w:val="32"/>
          <w:kern w:val="0"/>
          <w:sz w:val="32"/>
        </w:rPr>
        <w:t xml:space="preserve">   </w:t>
      </w:r>
      <w:r>
        <w:rPr>
          <w:kern w:val="0"/>
          <w:sz w:val="32"/>
        </w:rPr>
        <w:t>曾  梦  倩</w:t>
      </w:r>
    </w:p>
    <w:p>
      <w:pPr>
        <w:keepNext w:val="0"/>
        <w:keepLines w:val="0"/>
        <w:pageBreakBefore w:val="0"/>
        <w:widowControl w:val="0"/>
        <w:kinsoku/>
        <w:overflowPunct/>
        <w:topLinePunct w:val="0"/>
        <w:autoSpaceDE/>
        <w:autoSpaceDN/>
        <w:bidi w:val="0"/>
        <w:adjustRightInd/>
        <w:snapToGrid/>
        <w:spacing w:line="580" w:lineRule="exact"/>
        <w:ind w:firstLine="645"/>
        <w:textAlignment w:val="auto"/>
        <w:rPr>
          <w:kern w:val="0"/>
          <w:sz w:val="32"/>
        </w:rPr>
      </w:pPr>
      <w:r>
        <w:rPr>
          <w:sz w:val="32"/>
        </w:rPr>
        <w:t xml:space="preserve">                        </w:t>
      </w:r>
      <w:r>
        <w:rPr>
          <w:spacing w:val="143"/>
          <w:kern w:val="0"/>
          <w:sz w:val="32"/>
        </w:rPr>
        <w:t>书记</w:t>
      </w:r>
      <w:r>
        <w:rPr>
          <w:spacing w:val="1"/>
          <w:kern w:val="0"/>
          <w:sz w:val="32"/>
        </w:rPr>
        <w:t>员</w:t>
      </w:r>
      <w:r>
        <w:rPr>
          <w:kern w:val="0"/>
          <w:sz w:val="32"/>
        </w:rPr>
        <w:t xml:space="preserve">    刘  雨  潇</w:t>
      </w:r>
    </w:p>
    <w:p>
      <w:pPr>
        <w:spacing w:line="360" w:lineRule="auto"/>
        <w:rPr>
          <w:rFonts w:hint="eastAsia"/>
          <w:kern w:val="0"/>
          <w:sz w:val="32"/>
        </w:rPr>
      </w:pPr>
      <w:r>
        <w:rPr>
          <w:kern w:val="0"/>
          <w:sz w:val="32"/>
        </w:rPr>
        <w:br w:type="page"/>
      </w:r>
      <w:r>
        <w:rPr>
          <w:rFonts w:hint="eastAsia"/>
          <w:kern w:val="0"/>
          <w:sz w:val="32"/>
        </w:rPr>
        <w:t>附图：</w:t>
      </w:r>
    </w:p>
    <w:p>
      <w:pPr>
        <w:spacing w:line="360" w:lineRule="auto"/>
        <w:jc w:val="center"/>
        <w:rPr>
          <w:rFonts w:hint="eastAsia"/>
        </w:rPr>
      </w:pPr>
      <w:r>
        <w:pict>
          <v:shape id="_x0000_i1025" o:spt="75" type="#_x0000_t75" style="height:88.2pt;width:289.8pt;" filled="f" o:preferrelative="t" stroked="f" coordsize="21600,21600">
            <v:path/>
            <v:fill on="f" focussize="0,0"/>
            <v:stroke on="f" joinstyle="miter"/>
            <v:imagedata r:id="rId6" cropright="898f" cropbottom="13947f" o:title="涉案专利俯视图"/>
            <o:lock v:ext="edit" aspectratio="t"/>
            <w10:wrap type="none"/>
            <w10:anchorlock/>
          </v:shape>
        </w:pict>
      </w:r>
    </w:p>
    <w:p>
      <w:pPr>
        <w:spacing w:line="360" w:lineRule="auto"/>
        <w:jc w:val="center"/>
        <w:rPr>
          <w:rFonts w:hint="eastAsia"/>
          <w:sz w:val="32"/>
        </w:rPr>
      </w:pPr>
      <w:r>
        <w:rPr>
          <w:rFonts w:hint="eastAsia"/>
          <w:sz w:val="32"/>
        </w:rPr>
        <w:t>授权外观设计</w:t>
      </w:r>
    </w:p>
    <w:p>
      <w:pPr>
        <w:spacing w:line="360" w:lineRule="auto"/>
        <w:jc w:val="center"/>
        <w:rPr>
          <w:rFonts w:hint="eastAsia"/>
          <w:sz w:val="32"/>
        </w:rPr>
      </w:pPr>
    </w:p>
    <w:p>
      <w:pPr>
        <w:spacing w:line="360" w:lineRule="auto"/>
        <w:ind w:left="-270" w:leftChars="-100"/>
        <w:jc w:val="center"/>
        <w:rPr>
          <w:rFonts w:hint="eastAsia"/>
        </w:rPr>
      </w:pPr>
      <w:r>
        <w:pict>
          <v:shape id="_x0000_i1026" o:spt="75" type="#_x0000_t75" style="height:202.2pt;width:268.8pt;" filled="f" o:preferrelative="t" stroked="f" coordsize="21600,21600">
            <v:path/>
            <v:fill on="f" focussize="0,0"/>
            <v:stroke on="f" joinstyle="miter"/>
            <v:imagedata r:id="rId7" o:title="被诉侵权产品"/>
            <o:lock v:ext="edit" aspectratio="t"/>
            <w10:wrap type="none"/>
            <w10:anchorlock/>
          </v:shape>
        </w:pict>
      </w:r>
    </w:p>
    <w:p>
      <w:pPr>
        <w:spacing w:line="360" w:lineRule="auto"/>
        <w:jc w:val="center"/>
        <w:rPr>
          <w:rFonts w:hint="eastAsia"/>
          <w:sz w:val="32"/>
        </w:rPr>
      </w:pPr>
      <w:r>
        <w:rPr>
          <w:rFonts w:hint="eastAsia"/>
          <w:sz w:val="32"/>
        </w:rPr>
        <w:t>“</w:t>
      </w:r>
      <w:r>
        <w:rPr>
          <w:rFonts w:hint="eastAsia"/>
          <w:sz w:val="32"/>
          <w:szCs w:val="32"/>
        </w:rPr>
        <w:t>肌肉款俯卧撑板”</w:t>
      </w:r>
      <w:r>
        <w:rPr>
          <w:rFonts w:hint="eastAsia"/>
          <w:sz w:val="32"/>
        </w:rPr>
        <w:t>被诉侵权设计</w:t>
      </w:r>
    </w:p>
    <w:p>
      <w:pPr>
        <w:spacing w:line="360" w:lineRule="auto"/>
        <w:jc w:val="center"/>
        <w:rPr>
          <w:rFonts w:hint="eastAsia"/>
          <w:sz w:val="32"/>
        </w:rPr>
      </w:pPr>
    </w:p>
    <w:p>
      <w:pPr>
        <w:spacing w:line="360" w:lineRule="auto"/>
        <w:jc w:val="left"/>
        <w:rPr>
          <w:rFonts w:hint="eastAsia"/>
          <w:sz w:val="32"/>
        </w:rPr>
      </w:pPr>
      <w:r>
        <w:rPr>
          <w:sz w:val="32"/>
        </w:rPr>
        <w:pict>
          <v:shape id="_x0000_i1027" o:spt="75" type="#_x0000_t75" style="height:67.8pt;width:211.8pt;" filled="f" o:preferrelative="t" stroked="f" coordsize="21600,21600">
            <v:path/>
            <v:fill on="f" focussize="0,0"/>
            <v:stroke on="f" joinstyle="miter"/>
            <v:imagedata r:id="rId8" o:title="被诉侵权设计"/>
            <o:lock v:ext="edit" aspectratio="t"/>
            <w10:wrap type="none"/>
            <w10:anchorlock/>
          </v:shape>
        </w:pict>
      </w:r>
      <w:r>
        <w:rPr>
          <w:sz w:val="32"/>
        </w:rPr>
        <w:t xml:space="preserve"> </w:t>
      </w:r>
      <w:r>
        <w:rPr>
          <w:sz w:val="32"/>
        </w:rPr>
        <w:pict>
          <v:shape id="_x0000_i1028" o:spt="75" type="#_x0000_t75" style="height:82.2pt;width:216pt;" filled="f" o:preferrelative="t" stroked="f" coordsize="21600,21600">
            <v:path/>
            <v:fill on="f" focussize="0,0"/>
            <v:stroke on="f" joinstyle="miter"/>
            <v:imagedata r:id="rId9" o:title=""/>
            <o:lock v:ext="edit" aspectratio="t"/>
            <w10:wrap type="none"/>
            <w10:anchorlock/>
          </v:shape>
        </w:pict>
      </w:r>
    </w:p>
    <w:p>
      <w:pPr>
        <w:spacing w:line="360" w:lineRule="auto"/>
        <w:jc w:val="center"/>
        <w:rPr>
          <w:sz w:val="32"/>
        </w:rPr>
      </w:pPr>
      <w:r>
        <w:rPr>
          <w:rFonts w:hint="eastAsia"/>
          <w:sz w:val="32"/>
          <w:szCs w:val="32"/>
        </w:rPr>
        <w:t>“光面款折叠俯卧撑板”被诉侵权设计</w:t>
      </w:r>
    </w:p>
    <w:sectPr>
      <w:footerReference r:id="rId3" w:type="default"/>
      <w:footerReference r:id="rId4" w:type="even"/>
      <w:pgSz w:w="11907" w:h="16840"/>
      <w:pgMar w:top="1928" w:right="1304" w:bottom="1497" w:left="1644" w:header="851" w:footer="1531" w:gutter="0"/>
      <w:pgNumType w:start="1"/>
      <w:cols w:space="720" w:num="1"/>
      <w:docGrid w:type="linesAndChars" w:linePitch="600" w:charSpace="-218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文鼎大标宋简">
    <w:altName w:val="方正书宋_GBK"/>
    <w:panose1 w:val="00000000000000000000"/>
    <w:charset w:val="86"/>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outside" w:y="1"/>
      <w:ind w:left="397" w:right="397"/>
      <w:rPr>
        <w:rStyle w:val="8"/>
        <w:rFonts w:ascii="仿宋_GB2312"/>
        <w:sz w:val="30"/>
      </w:rPr>
    </w:pPr>
    <w:r>
      <w:rPr>
        <w:rStyle w:val="8"/>
        <w:rFonts w:hint="eastAsia" w:ascii="仿宋_GB2312"/>
        <w:sz w:val="30"/>
      </w:rPr>
      <w:t>·</w:t>
    </w:r>
    <w:r>
      <w:rPr>
        <w:rFonts w:ascii="仿宋_GB2312"/>
        <w:sz w:val="30"/>
      </w:rPr>
      <w:fldChar w:fldCharType="begin"/>
    </w:r>
    <w:r>
      <w:rPr>
        <w:rStyle w:val="8"/>
        <w:rFonts w:ascii="仿宋_GB2312"/>
        <w:sz w:val="30"/>
      </w:rPr>
      <w:instrText xml:space="preserve"> PAGE </w:instrText>
    </w:r>
    <w:r>
      <w:rPr>
        <w:rFonts w:ascii="仿宋_GB2312"/>
        <w:sz w:val="30"/>
      </w:rPr>
      <w:fldChar w:fldCharType="separate"/>
    </w:r>
    <w:r>
      <w:rPr>
        <w:rStyle w:val="8"/>
        <w:rFonts w:ascii="仿宋_GB2312"/>
        <w:sz w:val="30"/>
      </w:rPr>
      <w:t>1</w:t>
    </w:r>
    <w:r>
      <w:rPr>
        <w:rFonts w:ascii="仿宋_GB2312"/>
        <w:sz w:val="30"/>
      </w:rPr>
      <w:fldChar w:fldCharType="end"/>
    </w:r>
    <w:r>
      <w:rPr>
        <w:rStyle w:val="8"/>
        <w:rFonts w:hint="eastAsia" w:ascii="仿宋_GB2312"/>
        <w:sz w:val="30"/>
      </w:rPr>
      <w:t>·</w:t>
    </w:r>
  </w:p>
  <w:p>
    <w:pPr>
      <w:pStyle w:val="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outside" w:y="1"/>
      <w:rPr>
        <w:rStyle w:val="8"/>
      </w:rPr>
    </w:pPr>
    <w:r>
      <w:fldChar w:fldCharType="begin"/>
    </w:r>
    <w:r>
      <w:rPr>
        <w:rStyle w:val="8"/>
      </w:rPr>
      <w:instrText xml:space="preserve">PAGE  </w:instrText>
    </w:r>
    <w:r>
      <w:fldChar w:fldCharType="separate"/>
    </w:r>
    <w:r>
      <w:rPr>
        <w:rStyle w:val="8"/>
      </w:rPr>
      <w:t>1</w:t>
    </w:r>
    <w:r>
      <w:fldChar w:fldCharType="end"/>
    </w:r>
  </w:p>
  <w:p>
    <w:pPr>
      <w:pStyle w:val="4"/>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true"/>
  <w:bordersDoNotSurroundHeader w:val="true"/>
  <w:bordersDoNotSurroundFooter w:val="tru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5EC2"/>
    <w:rsid w:val="00147FD9"/>
    <w:rsid w:val="002348A2"/>
    <w:rsid w:val="00237535"/>
    <w:rsid w:val="00285114"/>
    <w:rsid w:val="003B5EC2"/>
    <w:rsid w:val="003F61D6"/>
    <w:rsid w:val="004A74A8"/>
    <w:rsid w:val="00637807"/>
    <w:rsid w:val="00644EB2"/>
    <w:rsid w:val="00692DF9"/>
    <w:rsid w:val="0073538C"/>
    <w:rsid w:val="0077576E"/>
    <w:rsid w:val="009E3C88"/>
    <w:rsid w:val="00AD4C93"/>
    <w:rsid w:val="00C13C0F"/>
    <w:rsid w:val="00DE68E2"/>
    <w:rsid w:val="00E426C4"/>
    <w:rsid w:val="0EF19576"/>
    <w:rsid w:val="DFDFDB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28"/>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Date"/>
    <w:basedOn w:val="1"/>
    <w:next w:val="1"/>
    <w:qFormat/>
    <w:uiPriority w:val="0"/>
  </w:style>
  <w:style w:type="paragraph" w:styleId="3">
    <w:name w:val="Balloon Text"/>
    <w:basedOn w:val="1"/>
    <w:link w:val="10"/>
    <w:qFormat/>
    <w:uiPriority w:val="0"/>
    <w:rPr>
      <w:sz w:val="18"/>
      <w:szCs w:val="18"/>
      <w:lang w:val="zh-CN" w:eastAsia="zh-CN"/>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link w:val="9"/>
    <w:qFormat/>
    <w:uiPriority w:val="0"/>
    <w:pPr>
      <w:pBdr>
        <w:bottom w:val="single" w:color="auto" w:sz="6" w:space="1"/>
      </w:pBdr>
      <w:tabs>
        <w:tab w:val="center" w:pos="4153"/>
        <w:tab w:val="right" w:pos="8306"/>
      </w:tabs>
      <w:snapToGrid w:val="0"/>
      <w:jc w:val="center"/>
    </w:pPr>
    <w:rPr>
      <w:sz w:val="18"/>
      <w:szCs w:val="18"/>
      <w:lang w:val="zh-CN" w:eastAsia="zh-CN"/>
    </w:rPr>
  </w:style>
  <w:style w:type="character" w:styleId="8">
    <w:name w:val="page number"/>
    <w:qFormat/>
    <w:uiPriority w:val="0"/>
    <w:rPr>
      <w:rFonts w:cs="Times New Roman"/>
    </w:rPr>
  </w:style>
  <w:style w:type="character" w:customStyle="1" w:styleId="9">
    <w:name w:val="页眉 Char"/>
    <w:link w:val="5"/>
    <w:qFormat/>
    <w:uiPriority w:val="0"/>
    <w:rPr>
      <w:rFonts w:eastAsia="仿宋_GB2312"/>
      <w:kern w:val="2"/>
      <w:sz w:val="18"/>
      <w:szCs w:val="18"/>
    </w:rPr>
  </w:style>
  <w:style w:type="character" w:customStyle="1" w:styleId="10">
    <w:name w:val="批注框文本 Char"/>
    <w:link w:val="3"/>
    <w:qFormat/>
    <w:uiPriority w:val="0"/>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4.emf"/><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 China</Company>
  <Pages>1</Pages>
  <Words>1229</Words>
  <Characters>7009</Characters>
  <Lines>58</Lines>
  <Paragraphs>16</Paragraphs>
  <TotalTime>225</TotalTime>
  <ScaleCrop>false</ScaleCrop>
  <LinksUpToDate>false</LinksUpToDate>
  <CharactersWithSpaces>8222</CharactersWithSpaces>
  <Application>WPS Office_11.8.2.10489_F1E327BC-269C-435d-A152-05C5408002CA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2021-08-30T23:00:00Z</dcterms:created>
  <dc:creator>mm</dc:creator>
  <cp:lastModifiedBy>民三庭信箱</cp:lastModifiedBy>
  <cp:lastPrinted>2021-08-31T15:11:00Z</cp:lastPrinted>
  <dcterms:modified xsi:type="dcterms:W3CDTF">2026-05-26T16:14:31Z</dcterms:modified>
  <dc:title>                     </dc:title>
  <cp:revision>82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2052-11.8.2.10489</vt:lpwstr>
  </property>
</Properties>
</file>