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8C5B6">
      <w:pPr>
        <w:spacing w:line="840" w:lineRule="exact"/>
        <w:jc w:val="center"/>
        <w:rPr>
          <w:rFonts w:ascii="华文中宋" w:hAnsi="华文中宋" w:eastAsia="华文中宋"/>
          <w:spacing w:val="20"/>
          <w:sz w:val="52"/>
        </w:rPr>
      </w:pPr>
      <w:r>
        <w:rPr>
          <w:rFonts w:hint="eastAsia" w:ascii="华文中宋" w:hAnsi="华文中宋" w:eastAsia="华文中宋"/>
          <w:spacing w:val="20"/>
          <w:sz w:val="44"/>
          <w:lang w:val="en-US" w:eastAsia="zh-CN"/>
        </w:rPr>
        <w:t xml:space="preserve">                                  </w:t>
      </w:r>
      <w:r>
        <w:rPr>
          <w:rFonts w:hint="eastAsia" w:ascii="华文中宋" w:hAnsi="华文中宋" w:eastAsia="华文中宋"/>
          <w:spacing w:val="20"/>
          <w:sz w:val="44"/>
        </w:rPr>
        <w:t>浙 江 省 高 级 人 民 法 院</w:t>
      </w:r>
    </w:p>
    <w:p w14:paraId="03FE79F7">
      <w:pPr>
        <w:spacing w:line="840" w:lineRule="exact"/>
        <w:jc w:val="center"/>
        <w:rPr>
          <w:rFonts w:ascii="华文中宋" w:hAnsi="华文中宋" w:eastAsia="华文中宋"/>
          <w:sz w:val="52"/>
        </w:rPr>
      </w:pPr>
      <w:r>
        <w:rPr>
          <w:rFonts w:hint="eastAsia" w:ascii="华文中宋" w:hAnsi="华文中宋" w:eastAsia="华文中宋"/>
          <w:spacing w:val="240"/>
          <w:sz w:val="52"/>
        </w:rPr>
        <w:t>民事裁定</w:t>
      </w:r>
      <w:r>
        <w:rPr>
          <w:rFonts w:hint="eastAsia" w:ascii="华文中宋" w:hAnsi="华文中宋" w:eastAsia="华文中宋"/>
          <w:sz w:val="52"/>
        </w:rPr>
        <w:t>书</w:t>
      </w:r>
    </w:p>
    <w:p w14:paraId="06EDEB25">
      <w:pPr>
        <w:spacing w:line="780" w:lineRule="exact"/>
        <w:rPr>
          <w:sz w:val="32"/>
        </w:rPr>
      </w:pPr>
    </w:p>
    <w:p w14:paraId="679448EB">
      <w:pPr>
        <w:wordWrap w:val="0"/>
        <w:spacing w:line="360" w:lineRule="exact"/>
        <w:ind w:firstLine="573"/>
        <w:jc w:val="right"/>
        <w:rPr>
          <w:rFonts w:hint="eastAsia" w:ascii="仿宋_GB2312"/>
          <w:sz w:val="32"/>
          <w:szCs w:val="32"/>
        </w:rPr>
      </w:pPr>
      <w:r>
        <w:rPr>
          <w:rFonts w:hint="eastAsia" w:ascii="仿宋_GB2312"/>
          <w:sz w:val="32"/>
          <w:szCs w:val="32"/>
        </w:rPr>
        <w:t xml:space="preserve">      （202</w:t>
      </w:r>
      <w:r>
        <w:rPr>
          <w:rFonts w:ascii="仿宋_GB2312"/>
          <w:sz w:val="32"/>
          <w:szCs w:val="32"/>
        </w:rPr>
        <w:t>2</w:t>
      </w:r>
      <w:r>
        <w:rPr>
          <w:rFonts w:hint="eastAsia" w:ascii="仿宋_GB2312"/>
          <w:sz w:val="32"/>
          <w:szCs w:val="32"/>
        </w:rPr>
        <w:t>）浙民终</w:t>
      </w:r>
      <w:r>
        <w:rPr>
          <w:rFonts w:ascii="仿宋_GB2312"/>
          <w:sz w:val="32"/>
          <w:szCs w:val="32"/>
        </w:rPr>
        <w:t>822</w:t>
      </w:r>
      <w:r>
        <w:rPr>
          <w:rFonts w:hint="eastAsia" w:ascii="仿宋_GB2312"/>
          <w:sz w:val="32"/>
          <w:szCs w:val="32"/>
        </w:rPr>
        <w:t>号</w:t>
      </w:r>
    </w:p>
    <w:p w14:paraId="32C2E791">
      <w:pPr>
        <w:wordWrap w:val="0"/>
        <w:spacing w:line="360" w:lineRule="exact"/>
        <w:ind w:firstLine="573"/>
        <w:jc w:val="right"/>
        <w:rPr>
          <w:rFonts w:hint="eastAsia" w:ascii="仿宋_GB2312"/>
          <w:sz w:val="32"/>
          <w:szCs w:val="32"/>
        </w:rPr>
      </w:pPr>
    </w:p>
    <w:p w14:paraId="7C11F9F2">
      <w:pPr>
        <w:autoSpaceDE w:val="0"/>
        <w:autoSpaceDN w:val="0"/>
        <w:adjustRightInd w:val="0"/>
        <w:spacing w:line="592" w:lineRule="exact"/>
        <w:ind w:firstLine="620" w:firstLineChars="200"/>
        <w:rPr>
          <w:rFonts w:ascii="仿宋_GB2312"/>
          <w:sz w:val="32"/>
          <w:szCs w:val="32"/>
        </w:rPr>
      </w:pPr>
      <w:r>
        <w:rPr>
          <w:rFonts w:hint="eastAsia" w:ascii="仿宋_GB2312"/>
          <w:sz w:val="32"/>
          <w:szCs w:val="32"/>
        </w:rPr>
        <w:t>上诉人（原审原告）：</w:t>
      </w:r>
      <w:r>
        <w:rPr>
          <w:rFonts w:hint="eastAsia" w:ascii="仿宋_GB2312"/>
          <w:sz w:val="32"/>
          <w:szCs w:val="32"/>
          <w:lang w:eastAsia="zh-CN"/>
        </w:rPr>
        <w:t>小某电器股份有限公司</w:t>
      </w:r>
      <w:r>
        <w:rPr>
          <w:rFonts w:hint="eastAsia" w:ascii="仿宋_GB2312"/>
          <w:sz w:val="32"/>
          <w:szCs w:val="32"/>
        </w:rPr>
        <w:t>，住所地广东省佛山市。</w:t>
      </w:r>
    </w:p>
    <w:p w14:paraId="32ECC783">
      <w:pPr>
        <w:autoSpaceDE w:val="0"/>
        <w:autoSpaceDN w:val="0"/>
        <w:adjustRightInd w:val="0"/>
        <w:spacing w:line="592" w:lineRule="exact"/>
        <w:ind w:firstLine="620" w:firstLineChars="200"/>
        <w:rPr>
          <w:rFonts w:ascii="仿宋_GB2312"/>
          <w:sz w:val="32"/>
          <w:szCs w:val="32"/>
        </w:rPr>
      </w:pPr>
      <w:r>
        <w:rPr>
          <w:rFonts w:hint="eastAsia" w:ascii="仿宋_GB2312"/>
          <w:sz w:val="32"/>
          <w:szCs w:val="32"/>
        </w:rPr>
        <w:t>被上诉人（原审被告）：</w:t>
      </w:r>
      <w:r>
        <w:rPr>
          <w:rFonts w:hint="eastAsia" w:ascii="仿宋_GB2312"/>
          <w:sz w:val="32"/>
          <w:szCs w:val="32"/>
          <w:lang w:eastAsia="zh-CN"/>
        </w:rPr>
        <w:t>北京利某科技股份有限公司</w:t>
      </w:r>
      <w:r>
        <w:rPr>
          <w:rFonts w:hint="eastAsia" w:ascii="仿宋_GB2312"/>
          <w:sz w:val="32"/>
          <w:szCs w:val="32"/>
        </w:rPr>
        <w:t>，住所地北京市。</w:t>
      </w:r>
    </w:p>
    <w:p w14:paraId="41947E25">
      <w:pPr>
        <w:autoSpaceDE w:val="0"/>
        <w:autoSpaceDN w:val="0"/>
        <w:adjustRightInd w:val="0"/>
        <w:spacing w:line="592" w:lineRule="exact"/>
        <w:ind w:firstLine="620" w:firstLineChars="200"/>
        <w:rPr>
          <w:rFonts w:ascii="仿宋_GB2312"/>
          <w:sz w:val="32"/>
          <w:szCs w:val="32"/>
        </w:rPr>
      </w:pPr>
      <w:r>
        <w:rPr>
          <w:rFonts w:hint="eastAsia" w:ascii="仿宋_GB2312"/>
          <w:sz w:val="32"/>
          <w:szCs w:val="32"/>
        </w:rPr>
        <w:t>被上诉人（原审被告）：</w:t>
      </w:r>
      <w:r>
        <w:rPr>
          <w:rFonts w:hint="eastAsia" w:ascii="仿宋_GB2312"/>
          <w:sz w:val="32"/>
          <w:szCs w:val="32"/>
          <w:lang w:eastAsia="zh-CN"/>
        </w:rPr>
        <w:t>浙江天某网络有限公司</w:t>
      </w:r>
      <w:r>
        <w:rPr>
          <w:rFonts w:hint="eastAsia" w:ascii="仿宋_GB2312"/>
          <w:sz w:val="32"/>
          <w:szCs w:val="32"/>
        </w:rPr>
        <w:t>，住所地浙江省杭州市。</w:t>
      </w:r>
    </w:p>
    <w:p w14:paraId="028A6B0B">
      <w:pPr>
        <w:autoSpaceDE w:val="0"/>
        <w:autoSpaceDN w:val="0"/>
        <w:adjustRightInd w:val="0"/>
        <w:spacing w:line="592" w:lineRule="exact"/>
        <w:ind w:firstLine="620" w:firstLineChars="200"/>
        <w:rPr>
          <w:rFonts w:ascii="仿宋_GB2312"/>
          <w:sz w:val="32"/>
          <w:szCs w:val="32"/>
        </w:rPr>
      </w:pPr>
      <w:r>
        <w:rPr>
          <w:rFonts w:hint="eastAsia" w:ascii="仿宋_GB2312"/>
          <w:sz w:val="32"/>
          <w:szCs w:val="32"/>
        </w:rPr>
        <w:t>上诉人</w:t>
      </w:r>
      <w:r>
        <w:rPr>
          <w:rFonts w:hint="eastAsia" w:ascii="仿宋_GB2312"/>
          <w:sz w:val="32"/>
          <w:szCs w:val="32"/>
          <w:lang w:eastAsia="zh-CN"/>
        </w:rPr>
        <w:t>小某电器股份有限公司</w:t>
      </w:r>
      <w:r>
        <w:rPr>
          <w:rFonts w:hint="eastAsia" w:ascii="仿宋_GB2312"/>
          <w:sz w:val="32"/>
          <w:szCs w:val="32"/>
        </w:rPr>
        <w:t>（以下简称</w:t>
      </w:r>
      <w:r>
        <w:rPr>
          <w:rFonts w:hint="eastAsia" w:ascii="仿宋_GB2312"/>
          <w:sz w:val="32"/>
          <w:szCs w:val="32"/>
          <w:lang w:eastAsia="zh-CN"/>
        </w:rPr>
        <w:t>小某公司</w:t>
      </w:r>
      <w:r>
        <w:rPr>
          <w:rFonts w:hint="eastAsia" w:ascii="仿宋_GB2312"/>
          <w:sz w:val="32"/>
          <w:szCs w:val="32"/>
        </w:rPr>
        <w:t>）因与被上诉人</w:t>
      </w:r>
      <w:r>
        <w:rPr>
          <w:rFonts w:hint="eastAsia" w:ascii="仿宋_GB2312"/>
          <w:sz w:val="32"/>
          <w:szCs w:val="32"/>
          <w:lang w:eastAsia="zh-CN"/>
        </w:rPr>
        <w:t>北京利某科技股份有限公司</w:t>
      </w:r>
      <w:r>
        <w:rPr>
          <w:rFonts w:hint="eastAsia" w:ascii="仿宋_GB2312"/>
          <w:sz w:val="32"/>
          <w:szCs w:val="32"/>
        </w:rPr>
        <w:t>（以下简称</w:t>
      </w:r>
      <w:r>
        <w:rPr>
          <w:rFonts w:hint="eastAsia" w:ascii="仿宋_GB2312"/>
          <w:sz w:val="32"/>
          <w:szCs w:val="32"/>
          <w:lang w:eastAsia="zh-CN"/>
        </w:rPr>
        <w:t>利某公司</w:t>
      </w:r>
      <w:r>
        <w:rPr>
          <w:rFonts w:hint="eastAsia" w:ascii="仿宋_GB2312"/>
          <w:sz w:val="32"/>
          <w:szCs w:val="32"/>
        </w:rPr>
        <w:t>）、</w:t>
      </w:r>
      <w:r>
        <w:rPr>
          <w:rFonts w:hint="eastAsia" w:ascii="仿宋_GB2312"/>
          <w:sz w:val="32"/>
          <w:szCs w:val="32"/>
          <w:lang w:eastAsia="zh-CN"/>
        </w:rPr>
        <w:t>浙江天某网络有限公司</w:t>
      </w:r>
      <w:r>
        <w:rPr>
          <w:rFonts w:hint="eastAsia" w:ascii="仿宋_GB2312"/>
          <w:sz w:val="32"/>
          <w:szCs w:val="32"/>
        </w:rPr>
        <w:t>（以下简称</w:t>
      </w:r>
      <w:r>
        <w:rPr>
          <w:rFonts w:hint="eastAsia" w:ascii="仿宋_GB2312"/>
          <w:sz w:val="32"/>
          <w:szCs w:val="32"/>
          <w:lang w:eastAsia="zh-CN"/>
        </w:rPr>
        <w:t>天某公司</w:t>
      </w:r>
      <w:r>
        <w:rPr>
          <w:rFonts w:hint="eastAsia" w:ascii="仿宋_GB2312"/>
          <w:sz w:val="32"/>
          <w:szCs w:val="32"/>
        </w:rPr>
        <w:t>）侵害外观设计专利权纠纷一案，不服浙江省杭州市中级人民法院（2022）浙01民初143号民事裁定，向本院提起上诉。本院于2022年6月29日立案后，依法组成合议庭</w:t>
      </w:r>
      <w:r>
        <w:rPr>
          <w:rFonts w:hint="eastAsia" w:ascii="仿宋_GB2312"/>
          <w:sz w:val="32"/>
          <w:szCs w:val="32"/>
          <w:lang w:eastAsia="zh-CN"/>
        </w:rPr>
        <w:t>审理了本案，</w:t>
      </w:r>
      <w:r>
        <w:rPr>
          <w:rFonts w:hint="eastAsia" w:ascii="仿宋_GB2312"/>
          <w:sz w:val="32"/>
          <w:szCs w:val="32"/>
        </w:rPr>
        <w:t>本案现已审理终结。</w:t>
      </w:r>
    </w:p>
    <w:p w14:paraId="0C6807DA">
      <w:pPr>
        <w:autoSpaceDE w:val="0"/>
        <w:autoSpaceDN w:val="0"/>
        <w:adjustRightInd w:val="0"/>
        <w:spacing w:line="592" w:lineRule="exact"/>
        <w:ind w:firstLine="620" w:firstLineChars="200"/>
        <w:rPr>
          <w:rFonts w:ascii="仿宋_GB2312"/>
          <w:sz w:val="32"/>
          <w:szCs w:val="32"/>
        </w:rPr>
      </w:pPr>
      <w:r>
        <w:rPr>
          <w:rFonts w:hint="eastAsia" w:ascii="仿宋_GB2312"/>
          <w:sz w:val="32"/>
          <w:szCs w:val="32"/>
          <w:lang w:eastAsia="zh-CN"/>
        </w:rPr>
        <w:t>小某公司</w:t>
      </w:r>
      <w:r>
        <w:rPr>
          <w:rFonts w:hint="eastAsia" w:ascii="仿宋_GB2312"/>
          <w:sz w:val="32"/>
          <w:szCs w:val="32"/>
        </w:rPr>
        <w:t>上诉请求：撤销一审裁定，</w:t>
      </w:r>
      <w:r>
        <w:rPr>
          <w:rFonts w:hint="eastAsia" w:ascii="仿宋_GB2312"/>
          <w:sz w:val="32"/>
          <w:szCs w:val="32"/>
          <w:lang w:eastAsia="zh-CN"/>
        </w:rPr>
        <w:t>指定</w:t>
      </w:r>
      <w:r>
        <w:rPr>
          <w:rFonts w:hint="eastAsia" w:ascii="仿宋_GB2312"/>
          <w:sz w:val="32"/>
          <w:szCs w:val="32"/>
        </w:rPr>
        <w:t>一审法院继续审理本案。事实与理由：（一）一审法院适用法律错误。专利权评价报告并非行政决定，仅为专利权是否稳定的初步参考依据</w:t>
      </w:r>
      <w:r>
        <w:rPr>
          <w:rFonts w:hint="eastAsia" w:ascii="仿宋_GB2312"/>
          <w:sz w:val="32"/>
          <w:szCs w:val="32"/>
          <w:lang w:eastAsia="zh-CN"/>
        </w:rPr>
        <w:t>；且</w:t>
      </w:r>
      <w:r>
        <w:rPr>
          <w:rFonts w:hint="eastAsia" w:ascii="仿宋_GB2312"/>
          <w:sz w:val="32"/>
          <w:szCs w:val="32"/>
        </w:rPr>
        <w:t>根据《最高人民法院关于审理专利纠纷案件适用法律问题的若干规定》第四条第一款的规定，</w:t>
      </w:r>
      <w:r>
        <w:rPr>
          <w:rFonts w:hint="eastAsia" w:ascii="仿宋_GB2312"/>
          <w:sz w:val="32"/>
          <w:szCs w:val="32"/>
          <w:lang w:eastAsia="zh-CN"/>
        </w:rPr>
        <w:t>其</w:t>
      </w:r>
      <w:r>
        <w:rPr>
          <w:rFonts w:hint="eastAsia" w:ascii="仿宋_GB2312"/>
          <w:sz w:val="32"/>
          <w:szCs w:val="32"/>
        </w:rPr>
        <w:t>未提交专利权评价报告，</w:t>
      </w:r>
      <w:r>
        <w:rPr>
          <w:rFonts w:hint="eastAsia" w:ascii="仿宋_GB2312"/>
          <w:sz w:val="32"/>
          <w:szCs w:val="32"/>
          <w:lang w:eastAsia="zh-CN"/>
        </w:rPr>
        <w:t>法院</w:t>
      </w:r>
      <w:r>
        <w:rPr>
          <w:rFonts w:hint="eastAsia" w:ascii="仿宋_GB2312"/>
          <w:sz w:val="32"/>
          <w:szCs w:val="32"/>
        </w:rPr>
        <w:t>可以裁定中止诉讼或者判令</w:t>
      </w:r>
      <w:r>
        <w:rPr>
          <w:rFonts w:hint="eastAsia" w:ascii="仿宋_GB2312"/>
          <w:sz w:val="32"/>
          <w:szCs w:val="32"/>
          <w:lang w:eastAsia="zh-CN"/>
        </w:rPr>
        <w:t>其</w:t>
      </w:r>
      <w:r>
        <w:rPr>
          <w:rFonts w:hint="eastAsia" w:ascii="仿宋_GB2312"/>
          <w:sz w:val="32"/>
          <w:szCs w:val="32"/>
        </w:rPr>
        <w:t>承担可能的不利后果，</w:t>
      </w:r>
      <w:r>
        <w:rPr>
          <w:rFonts w:hint="eastAsia" w:ascii="仿宋_GB2312"/>
          <w:sz w:val="32"/>
          <w:szCs w:val="32"/>
          <w:lang w:eastAsia="zh-CN"/>
        </w:rPr>
        <w:t>而非</w:t>
      </w:r>
      <w:r>
        <w:rPr>
          <w:rFonts w:hint="eastAsia" w:ascii="仿宋_GB2312"/>
          <w:sz w:val="32"/>
          <w:szCs w:val="32"/>
        </w:rPr>
        <w:t>直接裁定驳回起诉。（二）一审法院裁定违反“同案同判”。最高人民法院</w:t>
      </w:r>
      <w:r>
        <w:rPr>
          <w:rFonts w:hint="eastAsia" w:ascii="仿宋_GB2312"/>
          <w:sz w:val="32"/>
          <w:szCs w:val="32"/>
          <w:lang w:eastAsia="zh-CN"/>
        </w:rPr>
        <w:t>审理的</w:t>
      </w:r>
      <w:r>
        <w:rPr>
          <w:rFonts w:hint="eastAsia" w:ascii="仿宋_GB2312"/>
          <w:sz w:val="32"/>
          <w:szCs w:val="32"/>
        </w:rPr>
        <w:t>（2020）最高法民再383号</w:t>
      </w:r>
      <w:r>
        <w:rPr>
          <w:rFonts w:hint="eastAsia" w:ascii="仿宋_GB2312"/>
          <w:sz w:val="32"/>
          <w:szCs w:val="32"/>
          <w:lang w:eastAsia="zh-CN"/>
        </w:rPr>
        <w:t>案件</w:t>
      </w:r>
      <w:r>
        <w:rPr>
          <w:rFonts w:hint="eastAsia" w:ascii="仿宋_GB2312"/>
          <w:sz w:val="32"/>
          <w:szCs w:val="32"/>
        </w:rPr>
        <w:t>与本案</w:t>
      </w:r>
      <w:r>
        <w:rPr>
          <w:rFonts w:hint="eastAsia" w:ascii="仿宋_GB2312"/>
          <w:sz w:val="32"/>
          <w:szCs w:val="32"/>
          <w:lang w:eastAsia="zh-CN"/>
        </w:rPr>
        <w:t>系</w:t>
      </w:r>
      <w:r>
        <w:rPr>
          <w:rFonts w:hint="eastAsia" w:ascii="仿宋_GB2312"/>
          <w:sz w:val="32"/>
          <w:szCs w:val="32"/>
        </w:rPr>
        <w:t>类案，</w:t>
      </w:r>
      <w:r>
        <w:rPr>
          <w:rFonts w:hint="eastAsia" w:ascii="仿宋_GB2312"/>
          <w:sz w:val="32"/>
          <w:szCs w:val="32"/>
          <w:lang w:eastAsia="zh-CN"/>
        </w:rPr>
        <w:t>该案民事</w:t>
      </w:r>
      <w:r>
        <w:rPr>
          <w:rFonts w:hint="eastAsia" w:ascii="仿宋_GB2312"/>
          <w:sz w:val="32"/>
          <w:szCs w:val="32"/>
        </w:rPr>
        <w:t>裁定指出“原告未能根据人民法院的要求提交专利权评价报告，但能够证明涉案专利权仍然合法有效的，不应以原告拒不提交专利权评价报告为由裁定驳回起诉”</w:t>
      </w:r>
      <w:r>
        <w:rPr>
          <w:rFonts w:hint="eastAsia" w:ascii="仿宋_GB2312"/>
          <w:sz w:val="32"/>
          <w:szCs w:val="32"/>
          <w:lang w:eastAsia="zh-CN"/>
        </w:rPr>
        <w:t>，故</w:t>
      </w:r>
      <w:r>
        <w:rPr>
          <w:rFonts w:hint="eastAsia" w:ascii="仿宋_GB2312"/>
          <w:sz w:val="32"/>
          <w:szCs w:val="32"/>
        </w:rPr>
        <w:t>一审法院以</w:t>
      </w:r>
      <w:r>
        <w:rPr>
          <w:rFonts w:hint="eastAsia" w:ascii="仿宋_GB2312"/>
          <w:sz w:val="32"/>
          <w:szCs w:val="32"/>
          <w:lang w:eastAsia="zh-CN"/>
        </w:rPr>
        <w:t>小某公司</w:t>
      </w:r>
      <w:r>
        <w:rPr>
          <w:rFonts w:hint="eastAsia" w:ascii="仿宋_GB2312"/>
          <w:sz w:val="32"/>
          <w:szCs w:val="32"/>
        </w:rPr>
        <w:t>未提交专利权评价报告为由</w:t>
      </w:r>
      <w:r>
        <w:rPr>
          <w:rFonts w:hint="eastAsia" w:ascii="仿宋_GB2312"/>
          <w:sz w:val="32"/>
          <w:szCs w:val="32"/>
          <w:lang w:eastAsia="zh-CN"/>
        </w:rPr>
        <w:t>裁定</w:t>
      </w:r>
      <w:r>
        <w:rPr>
          <w:rFonts w:hint="eastAsia" w:ascii="仿宋_GB2312"/>
          <w:sz w:val="32"/>
          <w:szCs w:val="32"/>
        </w:rPr>
        <w:t>驳回起诉</w:t>
      </w:r>
      <w:r>
        <w:rPr>
          <w:rFonts w:hint="eastAsia" w:ascii="仿宋_GB2312"/>
          <w:sz w:val="32"/>
          <w:szCs w:val="32"/>
          <w:lang w:eastAsia="zh-CN"/>
        </w:rPr>
        <w:t>不当</w:t>
      </w:r>
      <w:r>
        <w:rPr>
          <w:rFonts w:hint="eastAsia" w:ascii="仿宋_GB2312"/>
          <w:sz w:val="32"/>
          <w:szCs w:val="32"/>
        </w:rPr>
        <w:t>。</w:t>
      </w:r>
    </w:p>
    <w:p w14:paraId="512AB652">
      <w:pPr>
        <w:autoSpaceDE w:val="0"/>
        <w:autoSpaceDN w:val="0"/>
        <w:adjustRightInd w:val="0"/>
        <w:spacing w:line="592" w:lineRule="exact"/>
        <w:ind w:firstLine="620" w:firstLineChars="200"/>
        <w:rPr>
          <w:rFonts w:hint="eastAsia" w:ascii="仿宋_GB2312"/>
          <w:sz w:val="32"/>
          <w:szCs w:val="32"/>
        </w:rPr>
      </w:pPr>
      <w:r>
        <w:rPr>
          <w:rFonts w:hint="eastAsia" w:ascii="仿宋_GB2312"/>
          <w:sz w:val="32"/>
          <w:szCs w:val="32"/>
          <w:lang w:eastAsia="zh-CN"/>
        </w:rPr>
        <w:t>利某公司</w:t>
      </w:r>
      <w:r>
        <w:rPr>
          <w:rFonts w:hint="eastAsia" w:ascii="仿宋_GB2312"/>
          <w:sz w:val="32"/>
          <w:szCs w:val="32"/>
        </w:rPr>
        <w:t>、</w:t>
      </w:r>
      <w:r>
        <w:rPr>
          <w:rFonts w:hint="eastAsia" w:ascii="仿宋_GB2312"/>
          <w:sz w:val="32"/>
          <w:szCs w:val="32"/>
          <w:lang w:eastAsia="zh-CN"/>
        </w:rPr>
        <w:t>天某公司</w:t>
      </w:r>
      <w:r>
        <w:rPr>
          <w:rFonts w:hint="eastAsia" w:ascii="仿宋_GB2312"/>
          <w:sz w:val="32"/>
          <w:szCs w:val="32"/>
        </w:rPr>
        <w:t>未</w:t>
      </w:r>
      <w:r>
        <w:rPr>
          <w:rFonts w:hint="eastAsia" w:ascii="仿宋_GB2312"/>
          <w:sz w:val="32"/>
          <w:szCs w:val="32"/>
          <w:lang w:eastAsia="zh-CN"/>
        </w:rPr>
        <w:t>作</w:t>
      </w:r>
      <w:r>
        <w:rPr>
          <w:rFonts w:hint="eastAsia" w:ascii="仿宋_GB2312"/>
          <w:sz w:val="32"/>
          <w:szCs w:val="32"/>
        </w:rPr>
        <w:t>答辩。</w:t>
      </w:r>
    </w:p>
    <w:p w14:paraId="778CD377">
      <w:pPr>
        <w:overflowPunct w:val="0"/>
        <w:autoSpaceDE w:val="0"/>
        <w:autoSpaceDN w:val="0"/>
        <w:spacing w:line="592" w:lineRule="exact"/>
        <w:ind w:firstLine="620" w:firstLineChars="200"/>
        <w:rPr>
          <w:rFonts w:hint="eastAsia" w:ascii="仿宋_GB2312" w:hAnsi="宋体" w:cs="Arial Unicode MS"/>
          <w:sz w:val="32"/>
          <w:szCs w:val="32"/>
        </w:rPr>
      </w:pPr>
      <w:r>
        <w:rPr>
          <w:rFonts w:hint="eastAsia" w:ascii="仿宋_GB2312"/>
          <w:sz w:val="32"/>
          <w:szCs w:val="32"/>
          <w:lang w:eastAsia="zh-CN"/>
        </w:rPr>
        <w:t>小某公司</w:t>
      </w:r>
      <w:r>
        <w:rPr>
          <w:rFonts w:hint="eastAsia" w:ascii="仿宋_GB2312"/>
          <w:sz w:val="32"/>
          <w:szCs w:val="32"/>
        </w:rPr>
        <w:t>向一审法院起诉，请求判令：1.</w:t>
      </w:r>
      <w:r>
        <w:rPr>
          <w:rFonts w:hint="eastAsia" w:ascii="仿宋_GB2312"/>
          <w:sz w:val="32"/>
          <w:szCs w:val="32"/>
          <w:lang w:eastAsia="zh-CN"/>
        </w:rPr>
        <w:t>利某公司立即</w:t>
      </w:r>
      <w:r>
        <w:rPr>
          <w:rFonts w:hint="eastAsia" w:ascii="仿宋_GB2312"/>
          <w:sz w:val="32"/>
          <w:szCs w:val="32"/>
        </w:rPr>
        <w:t>停止侵害</w:t>
      </w:r>
      <w:r>
        <w:rPr>
          <w:rFonts w:hint="eastAsia" w:ascii="仿宋_GB2312"/>
          <w:sz w:val="32"/>
          <w:szCs w:val="32"/>
          <w:lang w:eastAsia="zh-CN"/>
        </w:rPr>
        <w:t>小某公司</w:t>
      </w:r>
      <w:r>
        <w:rPr>
          <w:rFonts w:hint="eastAsia" w:ascii="仿宋_GB2312"/>
          <w:sz w:val="32"/>
          <w:szCs w:val="32"/>
        </w:rPr>
        <w:t>享有的专利号为</w:t>
      </w:r>
      <w:bookmarkStart w:id="0" w:name="_GoBack"/>
      <w:bookmarkEnd w:id="0"/>
      <w:r>
        <w:rPr>
          <w:rFonts w:hint="eastAsia" w:ascii="仿宋_GB2312"/>
          <w:sz w:val="32"/>
          <w:szCs w:val="32"/>
          <w:lang w:eastAsia="zh-CN"/>
        </w:rPr>
        <w:t>ZL2019xxxx8429.9</w:t>
      </w:r>
      <w:r>
        <w:rPr>
          <w:rFonts w:hint="eastAsia" w:ascii="仿宋_GB2312"/>
          <w:sz w:val="32"/>
          <w:szCs w:val="32"/>
        </w:rPr>
        <w:t>、名称为“电烤炉（dkl-cl5gl）”外观设计专利权的产品的行为，包括停止制造、销售、许诺销售侵权产品，并销毁尚未出售的侵权产品库存及相关生产、宣传资料；2.</w:t>
      </w:r>
      <w:r>
        <w:rPr>
          <w:rFonts w:hint="eastAsia" w:ascii="仿宋_GB2312"/>
          <w:sz w:val="32"/>
          <w:szCs w:val="32"/>
          <w:lang w:eastAsia="zh-CN"/>
        </w:rPr>
        <w:t>天某公司</w:t>
      </w:r>
      <w:r>
        <w:rPr>
          <w:rFonts w:hint="eastAsia" w:ascii="仿宋_GB2312"/>
          <w:sz w:val="32"/>
          <w:szCs w:val="32"/>
        </w:rPr>
        <w:t>停止侵权行为，立即下架其所经营的“天猫”电商平台上相关店铺的被诉侵权产品，删除商品</w:t>
      </w:r>
      <w:r>
        <w:rPr>
          <w:rFonts w:hint="eastAsia" w:ascii="仿宋_GB2312" w:hAnsi="宋体" w:cs="Arial Unicode MS"/>
          <w:sz w:val="32"/>
          <w:szCs w:val="32"/>
        </w:rPr>
        <w:t>链接</w:t>
      </w:r>
      <w:r>
        <w:rPr>
          <w:rFonts w:hint="eastAsia" w:ascii="仿宋_GB2312" w:hAnsi="宋体" w:cs="Arial Unicode MS"/>
          <w:sz w:val="32"/>
          <w:szCs w:val="32"/>
          <w:lang w:eastAsia="zh-CN"/>
        </w:rPr>
        <w:t>；</w:t>
      </w:r>
      <w:r>
        <w:rPr>
          <w:rFonts w:hint="eastAsia" w:ascii="仿宋_GB2312" w:hAnsi="宋体" w:cs="Arial Unicode MS"/>
          <w:sz w:val="32"/>
          <w:szCs w:val="32"/>
          <w:lang w:val="en-US" w:eastAsia="zh-CN"/>
        </w:rPr>
        <w:t>3.</w:t>
      </w:r>
      <w:r>
        <w:rPr>
          <w:rFonts w:hint="eastAsia" w:ascii="仿宋_GB2312"/>
          <w:sz w:val="32"/>
          <w:szCs w:val="32"/>
          <w:lang w:eastAsia="zh-CN"/>
        </w:rPr>
        <w:t>利某公司</w:t>
      </w:r>
      <w:r>
        <w:rPr>
          <w:rFonts w:hint="eastAsia" w:ascii="仿宋_GB2312"/>
          <w:sz w:val="32"/>
          <w:szCs w:val="32"/>
        </w:rPr>
        <w:t>赔偿</w:t>
      </w:r>
      <w:r>
        <w:rPr>
          <w:rFonts w:hint="eastAsia" w:ascii="仿宋_GB2312"/>
          <w:sz w:val="32"/>
          <w:szCs w:val="32"/>
          <w:lang w:eastAsia="zh-CN"/>
        </w:rPr>
        <w:t>小某公司</w:t>
      </w:r>
      <w:r>
        <w:rPr>
          <w:rFonts w:hint="eastAsia" w:ascii="仿宋_GB2312"/>
          <w:sz w:val="32"/>
          <w:szCs w:val="32"/>
        </w:rPr>
        <w:t>经济损失（含合理维权费用）250万元；</w:t>
      </w:r>
      <w:r>
        <w:rPr>
          <w:rFonts w:hint="eastAsia" w:ascii="仿宋_GB2312"/>
          <w:sz w:val="32"/>
          <w:szCs w:val="32"/>
          <w:lang w:val="en-US" w:eastAsia="zh-CN"/>
        </w:rPr>
        <w:t>4</w:t>
      </w:r>
      <w:r>
        <w:rPr>
          <w:rFonts w:hint="eastAsia" w:ascii="仿宋_GB2312"/>
          <w:sz w:val="32"/>
          <w:szCs w:val="32"/>
        </w:rPr>
        <w:t>.</w:t>
      </w:r>
      <w:r>
        <w:rPr>
          <w:rFonts w:hint="eastAsia" w:ascii="仿宋_GB2312"/>
          <w:sz w:val="32"/>
          <w:szCs w:val="32"/>
          <w:lang w:eastAsia="zh-CN"/>
        </w:rPr>
        <w:t>利某公司</w:t>
      </w:r>
      <w:r>
        <w:rPr>
          <w:rFonts w:hint="eastAsia" w:ascii="仿宋_GB2312"/>
          <w:sz w:val="32"/>
          <w:szCs w:val="32"/>
        </w:rPr>
        <w:t>承担本案诉讼费用。</w:t>
      </w:r>
    </w:p>
    <w:p w14:paraId="0A662616">
      <w:pPr>
        <w:overflowPunct w:val="0"/>
        <w:autoSpaceDE w:val="0"/>
        <w:autoSpaceDN w:val="0"/>
        <w:spacing w:line="592" w:lineRule="exact"/>
        <w:ind w:firstLine="620" w:firstLineChars="200"/>
        <w:rPr>
          <w:rFonts w:ascii="仿宋_GB2312" w:hAnsi="宋体" w:cs="Arial Unicode MS"/>
          <w:sz w:val="32"/>
          <w:szCs w:val="32"/>
        </w:rPr>
      </w:pPr>
      <w:r>
        <w:rPr>
          <w:rFonts w:hint="eastAsia" w:ascii="仿宋_GB2312" w:hAnsi="宋体" w:cs="Arial Unicode MS"/>
          <w:sz w:val="32"/>
          <w:szCs w:val="32"/>
          <w:lang w:eastAsia="zh-CN"/>
        </w:rPr>
        <w:t>本案在</w:t>
      </w:r>
      <w:r>
        <w:rPr>
          <w:rFonts w:hint="eastAsia" w:ascii="仿宋_GB2312" w:hAnsi="宋体" w:cs="Arial Unicode MS"/>
          <w:sz w:val="32"/>
          <w:szCs w:val="32"/>
        </w:rPr>
        <w:t>一审过程中，</w:t>
      </w:r>
      <w:r>
        <w:rPr>
          <w:rFonts w:hint="eastAsia" w:ascii="仿宋_GB2312" w:hAnsi="宋体" w:cs="Arial Unicode MS"/>
          <w:sz w:val="32"/>
          <w:szCs w:val="32"/>
          <w:lang w:eastAsia="zh-CN"/>
        </w:rPr>
        <w:t>小某公司</w:t>
      </w:r>
      <w:r>
        <w:rPr>
          <w:rFonts w:hint="eastAsia" w:ascii="仿宋_GB2312" w:hAnsi="宋体" w:cs="Arial Unicode MS"/>
          <w:sz w:val="32"/>
          <w:szCs w:val="32"/>
        </w:rPr>
        <w:t>起诉时未提交涉案外观设计专利权评价报告，</w:t>
      </w:r>
      <w:r>
        <w:rPr>
          <w:rFonts w:hint="eastAsia" w:ascii="仿宋_GB2312" w:hAnsi="宋体" w:cs="Arial Unicode MS"/>
          <w:sz w:val="32"/>
          <w:szCs w:val="32"/>
          <w:lang w:eastAsia="zh-CN"/>
        </w:rPr>
        <w:t>一审法</w:t>
      </w:r>
      <w:r>
        <w:rPr>
          <w:rFonts w:hint="eastAsia" w:ascii="仿宋_GB2312" w:hAnsi="宋体" w:cs="Arial Unicode MS"/>
          <w:sz w:val="32"/>
          <w:szCs w:val="32"/>
        </w:rPr>
        <w:t>院于2022年2月17日立案时进行了释明，</w:t>
      </w:r>
      <w:r>
        <w:rPr>
          <w:rFonts w:hint="eastAsia" w:ascii="仿宋_GB2312" w:hAnsi="宋体" w:cs="Arial Unicode MS"/>
          <w:sz w:val="32"/>
          <w:szCs w:val="32"/>
          <w:lang w:eastAsia="zh-CN"/>
        </w:rPr>
        <w:t>小某公司</w:t>
      </w:r>
      <w:r>
        <w:rPr>
          <w:rFonts w:hint="eastAsia" w:ascii="仿宋_GB2312" w:hAnsi="宋体" w:cs="Arial Unicode MS"/>
          <w:sz w:val="32"/>
          <w:szCs w:val="32"/>
        </w:rPr>
        <w:t>亦出具情况说明知悉相关诉讼风险。该院于2022年3月7日再次要求</w:t>
      </w:r>
      <w:r>
        <w:rPr>
          <w:rFonts w:hint="eastAsia" w:ascii="仿宋_GB2312" w:hAnsi="宋体" w:cs="Arial Unicode MS"/>
          <w:sz w:val="32"/>
          <w:szCs w:val="32"/>
          <w:lang w:eastAsia="zh-CN"/>
        </w:rPr>
        <w:t>小某公司</w:t>
      </w:r>
      <w:r>
        <w:rPr>
          <w:rFonts w:hint="eastAsia" w:ascii="仿宋_GB2312" w:hAnsi="宋体" w:cs="Arial Unicode MS"/>
          <w:sz w:val="32"/>
          <w:szCs w:val="32"/>
        </w:rPr>
        <w:t>在指定期限内补充提交涉案专利权评价报告，</w:t>
      </w:r>
      <w:r>
        <w:rPr>
          <w:rFonts w:hint="eastAsia" w:ascii="仿宋_GB2312" w:hAnsi="宋体" w:cs="Arial Unicode MS"/>
          <w:sz w:val="32"/>
          <w:szCs w:val="32"/>
          <w:lang w:eastAsia="zh-CN"/>
        </w:rPr>
        <w:t>小某公司</w:t>
      </w:r>
      <w:r>
        <w:rPr>
          <w:rFonts w:hint="eastAsia" w:ascii="仿宋_GB2312" w:hAnsi="宋体" w:cs="Arial Unicode MS"/>
          <w:sz w:val="32"/>
          <w:szCs w:val="32"/>
        </w:rPr>
        <w:t>无正当理由至今未按要求提交专利权评价报告或缴纳涉案专利权评价报告请求费的凭据。</w:t>
      </w:r>
    </w:p>
    <w:p w14:paraId="6CB3EDA7">
      <w:pPr>
        <w:overflowPunct w:val="0"/>
        <w:autoSpaceDE w:val="0"/>
        <w:autoSpaceDN w:val="0"/>
        <w:spacing w:line="592" w:lineRule="exact"/>
        <w:ind w:firstLine="620" w:firstLineChars="200"/>
        <w:rPr>
          <w:rFonts w:ascii="仿宋_GB2312" w:hAnsi="宋体" w:cs="Arial Unicode MS"/>
          <w:sz w:val="32"/>
          <w:szCs w:val="32"/>
        </w:rPr>
      </w:pPr>
      <w:r>
        <w:rPr>
          <w:rFonts w:hint="eastAsia" w:ascii="仿宋_GB2312" w:hAnsi="宋体" w:cs="Arial Unicode MS"/>
          <w:sz w:val="32"/>
          <w:szCs w:val="32"/>
          <w:lang w:eastAsia="zh-CN"/>
        </w:rPr>
        <w:t>一审法院认为，</w:t>
      </w:r>
      <w:r>
        <w:rPr>
          <w:rFonts w:hint="eastAsia" w:ascii="仿宋_GB2312" w:hAnsi="仿宋_GB2312" w:eastAsia="仿宋_GB2312" w:cs="仿宋_GB2312"/>
          <w:kern w:val="0"/>
          <w:sz w:val="32"/>
          <w:szCs w:val="32"/>
          <w:lang w:val="zh-CN"/>
        </w:rPr>
        <w:t>《中华人民共和国专利法》第六十六条第二款规定：“专利侵权纠纷涉及实用新型专利或者外观设计专利的,人民法院或者管理专利工作的部门可以要求专利权人或者利害关系人出具由国务院专利行政部门对相关实用新型或者外观设计进行检索、分析和评价后作出的专利权评价报告,作为审理、处理专利侵权纠纷的证据”。《最高人民法院关于审理专利纠纷案件适用法律问题的若干规定》第四条第一款规定：“对申请日在2009年10月1日以后的实用新型或者外观设计专利提起侵犯专利权诉讼,原告可以出具由国务院专利行政部门作出的专利权评价报告。根据案件审理需要,人民法院可以要求原告提交检索报告或者专利权评价报告。原告无正当理由不提交的,人民法院可以裁定中止诉讼或者判令原告承担可能的不利后果”。</w:t>
      </w:r>
      <w:r>
        <w:rPr>
          <w:rFonts w:hint="eastAsia" w:ascii="仿宋_GB2312" w:hAnsi="宋体" w:cs="Arial Unicode MS"/>
          <w:sz w:val="32"/>
          <w:szCs w:val="32"/>
        </w:rPr>
        <w:t>在我国现行的专利审查制度中，实用新型和外观设计专利均不经过实质审查，其有效性在后续行政程序中经常受到挑战。专利权评价报告是对实用新型专利和外观设计专利是否符合专利法及其实施细则规定的授权条件的评价，可以为法院考量实用新型和外观设计专利的效力稳定性提供参考。本案中，</w:t>
      </w:r>
      <w:r>
        <w:rPr>
          <w:rFonts w:hint="eastAsia" w:ascii="仿宋_GB2312" w:hAnsi="宋体" w:cs="Arial Unicode MS"/>
          <w:sz w:val="32"/>
          <w:szCs w:val="32"/>
          <w:lang w:eastAsia="zh-CN"/>
        </w:rPr>
        <w:t>小某公司</w:t>
      </w:r>
      <w:r>
        <w:rPr>
          <w:rFonts w:hint="eastAsia" w:ascii="仿宋_GB2312" w:hAnsi="宋体" w:cs="Arial Unicode MS"/>
          <w:sz w:val="32"/>
          <w:szCs w:val="32"/>
        </w:rPr>
        <w:t>经</w:t>
      </w:r>
      <w:r>
        <w:rPr>
          <w:rFonts w:hint="eastAsia" w:ascii="仿宋_GB2312" w:hAnsi="宋体" w:cs="Arial Unicode MS"/>
          <w:sz w:val="32"/>
          <w:szCs w:val="32"/>
          <w:lang w:eastAsia="zh-CN"/>
        </w:rPr>
        <w:t>一审法院</w:t>
      </w:r>
      <w:r>
        <w:rPr>
          <w:rFonts w:hint="eastAsia" w:ascii="仿宋_GB2312" w:hAnsi="宋体" w:cs="Arial Unicode MS"/>
          <w:sz w:val="32"/>
          <w:szCs w:val="32"/>
        </w:rPr>
        <w:t>释明和催促，在合理期间内仍无正当理由拒不提交专利权评价报告，该院有理由认为涉案专利权存在效力不稳定的情形，依法应驳回起诉。若</w:t>
      </w:r>
      <w:r>
        <w:rPr>
          <w:rFonts w:hint="eastAsia" w:ascii="仿宋_GB2312" w:hAnsi="宋体" w:cs="Arial Unicode MS"/>
          <w:sz w:val="32"/>
          <w:szCs w:val="32"/>
          <w:lang w:eastAsia="zh-CN"/>
        </w:rPr>
        <w:t>小某公司</w:t>
      </w:r>
      <w:r>
        <w:rPr>
          <w:rFonts w:hint="eastAsia" w:ascii="仿宋_GB2312" w:hAnsi="宋体" w:cs="Arial Unicode MS"/>
          <w:sz w:val="32"/>
          <w:szCs w:val="32"/>
        </w:rPr>
        <w:t>能证明其专利权效力稳定，可另行起诉。</w:t>
      </w:r>
    </w:p>
    <w:p w14:paraId="27D1235A">
      <w:pPr>
        <w:overflowPunct w:val="0"/>
        <w:autoSpaceDE w:val="0"/>
        <w:autoSpaceDN w:val="0"/>
        <w:spacing w:line="592" w:lineRule="exact"/>
        <w:ind w:firstLine="620" w:firstLineChars="200"/>
        <w:rPr>
          <w:rFonts w:ascii="仿宋_GB2312" w:hAnsi="宋体" w:cs="Arial Unicode MS"/>
          <w:sz w:val="32"/>
          <w:szCs w:val="32"/>
        </w:rPr>
      </w:pPr>
      <w:r>
        <w:rPr>
          <w:rFonts w:hint="eastAsia" w:ascii="仿宋_GB2312" w:hAnsi="宋体" w:cs="Arial Unicode MS"/>
          <w:sz w:val="32"/>
          <w:szCs w:val="32"/>
        </w:rPr>
        <w:t>一审法院依照《中华人民共和国专利法》第六十六条第二款,《最高人民法院关于审理专利权纠纷案件适用法律问题的若干规定》第四条第一款,《中华人民共和国民事诉讼法》第一百二十二条、第一百五十七条第一款第三项,《最高人民法院关于适用〈中华人民共和国民事诉讼法〉的解释》第二百零八条第三款之规定，于202</w:t>
      </w:r>
      <w:r>
        <w:rPr>
          <w:rFonts w:ascii="仿宋_GB2312" w:hAnsi="宋体" w:cs="Arial Unicode MS"/>
          <w:sz w:val="32"/>
          <w:szCs w:val="32"/>
        </w:rPr>
        <w:t>2</w:t>
      </w:r>
      <w:r>
        <w:rPr>
          <w:rFonts w:hint="eastAsia" w:ascii="仿宋_GB2312" w:hAnsi="宋体" w:cs="Arial Unicode MS"/>
          <w:sz w:val="32"/>
          <w:szCs w:val="32"/>
        </w:rPr>
        <w:t>年</w:t>
      </w:r>
      <w:r>
        <w:rPr>
          <w:rFonts w:ascii="仿宋_GB2312" w:hAnsi="宋体" w:cs="Arial Unicode MS"/>
          <w:sz w:val="32"/>
          <w:szCs w:val="32"/>
        </w:rPr>
        <w:t>5</w:t>
      </w:r>
      <w:r>
        <w:rPr>
          <w:rFonts w:hint="eastAsia" w:ascii="仿宋_GB2312" w:hAnsi="宋体" w:cs="Arial Unicode MS"/>
          <w:sz w:val="32"/>
          <w:szCs w:val="32"/>
        </w:rPr>
        <w:t>月</w:t>
      </w:r>
      <w:r>
        <w:rPr>
          <w:rFonts w:ascii="仿宋_GB2312" w:hAnsi="宋体" w:cs="Arial Unicode MS"/>
          <w:sz w:val="32"/>
          <w:szCs w:val="32"/>
        </w:rPr>
        <w:t>17</w:t>
      </w:r>
      <w:r>
        <w:rPr>
          <w:rFonts w:hint="eastAsia" w:ascii="仿宋_GB2312" w:hAnsi="宋体" w:cs="Arial Unicode MS"/>
          <w:sz w:val="32"/>
          <w:szCs w:val="32"/>
        </w:rPr>
        <w:t>日裁定</w:t>
      </w:r>
      <w:r>
        <w:rPr>
          <w:rFonts w:ascii="仿宋_GB2312" w:hAnsi="宋体" w:cs="Arial Unicode MS"/>
          <w:sz w:val="32"/>
          <w:szCs w:val="32"/>
        </w:rPr>
        <w:t>：</w:t>
      </w:r>
      <w:r>
        <w:rPr>
          <w:rFonts w:hint="eastAsia" w:ascii="仿宋_GB2312" w:hAnsi="宋体" w:cs="Arial Unicode MS"/>
          <w:sz w:val="32"/>
          <w:szCs w:val="32"/>
        </w:rPr>
        <w:t>驳回</w:t>
      </w:r>
      <w:r>
        <w:rPr>
          <w:rFonts w:hint="eastAsia" w:ascii="仿宋_GB2312" w:hAnsi="宋体" w:cs="Arial Unicode MS"/>
          <w:sz w:val="32"/>
          <w:szCs w:val="32"/>
          <w:lang w:eastAsia="zh-CN"/>
        </w:rPr>
        <w:t>小某公司</w:t>
      </w:r>
      <w:r>
        <w:rPr>
          <w:rFonts w:hint="eastAsia" w:ascii="仿宋_GB2312" w:hAnsi="宋体" w:cs="Arial Unicode MS"/>
          <w:sz w:val="32"/>
          <w:szCs w:val="32"/>
        </w:rPr>
        <w:t>的起诉。</w:t>
      </w:r>
    </w:p>
    <w:p w14:paraId="617AAE48">
      <w:pPr>
        <w:autoSpaceDE w:val="0"/>
        <w:autoSpaceDN w:val="0"/>
        <w:adjustRightInd w:val="0"/>
        <w:spacing w:line="592" w:lineRule="exact"/>
        <w:ind w:firstLine="620" w:firstLineChars="200"/>
        <w:rPr>
          <w:rFonts w:hint="eastAsia" w:ascii="仿宋_GB2312"/>
          <w:sz w:val="32"/>
          <w:szCs w:val="32"/>
        </w:rPr>
      </w:pPr>
      <w:r>
        <w:rPr>
          <w:rFonts w:hint="eastAsia" w:ascii="仿宋_GB2312"/>
          <w:sz w:val="32"/>
          <w:szCs w:val="32"/>
        </w:rPr>
        <w:t>本院认为，</w:t>
      </w:r>
      <w:r>
        <w:rPr>
          <w:rFonts w:hint="eastAsia" w:ascii="仿宋_GB2312"/>
          <w:sz w:val="32"/>
          <w:szCs w:val="32"/>
          <w:lang w:eastAsia="zh-CN"/>
        </w:rPr>
        <w:t>根据</w:t>
      </w:r>
      <w:r>
        <w:rPr>
          <w:rFonts w:hint="eastAsia" w:ascii="仿宋_GB2312" w:hAnsi="仿宋_GB2312" w:eastAsia="仿宋_GB2312" w:cs="仿宋_GB2312"/>
          <w:kern w:val="0"/>
          <w:sz w:val="32"/>
          <w:szCs w:val="32"/>
          <w:lang w:val="zh-CN"/>
        </w:rPr>
        <w:t>《最高人民法院关于审理专利纠纷案件适用法律问题的若干规定》第四条第一款规定</w:t>
      </w:r>
      <w:r>
        <w:rPr>
          <w:rFonts w:hint="eastAsia" w:ascii="仿宋_GB2312" w:hAnsi="仿宋_GB2312" w:cs="仿宋_GB2312"/>
          <w:kern w:val="0"/>
          <w:sz w:val="32"/>
          <w:szCs w:val="32"/>
          <w:lang w:val="zh-CN"/>
        </w:rPr>
        <w:t>，法院</w:t>
      </w:r>
      <w:r>
        <w:rPr>
          <w:rFonts w:hint="eastAsia" w:ascii="仿宋_GB2312" w:hAnsi="仿宋_GB2312" w:eastAsia="仿宋_GB2312" w:cs="仿宋_GB2312"/>
          <w:kern w:val="0"/>
          <w:sz w:val="32"/>
          <w:szCs w:val="32"/>
          <w:lang w:val="zh-CN"/>
        </w:rPr>
        <w:t>根据案件审理需要,可以要求原告提交检索报告或者专利权评价报告。原告无正当理由不提交的,人民法院可以裁定中止诉讼或者判令原告承担可能的不利后果。</w:t>
      </w:r>
      <w:r>
        <w:rPr>
          <w:rFonts w:hint="eastAsia" w:ascii="仿宋_GB2312" w:hAnsi="仿宋_GB2312" w:cs="仿宋_GB2312"/>
          <w:kern w:val="0"/>
          <w:sz w:val="32"/>
          <w:szCs w:val="32"/>
          <w:lang w:val="zh-CN"/>
        </w:rPr>
        <w:t>本案中，</w:t>
      </w:r>
      <w:r>
        <w:rPr>
          <w:rFonts w:hint="eastAsia" w:ascii="仿宋_GB2312"/>
          <w:sz w:val="32"/>
          <w:szCs w:val="32"/>
          <w:lang w:eastAsia="zh-CN"/>
        </w:rPr>
        <w:t>利某公司一审</w:t>
      </w:r>
      <w:r>
        <w:rPr>
          <w:rFonts w:hint="eastAsia" w:ascii="仿宋_GB2312"/>
          <w:sz w:val="32"/>
          <w:szCs w:val="32"/>
        </w:rPr>
        <w:t>提交</w:t>
      </w:r>
      <w:r>
        <w:rPr>
          <w:rFonts w:hint="eastAsia" w:ascii="仿宋_GB2312"/>
          <w:sz w:val="32"/>
          <w:szCs w:val="32"/>
          <w:lang w:eastAsia="zh-CN"/>
        </w:rPr>
        <w:t>了</w:t>
      </w:r>
      <w:r>
        <w:rPr>
          <w:rFonts w:hint="eastAsia" w:ascii="仿宋_GB2312"/>
          <w:sz w:val="32"/>
          <w:szCs w:val="32"/>
        </w:rPr>
        <w:t>案外人</w:t>
      </w:r>
      <w:r>
        <w:rPr>
          <w:rFonts w:hint="eastAsia" w:ascii="仿宋_GB2312"/>
          <w:sz w:val="32"/>
          <w:szCs w:val="32"/>
          <w:lang w:eastAsia="zh-CN"/>
        </w:rPr>
        <w:t>的在先</w:t>
      </w:r>
      <w:r>
        <w:rPr>
          <w:rFonts w:hint="eastAsia" w:ascii="仿宋_GB2312"/>
          <w:sz w:val="32"/>
          <w:szCs w:val="32"/>
        </w:rPr>
        <w:t>外观设计专利</w:t>
      </w:r>
      <w:r>
        <w:rPr>
          <w:rFonts w:hint="eastAsia" w:ascii="仿宋_GB2312"/>
          <w:sz w:val="32"/>
          <w:szCs w:val="32"/>
          <w:lang w:eastAsia="zh-CN"/>
        </w:rPr>
        <w:t>权，涉案专利权的稳定性存疑，故本院认为根据本案</w:t>
      </w:r>
      <w:r>
        <w:rPr>
          <w:rFonts w:hint="eastAsia" w:ascii="仿宋_GB2312" w:hAnsi="仿宋_GB2312" w:eastAsia="仿宋_GB2312" w:cs="仿宋_GB2312"/>
          <w:kern w:val="0"/>
          <w:sz w:val="32"/>
          <w:szCs w:val="32"/>
          <w:lang w:val="zh-CN"/>
        </w:rPr>
        <w:t>审理需要,</w:t>
      </w:r>
      <w:r>
        <w:rPr>
          <w:rFonts w:hint="eastAsia" w:ascii="仿宋_GB2312"/>
          <w:sz w:val="32"/>
          <w:szCs w:val="32"/>
          <w:lang w:eastAsia="zh-CN"/>
        </w:rPr>
        <w:t>小某公司有必要提供专利权评价报告或其他</w:t>
      </w:r>
      <w:r>
        <w:rPr>
          <w:rFonts w:hint="eastAsia" w:ascii="仿宋_GB2312"/>
          <w:sz w:val="32"/>
          <w:szCs w:val="32"/>
        </w:rPr>
        <w:t>证</w:t>
      </w:r>
      <w:r>
        <w:rPr>
          <w:rFonts w:hint="eastAsia" w:ascii="仿宋_GB2312" w:hAnsi="仿宋_GB2312" w:cs="仿宋_GB2312"/>
          <w:kern w:val="0"/>
          <w:sz w:val="32"/>
          <w:szCs w:val="32"/>
          <w:lang w:val="zh-CN"/>
        </w:rPr>
        <w:t>明</w:t>
      </w:r>
      <w:r>
        <w:rPr>
          <w:rFonts w:hint="eastAsia" w:ascii="仿宋_GB2312" w:hAnsi="仿宋_GB2312" w:cs="仿宋_GB2312"/>
          <w:kern w:val="0"/>
          <w:sz w:val="32"/>
          <w:szCs w:val="32"/>
          <w:lang w:val="zh-CN" w:eastAsia="zh-CN"/>
        </w:rPr>
        <w:t>其</w:t>
      </w:r>
      <w:r>
        <w:rPr>
          <w:rFonts w:hint="eastAsia" w:ascii="仿宋_GB2312" w:hAnsi="仿宋_GB2312" w:cs="仿宋_GB2312"/>
          <w:kern w:val="0"/>
          <w:sz w:val="32"/>
          <w:szCs w:val="32"/>
          <w:lang w:val="zh-CN"/>
        </w:rPr>
        <w:t>专利</w:t>
      </w:r>
      <w:r>
        <w:rPr>
          <w:rFonts w:hint="eastAsia" w:ascii="仿宋_GB2312" w:hAnsi="仿宋_GB2312" w:cs="仿宋_GB2312"/>
          <w:kern w:val="0"/>
          <w:sz w:val="32"/>
          <w:szCs w:val="32"/>
          <w:lang w:val="zh-CN" w:eastAsia="zh-CN"/>
        </w:rPr>
        <w:t>权</w:t>
      </w:r>
      <w:r>
        <w:rPr>
          <w:rFonts w:hint="eastAsia" w:ascii="仿宋_GB2312" w:hAnsi="仿宋_GB2312" w:cs="仿宋_GB2312"/>
          <w:kern w:val="0"/>
          <w:sz w:val="32"/>
          <w:szCs w:val="32"/>
          <w:lang w:val="zh-CN"/>
        </w:rPr>
        <w:t>合法稳定的</w:t>
      </w:r>
      <w:r>
        <w:rPr>
          <w:rFonts w:hint="eastAsia" w:ascii="仿宋_GB2312" w:hAnsi="仿宋_GB2312" w:cs="仿宋_GB2312"/>
          <w:kern w:val="0"/>
          <w:sz w:val="32"/>
          <w:szCs w:val="32"/>
          <w:lang w:val="zh-CN" w:eastAsia="zh-CN"/>
        </w:rPr>
        <w:t>证据</w:t>
      </w:r>
      <w:r>
        <w:rPr>
          <w:rFonts w:hint="eastAsia" w:ascii="仿宋_GB2312" w:hAnsi="仿宋_GB2312" w:cs="仿宋_GB2312"/>
          <w:kern w:val="0"/>
          <w:sz w:val="32"/>
          <w:szCs w:val="32"/>
          <w:lang w:val="zh-CN"/>
        </w:rPr>
        <w:t>。</w:t>
      </w:r>
      <w:r>
        <w:rPr>
          <w:rFonts w:hint="eastAsia" w:ascii="仿宋_GB2312" w:hAnsi="仿宋_GB2312" w:cs="仿宋_GB2312"/>
          <w:kern w:val="0"/>
          <w:sz w:val="32"/>
          <w:szCs w:val="32"/>
          <w:lang w:val="zh-CN" w:eastAsia="zh-CN"/>
        </w:rPr>
        <w:t>但经一审法院多次释明，</w:t>
      </w:r>
      <w:r>
        <w:rPr>
          <w:rFonts w:hint="eastAsia" w:ascii="仿宋_GB2312" w:hAnsi="仿宋_GB2312" w:cs="仿宋_GB2312"/>
          <w:kern w:val="0"/>
          <w:sz w:val="32"/>
          <w:szCs w:val="32"/>
          <w:lang w:val="zh-CN"/>
        </w:rPr>
        <w:t>小某公司无正当理由不提交专利权评价报告，则应由</w:t>
      </w:r>
      <w:r>
        <w:rPr>
          <w:rFonts w:hint="eastAsia" w:ascii="仿宋_GB2312"/>
          <w:sz w:val="32"/>
          <w:szCs w:val="32"/>
          <w:lang w:eastAsia="zh-CN"/>
        </w:rPr>
        <w:t>其</w:t>
      </w:r>
      <w:r>
        <w:rPr>
          <w:rFonts w:hint="eastAsia" w:ascii="仿宋_GB2312"/>
          <w:sz w:val="32"/>
          <w:szCs w:val="32"/>
        </w:rPr>
        <w:t>承担不利后果</w:t>
      </w:r>
      <w:r>
        <w:rPr>
          <w:rFonts w:hint="eastAsia" w:ascii="仿宋_GB2312"/>
          <w:sz w:val="32"/>
          <w:szCs w:val="32"/>
          <w:lang w:eastAsia="zh-CN"/>
        </w:rPr>
        <w:t>，</w:t>
      </w:r>
      <w:r>
        <w:rPr>
          <w:rFonts w:hint="eastAsia" w:ascii="仿宋_GB2312"/>
          <w:sz w:val="32"/>
          <w:szCs w:val="32"/>
        </w:rPr>
        <w:t>一审法院裁定驳回</w:t>
      </w:r>
      <w:r>
        <w:rPr>
          <w:rFonts w:hint="eastAsia" w:ascii="仿宋_GB2312"/>
          <w:sz w:val="32"/>
          <w:szCs w:val="32"/>
          <w:lang w:eastAsia="zh-CN"/>
        </w:rPr>
        <w:t>小某公司</w:t>
      </w:r>
      <w:r>
        <w:rPr>
          <w:rFonts w:hint="eastAsia" w:ascii="仿宋_GB2312"/>
          <w:sz w:val="32"/>
          <w:szCs w:val="32"/>
        </w:rPr>
        <w:t>的起诉并无不当。</w:t>
      </w:r>
      <w:r>
        <w:rPr>
          <w:rFonts w:hint="eastAsia" w:ascii="仿宋_GB2312"/>
          <w:sz w:val="32"/>
          <w:szCs w:val="32"/>
          <w:lang w:eastAsia="zh-CN"/>
        </w:rPr>
        <w:t>至于</w:t>
      </w:r>
      <w:r>
        <w:rPr>
          <w:rFonts w:hint="eastAsia" w:ascii="仿宋_GB2312"/>
          <w:sz w:val="32"/>
          <w:szCs w:val="32"/>
        </w:rPr>
        <w:t>（2020）最高法民再383号</w:t>
      </w:r>
      <w:r>
        <w:rPr>
          <w:rFonts w:hint="eastAsia" w:ascii="仿宋_GB2312"/>
          <w:sz w:val="32"/>
          <w:szCs w:val="32"/>
          <w:lang w:eastAsia="zh-CN"/>
        </w:rPr>
        <w:t>案所涉专利权经国家知识产权局审查后决定维持有效，故该案</w:t>
      </w:r>
      <w:r>
        <w:rPr>
          <w:rFonts w:hint="eastAsia" w:ascii="仿宋_GB2312"/>
          <w:sz w:val="32"/>
          <w:szCs w:val="32"/>
        </w:rPr>
        <w:t>的基本事实与本案</w:t>
      </w:r>
      <w:r>
        <w:rPr>
          <w:rFonts w:hint="eastAsia" w:ascii="仿宋_GB2312"/>
          <w:sz w:val="32"/>
          <w:szCs w:val="32"/>
          <w:lang w:eastAsia="zh-CN"/>
        </w:rPr>
        <w:t>不同</w:t>
      </w:r>
      <w:r>
        <w:rPr>
          <w:rFonts w:hint="eastAsia" w:ascii="仿宋_GB2312"/>
          <w:sz w:val="32"/>
          <w:szCs w:val="32"/>
        </w:rPr>
        <w:t>，其裁判结果对本案不具有</w:t>
      </w:r>
      <w:r>
        <w:rPr>
          <w:rFonts w:hint="eastAsia" w:ascii="仿宋_GB2312"/>
          <w:sz w:val="32"/>
          <w:szCs w:val="32"/>
          <w:lang w:eastAsia="zh-CN"/>
        </w:rPr>
        <w:t>影响</w:t>
      </w:r>
      <w:r>
        <w:rPr>
          <w:rFonts w:hint="eastAsia" w:ascii="仿宋_GB2312"/>
          <w:sz w:val="32"/>
          <w:szCs w:val="32"/>
        </w:rPr>
        <w:t>。</w:t>
      </w:r>
    </w:p>
    <w:p w14:paraId="625C158E">
      <w:pPr>
        <w:autoSpaceDE w:val="0"/>
        <w:autoSpaceDN w:val="0"/>
        <w:adjustRightInd w:val="0"/>
        <w:spacing w:line="592" w:lineRule="exact"/>
        <w:ind w:firstLine="620" w:firstLineChars="200"/>
        <w:rPr>
          <w:rFonts w:hint="eastAsia" w:ascii="仿宋_GB2312"/>
          <w:sz w:val="32"/>
          <w:szCs w:val="32"/>
        </w:rPr>
      </w:pPr>
      <w:r>
        <w:rPr>
          <w:rFonts w:hint="eastAsia" w:ascii="仿宋_GB2312"/>
          <w:sz w:val="32"/>
          <w:szCs w:val="32"/>
        </w:rPr>
        <w:t>综上，</w:t>
      </w:r>
      <w:r>
        <w:rPr>
          <w:rFonts w:hint="eastAsia" w:ascii="仿宋_GB2312"/>
          <w:sz w:val="32"/>
          <w:szCs w:val="32"/>
          <w:lang w:eastAsia="zh-CN"/>
        </w:rPr>
        <w:t>小某公司</w:t>
      </w:r>
      <w:r>
        <w:rPr>
          <w:rFonts w:hint="eastAsia" w:ascii="仿宋_GB2312"/>
          <w:sz w:val="32"/>
          <w:szCs w:val="32"/>
        </w:rPr>
        <w:t>的上诉请求不能成立，一审裁定认定事实清楚、适用法律正确，依照《中华人民共和国民事诉讼法》第一百七十七条第一款第一项、第一百七十八条规定，裁定如下：</w:t>
      </w:r>
    </w:p>
    <w:p w14:paraId="5A49C33B">
      <w:pPr>
        <w:autoSpaceDE w:val="0"/>
        <w:autoSpaceDN w:val="0"/>
        <w:adjustRightInd w:val="0"/>
        <w:spacing w:line="592" w:lineRule="exact"/>
        <w:ind w:firstLine="620" w:firstLineChars="200"/>
        <w:rPr>
          <w:rFonts w:hint="eastAsia" w:ascii="仿宋_GB2312"/>
          <w:sz w:val="32"/>
          <w:szCs w:val="32"/>
        </w:rPr>
      </w:pPr>
      <w:r>
        <w:rPr>
          <w:rFonts w:hint="eastAsia" w:ascii="仿宋_GB2312"/>
          <w:sz w:val="32"/>
          <w:szCs w:val="32"/>
        </w:rPr>
        <w:t>驳回上诉，维持原裁定。</w:t>
      </w:r>
    </w:p>
    <w:p w14:paraId="3F132CEC">
      <w:pPr>
        <w:autoSpaceDE w:val="0"/>
        <w:autoSpaceDN w:val="0"/>
        <w:adjustRightInd w:val="0"/>
        <w:spacing w:line="592" w:lineRule="exact"/>
        <w:ind w:firstLine="620" w:firstLineChars="200"/>
        <w:rPr>
          <w:rFonts w:ascii="仿宋_GB2312"/>
          <w:sz w:val="32"/>
          <w:szCs w:val="32"/>
        </w:rPr>
      </w:pPr>
      <w:r>
        <w:rPr>
          <w:rFonts w:hint="eastAsia" w:ascii="仿宋_GB2312"/>
          <w:sz w:val="32"/>
          <w:szCs w:val="32"/>
        </w:rPr>
        <w:t>本裁定为终审裁定。</w:t>
      </w:r>
    </w:p>
    <w:p w14:paraId="49A6A157">
      <w:pPr>
        <w:autoSpaceDE w:val="0"/>
        <w:autoSpaceDN w:val="0"/>
        <w:adjustRightInd w:val="0"/>
        <w:spacing w:line="592" w:lineRule="exact"/>
        <w:ind w:firstLine="620" w:firstLineChars="200"/>
        <w:rPr>
          <w:rFonts w:ascii="仿宋_GB2312"/>
          <w:sz w:val="32"/>
          <w:szCs w:val="32"/>
        </w:rPr>
      </w:pPr>
    </w:p>
    <w:p w14:paraId="74174884">
      <w:pPr>
        <w:autoSpaceDE w:val="0"/>
        <w:autoSpaceDN w:val="0"/>
        <w:adjustRightInd w:val="0"/>
        <w:spacing w:line="592" w:lineRule="exact"/>
        <w:ind w:firstLine="620" w:firstLineChars="200"/>
        <w:rPr>
          <w:rFonts w:ascii="仿宋_GB2312"/>
          <w:sz w:val="32"/>
          <w:szCs w:val="32"/>
        </w:rPr>
      </w:pPr>
    </w:p>
    <w:p w14:paraId="18C521F8">
      <w:pPr>
        <w:autoSpaceDE w:val="0"/>
        <w:autoSpaceDN w:val="0"/>
        <w:adjustRightInd w:val="0"/>
        <w:spacing w:line="592" w:lineRule="exact"/>
        <w:ind w:firstLine="620" w:firstLineChars="200"/>
        <w:rPr>
          <w:rFonts w:ascii="仿宋_GB2312"/>
          <w:sz w:val="32"/>
          <w:szCs w:val="32"/>
        </w:rPr>
      </w:pPr>
    </w:p>
    <w:p w14:paraId="720A75FF">
      <w:pPr>
        <w:tabs>
          <w:tab w:val="left" w:pos="4304"/>
        </w:tabs>
        <w:spacing w:line="592" w:lineRule="exact"/>
        <w:ind w:firstLine="4349" w:firstLineChars="1403"/>
        <w:rPr>
          <w:sz w:val="32"/>
        </w:rPr>
      </w:pPr>
      <w:r>
        <w:rPr>
          <w:rFonts w:hint="eastAsia"/>
          <w:sz w:val="32"/>
        </w:rPr>
        <w:t>审  判  长    王  亦  非</w:t>
      </w:r>
    </w:p>
    <w:p w14:paraId="00B3127D">
      <w:pPr>
        <w:tabs>
          <w:tab w:val="left" w:pos="6456"/>
          <w:tab w:val="left" w:pos="6725"/>
          <w:tab w:val="left" w:pos="7263"/>
        </w:tabs>
        <w:spacing w:line="592" w:lineRule="exact"/>
        <w:ind w:firstLine="4349" w:firstLineChars="1403"/>
        <w:rPr>
          <w:rFonts w:hint="eastAsia" w:eastAsia="仿宋_GB2312"/>
          <w:sz w:val="32"/>
          <w:lang w:eastAsia="zh-CN"/>
        </w:rPr>
      </w:pPr>
      <w:r>
        <w:rPr>
          <w:rFonts w:hint="eastAsia"/>
          <w:sz w:val="32"/>
        </w:rPr>
        <w:t xml:space="preserve">审  判  员    </w:t>
      </w:r>
      <w:r>
        <w:rPr>
          <w:rFonts w:hint="eastAsia"/>
          <w:sz w:val="32"/>
          <w:lang w:eastAsia="zh-CN"/>
        </w:rPr>
        <w:t>李</w:t>
      </w:r>
      <w:r>
        <w:rPr>
          <w:rFonts w:hint="eastAsia"/>
          <w:sz w:val="32"/>
        </w:rPr>
        <w:t xml:space="preserve">      </w:t>
      </w:r>
      <w:r>
        <w:rPr>
          <w:rFonts w:hint="eastAsia"/>
          <w:sz w:val="32"/>
          <w:lang w:eastAsia="zh-CN"/>
        </w:rPr>
        <w:t>臻</w:t>
      </w:r>
    </w:p>
    <w:p w14:paraId="35CB2901">
      <w:pPr>
        <w:tabs>
          <w:tab w:val="left" w:pos="5918"/>
          <w:tab w:val="left" w:pos="6456"/>
          <w:tab w:val="left" w:pos="7263"/>
        </w:tabs>
        <w:spacing w:line="592" w:lineRule="exact"/>
        <w:ind w:firstLine="4349" w:firstLineChars="1403"/>
        <w:rPr>
          <w:rFonts w:hint="eastAsia" w:eastAsia="仿宋_GB2312"/>
          <w:sz w:val="32"/>
          <w:lang w:eastAsia="zh-CN"/>
        </w:rPr>
      </w:pPr>
      <w:r>
        <w:rPr>
          <w:rFonts w:hint="eastAsia"/>
          <w:sz w:val="32"/>
        </w:rPr>
        <w:t xml:space="preserve">审  判  员    </w:t>
      </w:r>
      <w:r>
        <w:rPr>
          <w:rFonts w:hint="eastAsia"/>
          <w:sz w:val="32"/>
          <w:lang w:eastAsia="zh-CN"/>
        </w:rPr>
        <w:t>郭</w:t>
      </w:r>
      <w:r>
        <w:rPr>
          <w:rFonts w:hint="eastAsia"/>
          <w:sz w:val="32"/>
          <w:lang w:val="en-US" w:eastAsia="zh-CN"/>
        </w:rPr>
        <w:t xml:space="preserve">  剑 </w:t>
      </w:r>
      <w:r>
        <w:rPr>
          <w:rFonts w:hint="eastAsia"/>
          <w:sz w:val="32"/>
        </w:rPr>
        <w:t xml:space="preserve"> </w:t>
      </w:r>
      <w:r>
        <w:rPr>
          <w:rFonts w:hint="eastAsia"/>
          <w:sz w:val="32"/>
          <w:lang w:eastAsia="zh-CN"/>
        </w:rPr>
        <w:t>霞</w:t>
      </w:r>
    </w:p>
    <w:p w14:paraId="0B6C3AE4">
      <w:pPr>
        <w:spacing w:line="592" w:lineRule="exact"/>
        <w:ind w:firstLine="2628" w:firstLineChars="1200"/>
        <w:rPr>
          <w:rFonts w:hint="eastAsia"/>
          <w:spacing w:val="1"/>
          <w:w w:val="71"/>
          <w:kern w:val="0"/>
          <w:sz w:val="32"/>
          <w:fitText w:val="104" w:id="2118879637"/>
        </w:rPr>
      </w:pPr>
    </w:p>
    <w:p w14:paraId="3E015F39">
      <w:pPr>
        <w:spacing w:line="592" w:lineRule="exact"/>
        <w:ind w:firstLine="2604" w:firstLineChars="1200"/>
        <w:rPr>
          <w:rFonts w:hint="eastAsia"/>
          <w:spacing w:val="0"/>
          <w:w w:val="71"/>
          <w:kern w:val="0"/>
          <w:sz w:val="32"/>
          <w:fitText w:val="104" w:id="2118879637"/>
        </w:rPr>
      </w:pPr>
    </w:p>
    <w:p w14:paraId="008B9536">
      <w:pPr>
        <w:spacing w:line="592" w:lineRule="exact"/>
        <w:ind w:firstLine="3720" w:firstLineChars="1200"/>
        <w:rPr>
          <w:rFonts w:hint="eastAsia"/>
          <w:kern w:val="0"/>
          <w:sz w:val="32"/>
        </w:rPr>
      </w:pPr>
    </w:p>
    <w:p w14:paraId="703753D4">
      <w:pPr>
        <w:spacing w:line="592" w:lineRule="exact"/>
        <w:ind w:firstLine="3720" w:firstLineChars="1200"/>
        <w:rPr>
          <w:rFonts w:hint="eastAsia"/>
          <w:kern w:val="0"/>
          <w:sz w:val="32"/>
        </w:rPr>
      </w:pPr>
    </w:p>
    <w:p w14:paraId="67E72437">
      <w:pPr>
        <w:spacing w:line="592" w:lineRule="exact"/>
        <w:ind w:left="0" w:leftChars="0" w:firstLine="4304" w:firstLineChars="1157"/>
        <w:rPr>
          <w:rFonts w:hint="eastAsia"/>
          <w:sz w:val="32"/>
        </w:rPr>
      </w:pPr>
      <w:r>
        <w:rPr>
          <w:rFonts w:hint="eastAsia"/>
          <w:spacing w:val="31"/>
          <w:kern w:val="0"/>
          <w:sz w:val="32"/>
          <w:fitText w:val="3766" w:id="1634514254"/>
        </w:rPr>
        <w:t>二○二</w:t>
      </w:r>
      <w:r>
        <w:rPr>
          <w:rFonts w:hint="eastAsia"/>
          <w:spacing w:val="31"/>
          <w:kern w:val="0"/>
          <w:sz w:val="32"/>
          <w:fitText w:val="3766" w:id="1634514254"/>
          <w:lang w:eastAsia="zh-CN"/>
        </w:rPr>
        <w:t>二</w:t>
      </w:r>
      <w:r>
        <w:rPr>
          <w:rFonts w:hint="eastAsia"/>
          <w:spacing w:val="31"/>
          <w:kern w:val="0"/>
          <w:sz w:val="32"/>
          <w:fitText w:val="3766" w:id="1634514254"/>
        </w:rPr>
        <w:t>年</w:t>
      </w:r>
      <w:r>
        <w:rPr>
          <w:rFonts w:hint="eastAsia"/>
          <w:spacing w:val="31"/>
          <w:kern w:val="0"/>
          <w:sz w:val="32"/>
          <w:fitText w:val="3766" w:id="1634514254"/>
          <w:lang w:eastAsia="zh-CN"/>
        </w:rPr>
        <w:t>七</w:t>
      </w:r>
      <w:r>
        <w:rPr>
          <w:rFonts w:hint="eastAsia"/>
          <w:spacing w:val="31"/>
          <w:kern w:val="0"/>
          <w:sz w:val="32"/>
          <w:fitText w:val="3766" w:id="1634514254"/>
        </w:rPr>
        <w:t>月</w:t>
      </w:r>
      <w:r>
        <w:rPr>
          <w:rFonts w:hint="eastAsia"/>
          <w:spacing w:val="31"/>
          <w:kern w:val="0"/>
          <w:sz w:val="32"/>
          <w:fitText w:val="3766" w:id="1634514254"/>
          <w:lang w:eastAsia="zh-CN"/>
        </w:rPr>
        <w:t>十</w:t>
      </w:r>
      <w:r>
        <w:rPr>
          <w:rFonts w:hint="eastAsia"/>
          <w:spacing w:val="31"/>
          <w:kern w:val="0"/>
          <w:sz w:val="32"/>
          <w:fitText w:val="3766" w:id="1634514254"/>
        </w:rPr>
        <w:t>八</w:t>
      </w:r>
      <w:r>
        <w:rPr>
          <w:rFonts w:hint="eastAsia"/>
          <w:spacing w:val="4"/>
          <w:kern w:val="0"/>
          <w:sz w:val="32"/>
          <w:fitText w:val="3766" w:id="1634514254"/>
        </w:rPr>
        <w:t>日</w:t>
      </w:r>
    </w:p>
    <w:p w14:paraId="00F4EFA1">
      <w:pPr>
        <w:spacing w:line="592" w:lineRule="exact"/>
        <w:rPr>
          <w:sz w:val="32"/>
        </w:rPr>
      </w:pPr>
      <w:r>
        <w:rPr>
          <w:rFonts w:hint="eastAsia"/>
          <w:sz w:val="32"/>
        </w:rPr>
        <w:t>本件与原本核对无异</w:t>
      </w:r>
    </w:p>
    <w:p w14:paraId="05513D4E">
      <w:pPr>
        <w:tabs>
          <w:tab w:val="left" w:pos="4304"/>
          <w:tab w:val="left" w:pos="5649"/>
          <w:tab w:val="left" w:pos="5918"/>
          <w:tab w:val="left" w:pos="6456"/>
          <w:tab w:val="left" w:pos="7230"/>
          <w:tab w:val="left" w:pos="7801"/>
          <w:tab w:val="left" w:pos="8070"/>
        </w:tabs>
        <w:spacing w:line="592" w:lineRule="exact"/>
        <w:rPr>
          <w:sz w:val="32"/>
        </w:rPr>
      </w:pPr>
      <w:r>
        <w:rPr>
          <w:rFonts w:hint="eastAsia"/>
          <w:sz w:val="32"/>
        </w:rPr>
        <w:t xml:space="preserve">                            </w:t>
      </w:r>
      <w:r>
        <w:rPr>
          <w:rFonts w:hint="eastAsia"/>
          <w:spacing w:val="-20"/>
          <w:sz w:val="32"/>
        </w:rPr>
        <w:t>书   记   员</w:t>
      </w:r>
      <w:r>
        <w:rPr>
          <w:rFonts w:hint="eastAsia"/>
          <w:kern w:val="0"/>
          <w:sz w:val="32"/>
        </w:rPr>
        <w:t xml:space="preserve">     王  莉  莉</w:t>
      </w:r>
    </w:p>
    <w:p w14:paraId="2992646A">
      <w:pPr>
        <w:tabs>
          <w:tab w:val="left" w:pos="4304"/>
        </w:tabs>
        <w:spacing w:line="592" w:lineRule="exact"/>
      </w:pPr>
    </w:p>
    <w:sectPr>
      <w:footerReference r:id="rId3" w:type="default"/>
      <w:footerReference r:id="rId4" w:type="even"/>
      <w:pgSz w:w="11907" w:h="16840"/>
      <w:pgMar w:top="1928" w:right="1304" w:bottom="1497" w:left="1644" w:header="851" w:footer="1531" w:gutter="0"/>
      <w:pgNumType w:start="1"/>
      <w:cols w:space="425" w:num="1"/>
      <w:docGrid w:type="linesAndChars" w:linePitch="600" w:charSpace="-21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0"/>
    <w:family w:val="swiss"/>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120C4">
    <w:pPr>
      <w:pStyle w:val="5"/>
      <w:framePr w:wrap="around" w:vAnchor="text" w:hAnchor="margin" w:xAlign="outside" w:y="1"/>
      <w:ind w:left="397" w:right="397"/>
      <w:rPr>
        <w:rStyle w:val="10"/>
        <w:rFonts w:ascii="仿宋_GB2312"/>
        <w:sz w:val="30"/>
      </w:rPr>
    </w:pPr>
    <w:r>
      <w:rPr>
        <w:rStyle w:val="10"/>
        <w:rFonts w:hint="eastAsia" w:ascii="仿宋_GB2312"/>
        <w:sz w:val="30"/>
      </w:rPr>
      <w:t>·</w:t>
    </w:r>
    <w:r>
      <w:rPr>
        <w:rStyle w:val="10"/>
        <w:rFonts w:ascii="仿宋_GB2312"/>
        <w:sz w:val="30"/>
      </w:rPr>
      <w:fldChar w:fldCharType="begin"/>
    </w:r>
    <w:r>
      <w:rPr>
        <w:rStyle w:val="10"/>
        <w:rFonts w:ascii="仿宋_GB2312"/>
        <w:sz w:val="30"/>
      </w:rPr>
      <w:instrText xml:space="preserve"> PAGE </w:instrText>
    </w:r>
    <w:r>
      <w:rPr>
        <w:rStyle w:val="10"/>
        <w:rFonts w:ascii="仿宋_GB2312"/>
        <w:sz w:val="30"/>
      </w:rPr>
      <w:fldChar w:fldCharType="separate"/>
    </w:r>
    <w:r>
      <w:rPr>
        <w:rStyle w:val="10"/>
        <w:rFonts w:ascii="仿宋_GB2312"/>
        <w:sz w:val="30"/>
      </w:rPr>
      <w:t>2</w:t>
    </w:r>
    <w:r>
      <w:rPr>
        <w:rStyle w:val="10"/>
        <w:rFonts w:ascii="仿宋_GB2312"/>
        <w:sz w:val="30"/>
      </w:rPr>
      <w:fldChar w:fldCharType="end"/>
    </w:r>
    <w:r>
      <w:rPr>
        <w:rStyle w:val="10"/>
        <w:rFonts w:hint="eastAsia" w:ascii="仿宋_GB2312"/>
        <w:sz w:val="30"/>
      </w:rPr>
      <w:t>·</w:t>
    </w:r>
  </w:p>
  <w:p w14:paraId="06564FFE">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BA28F">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separate"/>
    </w:r>
    <w:r>
      <w:rPr>
        <w:rStyle w:val="10"/>
      </w:rPr>
      <w:t>1</w:t>
    </w:r>
    <w:r>
      <w:rPr>
        <w:rStyle w:val="10"/>
      </w:rPr>
      <w:fldChar w:fldCharType="end"/>
    </w:r>
  </w:p>
  <w:p w14:paraId="724AFDA3">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FF9"/>
    <w:rsid w:val="00006C30"/>
    <w:rsid w:val="00006DA8"/>
    <w:rsid w:val="000337B1"/>
    <w:rsid w:val="00060FBB"/>
    <w:rsid w:val="00070EC8"/>
    <w:rsid w:val="00071BC2"/>
    <w:rsid w:val="00096E53"/>
    <w:rsid w:val="000A08A7"/>
    <w:rsid w:val="000A19CA"/>
    <w:rsid w:val="000B0C2D"/>
    <w:rsid w:val="000F6649"/>
    <w:rsid w:val="000F7375"/>
    <w:rsid w:val="000F7A8C"/>
    <w:rsid w:val="00113523"/>
    <w:rsid w:val="00134B94"/>
    <w:rsid w:val="00144BEE"/>
    <w:rsid w:val="00150563"/>
    <w:rsid w:val="00153A38"/>
    <w:rsid w:val="00183311"/>
    <w:rsid w:val="00186CF3"/>
    <w:rsid w:val="00195094"/>
    <w:rsid w:val="001950E9"/>
    <w:rsid w:val="001B7228"/>
    <w:rsid w:val="001D466C"/>
    <w:rsid w:val="001E4BBA"/>
    <w:rsid w:val="002048BC"/>
    <w:rsid w:val="002135B2"/>
    <w:rsid w:val="00215F85"/>
    <w:rsid w:val="0021606E"/>
    <w:rsid w:val="00273C75"/>
    <w:rsid w:val="002837AF"/>
    <w:rsid w:val="00284C29"/>
    <w:rsid w:val="002A095E"/>
    <w:rsid w:val="002A142B"/>
    <w:rsid w:val="002B2110"/>
    <w:rsid w:val="002F4F72"/>
    <w:rsid w:val="002F6314"/>
    <w:rsid w:val="00306BC1"/>
    <w:rsid w:val="003216F2"/>
    <w:rsid w:val="00344E25"/>
    <w:rsid w:val="00352B11"/>
    <w:rsid w:val="00383E7B"/>
    <w:rsid w:val="003B42EE"/>
    <w:rsid w:val="003C0076"/>
    <w:rsid w:val="003D6AF3"/>
    <w:rsid w:val="003E5F25"/>
    <w:rsid w:val="004141B7"/>
    <w:rsid w:val="004449B7"/>
    <w:rsid w:val="00457981"/>
    <w:rsid w:val="004666F8"/>
    <w:rsid w:val="004B00AB"/>
    <w:rsid w:val="004B10E4"/>
    <w:rsid w:val="004C35BA"/>
    <w:rsid w:val="004C4339"/>
    <w:rsid w:val="004C4AF2"/>
    <w:rsid w:val="004D3756"/>
    <w:rsid w:val="00500028"/>
    <w:rsid w:val="005170F0"/>
    <w:rsid w:val="005217D2"/>
    <w:rsid w:val="00523C41"/>
    <w:rsid w:val="00535C93"/>
    <w:rsid w:val="00556588"/>
    <w:rsid w:val="00556D17"/>
    <w:rsid w:val="00562088"/>
    <w:rsid w:val="00574352"/>
    <w:rsid w:val="00581496"/>
    <w:rsid w:val="005837E8"/>
    <w:rsid w:val="00596E93"/>
    <w:rsid w:val="005A7019"/>
    <w:rsid w:val="005D2654"/>
    <w:rsid w:val="0060330F"/>
    <w:rsid w:val="00606213"/>
    <w:rsid w:val="00620195"/>
    <w:rsid w:val="006467EC"/>
    <w:rsid w:val="00655A23"/>
    <w:rsid w:val="006654A8"/>
    <w:rsid w:val="00693FF9"/>
    <w:rsid w:val="006A3A77"/>
    <w:rsid w:val="006D5E38"/>
    <w:rsid w:val="006D7AA7"/>
    <w:rsid w:val="0070014F"/>
    <w:rsid w:val="007021E2"/>
    <w:rsid w:val="00702B2B"/>
    <w:rsid w:val="00744BE8"/>
    <w:rsid w:val="0075389F"/>
    <w:rsid w:val="007A5E4B"/>
    <w:rsid w:val="007D10C1"/>
    <w:rsid w:val="007E0F7E"/>
    <w:rsid w:val="00804752"/>
    <w:rsid w:val="00816F11"/>
    <w:rsid w:val="00817911"/>
    <w:rsid w:val="008279AD"/>
    <w:rsid w:val="0083061A"/>
    <w:rsid w:val="00832107"/>
    <w:rsid w:val="0086580E"/>
    <w:rsid w:val="00866975"/>
    <w:rsid w:val="00893720"/>
    <w:rsid w:val="008B0ED1"/>
    <w:rsid w:val="008B6FE6"/>
    <w:rsid w:val="009078F9"/>
    <w:rsid w:val="009466E4"/>
    <w:rsid w:val="0096154E"/>
    <w:rsid w:val="0097457A"/>
    <w:rsid w:val="00984C3E"/>
    <w:rsid w:val="00986EFB"/>
    <w:rsid w:val="009F57CC"/>
    <w:rsid w:val="00A165C3"/>
    <w:rsid w:val="00A2157B"/>
    <w:rsid w:val="00A46D7C"/>
    <w:rsid w:val="00A47F7D"/>
    <w:rsid w:val="00A631C3"/>
    <w:rsid w:val="00A65671"/>
    <w:rsid w:val="00A71668"/>
    <w:rsid w:val="00A7745C"/>
    <w:rsid w:val="00AB0AA0"/>
    <w:rsid w:val="00AC1E43"/>
    <w:rsid w:val="00AC7B5B"/>
    <w:rsid w:val="00AD0D0E"/>
    <w:rsid w:val="00B02F6F"/>
    <w:rsid w:val="00B2329A"/>
    <w:rsid w:val="00B310A6"/>
    <w:rsid w:val="00B31CBE"/>
    <w:rsid w:val="00B369EE"/>
    <w:rsid w:val="00B40489"/>
    <w:rsid w:val="00B90465"/>
    <w:rsid w:val="00BA372A"/>
    <w:rsid w:val="00BA679E"/>
    <w:rsid w:val="00BC22F3"/>
    <w:rsid w:val="00BC4330"/>
    <w:rsid w:val="00BD60C5"/>
    <w:rsid w:val="00C120B1"/>
    <w:rsid w:val="00C1471E"/>
    <w:rsid w:val="00C14EC5"/>
    <w:rsid w:val="00C27A2E"/>
    <w:rsid w:val="00C45642"/>
    <w:rsid w:val="00C7153C"/>
    <w:rsid w:val="00CF54A5"/>
    <w:rsid w:val="00D0517C"/>
    <w:rsid w:val="00D16001"/>
    <w:rsid w:val="00D35F06"/>
    <w:rsid w:val="00D63CCF"/>
    <w:rsid w:val="00D641B7"/>
    <w:rsid w:val="00D664AF"/>
    <w:rsid w:val="00D86E10"/>
    <w:rsid w:val="00DA7C0E"/>
    <w:rsid w:val="00DB0A36"/>
    <w:rsid w:val="00DB1F71"/>
    <w:rsid w:val="00DB3167"/>
    <w:rsid w:val="00DD2C92"/>
    <w:rsid w:val="00DE1873"/>
    <w:rsid w:val="00DF3C61"/>
    <w:rsid w:val="00E04864"/>
    <w:rsid w:val="00E120D4"/>
    <w:rsid w:val="00E259F3"/>
    <w:rsid w:val="00E35655"/>
    <w:rsid w:val="00E453FB"/>
    <w:rsid w:val="00E71C34"/>
    <w:rsid w:val="00EA66A5"/>
    <w:rsid w:val="00EA7E71"/>
    <w:rsid w:val="00EC5A72"/>
    <w:rsid w:val="00EE12A4"/>
    <w:rsid w:val="00F03598"/>
    <w:rsid w:val="00F101C6"/>
    <w:rsid w:val="00F34270"/>
    <w:rsid w:val="00F740EA"/>
    <w:rsid w:val="00F8483D"/>
    <w:rsid w:val="00F9615D"/>
    <w:rsid w:val="00FC6B0F"/>
    <w:rsid w:val="00FE0C3A"/>
    <w:rsid w:val="00FE5397"/>
    <w:rsid w:val="00FF5DDD"/>
    <w:rsid w:val="1FA20EDB"/>
    <w:rsid w:val="3BFDA760"/>
    <w:rsid w:val="571C2460"/>
    <w:rsid w:val="DBEB7528"/>
    <w:rsid w:val="EDF2500C"/>
    <w:rsid w:val="EEEE0932"/>
    <w:rsid w:val="FEEF74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szCs w:val="20"/>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ody Text Indent"/>
    <w:basedOn w:val="1"/>
    <w:link w:val="14"/>
    <w:qFormat/>
    <w:uiPriority w:val="0"/>
    <w:pPr>
      <w:ind w:right="-15" w:firstLine="720"/>
      <w:jc w:val="left"/>
    </w:pPr>
    <w:rPr>
      <w:rFonts w:ascii="仿宋_GB2312"/>
      <w:sz w:val="32"/>
      <w:szCs w:val="32"/>
    </w:rPr>
  </w:style>
  <w:style w:type="paragraph" w:styleId="4">
    <w:name w:val="Date"/>
    <w:basedOn w:val="1"/>
    <w:next w:val="1"/>
    <w:link w:val="12"/>
    <w:qFormat/>
    <w:uiPriority w:val="99"/>
  </w:style>
  <w:style w:type="paragraph" w:styleId="5">
    <w:name w:val="footer"/>
    <w:basedOn w:val="1"/>
    <w:link w:val="13"/>
    <w:qFormat/>
    <w:uiPriority w:val="99"/>
    <w:pPr>
      <w:tabs>
        <w:tab w:val="center" w:pos="4153"/>
        <w:tab w:val="right" w:pos="8306"/>
      </w:tabs>
      <w:snapToGrid w:val="0"/>
      <w:jc w:val="left"/>
    </w:pPr>
    <w:rPr>
      <w:sz w:val="18"/>
    </w:rPr>
  </w:style>
  <w:style w:type="paragraph" w:styleId="6">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7"/>
    <w:semiHidden/>
    <w:unhideWhenUsed/>
    <w:qFormat/>
    <w:uiPriority w:val="99"/>
    <w:rPr>
      <w:b/>
      <w:bCs/>
    </w:rPr>
  </w:style>
  <w:style w:type="character" w:styleId="10">
    <w:name w:val="page number"/>
    <w:basedOn w:val="9"/>
    <w:qFormat/>
    <w:uiPriority w:val="0"/>
  </w:style>
  <w:style w:type="character" w:styleId="11">
    <w:name w:val="annotation reference"/>
    <w:basedOn w:val="9"/>
    <w:semiHidden/>
    <w:unhideWhenUsed/>
    <w:qFormat/>
    <w:uiPriority w:val="99"/>
    <w:rPr>
      <w:sz w:val="21"/>
      <w:szCs w:val="21"/>
    </w:rPr>
  </w:style>
  <w:style w:type="character" w:customStyle="1" w:styleId="12">
    <w:name w:val="日期 字符"/>
    <w:basedOn w:val="9"/>
    <w:link w:val="4"/>
    <w:qFormat/>
    <w:uiPriority w:val="99"/>
    <w:rPr>
      <w:rFonts w:ascii="Times New Roman" w:hAnsi="Times New Roman" w:eastAsia="仿宋_GB2312" w:cs="Times New Roman"/>
      <w:sz w:val="28"/>
      <w:szCs w:val="20"/>
    </w:rPr>
  </w:style>
  <w:style w:type="character" w:customStyle="1" w:styleId="13">
    <w:name w:val="页脚 字符"/>
    <w:basedOn w:val="9"/>
    <w:link w:val="5"/>
    <w:qFormat/>
    <w:uiPriority w:val="99"/>
    <w:rPr>
      <w:rFonts w:ascii="Times New Roman" w:hAnsi="Times New Roman" w:eastAsia="仿宋_GB2312" w:cs="Times New Roman"/>
      <w:sz w:val="18"/>
      <w:szCs w:val="20"/>
    </w:rPr>
  </w:style>
  <w:style w:type="character" w:customStyle="1" w:styleId="14">
    <w:name w:val="正文文本缩进 字符"/>
    <w:basedOn w:val="9"/>
    <w:link w:val="3"/>
    <w:qFormat/>
    <w:uiPriority w:val="0"/>
    <w:rPr>
      <w:rFonts w:ascii="仿宋_GB2312" w:hAnsi="Times New Roman" w:eastAsia="仿宋_GB2312" w:cs="Times New Roman"/>
      <w:sz w:val="32"/>
      <w:szCs w:val="32"/>
    </w:rPr>
  </w:style>
  <w:style w:type="character" w:customStyle="1" w:styleId="15">
    <w:name w:val="页眉 字符"/>
    <w:basedOn w:val="9"/>
    <w:link w:val="6"/>
    <w:semiHidden/>
    <w:qFormat/>
    <w:uiPriority w:val="99"/>
    <w:rPr>
      <w:rFonts w:ascii="Times New Roman" w:hAnsi="Times New Roman" w:eastAsia="仿宋_GB2312" w:cs="Times New Roman"/>
      <w:sz w:val="18"/>
      <w:szCs w:val="18"/>
    </w:rPr>
  </w:style>
  <w:style w:type="character" w:customStyle="1" w:styleId="16">
    <w:name w:val="批注文字 字符"/>
    <w:basedOn w:val="9"/>
    <w:link w:val="2"/>
    <w:semiHidden/>
    <w:qFormat/>
    <w:uiPriority w:val="99"/>
    <w:rPr>
      <w:rFonts w:ascii="Times New Roman" w:hAnsi="Times New Roman" w:eastAsia="仿宋_GB2312" w:cs="Times New Roman"/>
      <w:sz w:val="28"/>
      <w:szCs w:val="20"/>
    </w:rPr>
  </w:style>
  <w:style w:type="character" w:customStyle="1" w:styleId="17">
    <w:name w:val="批注主题 字符"/>
    <w:basedOn w:val="16"/>
    <w:link w:val="7"/>
    <w:semiHidden/>
    <w:qFormat/>
    <w:uiPriority w:val="99"/>
    <w:rPr>
      <w:rFonts w:ascii="Times New Roman" w:hAnsi="Times New Roman" w:eastAsia="仿宋_GB2312" w:cs="Times New Roman"/>
      <w:b/>
      <w:bCs/>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5</Pages>
  <Words>2328</Words>
  <Characters>2406</Characters>
  <Lines>17</Lines>
  <Paragraphs>4</Paragraphs>
  <TotalTime>12</TotalTime>
  <ScaleCrop>false</ScaleCrop>
  <LinksUpToDate>false</LinksUpToDate>
  <CharactersWithSpaces>2501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2022-07-19T07:25:00Z</dcterms:created>
  <dc:creator>hp</dc:creator>
  <cp:lastModifiedBy>NiShuang</cp:lastModifiedBy>
  <dcterms:modified xsi:type="dcterms:W3CDTF">2026-06-18T07:12:48Z</dcterms:modified>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eyJoZGlkIjoiZjhhMTFiZjAwMWFiMDk0OGQzZTc3MmFlNWNlYTAzZjgiLCJ1c2VySWQiOiI2NDQwMDQ5OTkifQ==</vt:lpwstr>
  </property>
  <property fmtid="{D5CDD505-2E9C-101B-9397-08002B2CF9AE}" pid="4" name="ICV">
    <vt:lpwstr>36E8EF49C4FA4A2689C430768E3134AC_12</vt:lpwstr>
  </property>
</Properties>
</file>