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00" w:firstLineChars="200"/>
        <w:rPr>
          <w:rFonts w:ascii="仿宋_GB2312" w:hAnsi="Times New Roman" w:eastAsia="仿宋_GB2312" w:cs="Times New Roman"/>
          <w:kern w:val="0"/>
          <w:sz w:val="30"/>
          <w:szCs w:val="30"/>
        </w:rPr>
      </w:pPr>
    </w:p>
    <w:p>
      <w:pPr>
        <w:spacing w:line="560" w:lineRule="exact"/>
        <w:ind w:firstLine="600" w:firstLineChars="200"/>
        <w:rPr>
          <w:rFonts w:ascii="仿宋_GB2312" w:hAnsi="Times New Roman" w:eastAsia="仿宋_GB2312" w:cs="Times New Roman"/>
          <w:kern w:val="0"/>
          <w:sz w:val="30"/>
          <w:szCs w:val="30"/>
        </w:rPr>
      </w:pPr>
    </w:p>
    <w:p>
      <w:pPr>
        <w:spacing w:line="540" w:lineRule="exact"/>
        <w:jc w:val="center"/>
        <w:rPr>
          <w:rFonts w:ascii="宋体" w:hAnsi="宋体" w:eastAsia="宋体" w:cs="Times New Roman"/>
          <w:kern w:val="0"/>
          <w:sz w:val="44"/>
          <w:szCs w:val="44"/>
        </w:rPr>
      </w:pPr>
      <w:r>
        <w:rPr>
          <w:rFonts w:ascii="宋体" w:hAnsi="宋体" w:eastAsia="宋体" w:cs="Times New Roman"/>
          <w:kern w:val="0"/>
          <w:sz w:val="44"/>
          <w:szCs w:val="44"/>
        </w:rPr>
        <w:t>山东省高级人民法院</w:t>
      </w:r>
    </w:p>
    <w:p>
      <w:pPr>
        <w:spacing w:line="800" w:lineRule="exact"/>
        <w:rPr>
          <w:rFonts w:ascii="宋体" w:hAnsi="仿宋_GB2312" w:eastAsia="宋体" w:cs="Times New Roman"/>
          <w:kern w:val="0"/>
          <w:sz w:val="32"/>
          <w:szCs w:val="32"/>
        </w:rPr>
      </w:pPr>
    </w:p>
    <w:p>
      <w:pPr>
        <w:spacing w:line="800" w:lineRule="exact"/>
        <w:jc w:val="center"/>
        <w:rPr>
          <w:rFonts w:ascii="方正大标宋简体" w:hAnsi="仿宋_GB2312" w:eastAsia="方正大标宋简体" w:cs="Times New Roman"/>
          <w:kern w:val="0"/>
          <w:sz w:val="52"/>
          <w:szCs w:val="52"/>
        </w:rPr>
      </w:pPr>
      <w:r>
        <w:rPr>
          <w:rFonts w:ascii="方正大标宋简体" w:hAnsi="仿宋_GB2312" w:eastAsia="方正大标宋简体" w:cs="Times New Roman"/>
          <w:kern w:val="0"/>
          <w:sz w:val="52"/>
          <w:szCs w:val="52"/>
        </w:rPr>
        <w:t>民  事  判  决  书</w:t>
      </w: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0" w:name="CaseCode"/>
      <w:bookmarkEnd w:id="0"/>
      <w:r>
        <w:rPr>
          <w:rFonts w:ascii="仿宋_GB2312" w:hAnsi="仿宋_GB2312" w:eastAsia="仿宋_GB2312" w:cs="仿宋"/>
          <w:kern w:val="0"/>
          <w:sz w:val="32"/>
          <w:szCs w:val="32"/>
        </w:rPr>
        <w:t>（2022）鲁民终2685号</w:t>
      </w:r>
      <w:bookmarkStart w:id="1" w:name="IdentityInfo"/>
      <w:bookmarkEnd w:id="1"/>
      <w:bookmarkStart w:id="2" w:name="MainBody"/>
      <w:bookmarkEnd w:id="2"/>
    </w:p>
    <w:p>
      <w:pPr>
        <w:spacing w:line="560" w:lineRule="exact"/>
        <w:rPr>
          <w:rFonts w:ascii="仿宋_GB2312" w:hAnsi="仿宋_GB2312" w:eastAsia="仿宋_GB2312" w:cs="仿宋"/>
          <w:kern w:val="0"/>
          <w:sz w:val="32"/>
          <w:szCs w:val="32"/>
        </w:rPr>
      </w:pP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上诉人（原审原告）：</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，男。</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委托诉讼代理人：蒋</w:t>
      </w:r>
      <w:r>
        <w:rPr>
          <w:rFonts w:hint="eastAsia" w:ascii="仿宋_GB2312" w:hAnsi="仿宋_GB2312" w:eastAsia="仿宋_GB2312" w:cs="仿宋_GB2312"/>
          <w:kern w:val="0"/>
          <w:sz w:val="32"/>
          <w:szCs w:val="32"/>
          <w:lang w:eastAsia="zh-CN"/>
        </w:rPr>
        <w:t>某</w:t>
      </w:r>
      <w:r>
        <w:rPr>
          <w:rFonts w:ascii="仿宋_GB2312" w:hAnsi="仿宋_GB2312" w:eastAsia="仿宋_GB2312" w:cs="仿宋_GB2312"/>
          <w:kern w:val="0"/>
          <w:sz w:val="32"/>
          <w:szCs w:val="32"/>
        </w:rPr>
        <w:t>成，广东广荣律师事务所律师。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委托诉讼代理人：蒋</w:t>
      </w:r>
      <w:r>
        <w:rPr>
          <w:rFonts w:hint="eastAsia" w:ascii="仿宋_GB2312" w:hAnsi="仿宋_GB2312" w:eastAsia="仿宋_GB2312" w:cs="仿宋_GB2312"/>
          <w:kern w:val="0"/>
          <w:sz w:val="32"/>
          <w:szCs w:val="32"/>
          <w:lang w:eastAsia="zh-CN"/>
        </w:rPr>
        <w:t>某</w:t>
      </w:r>
      <w:r>
        <w:rPr>
          <w:rFonts w:ascii="仿宋_GB2312" w:hAnsi="仿宋_GB2312" w:eastAsia="仿宋_GB2312" w:cs="仿宋_GB2312"/>
          <w:kern w:val="0"/>
          <w:sz w:val="32"/>
          <w:szCs w:val="32"/>
        </w:rPr>
        <w:t>妮，广东广荣律师事务所实习律师。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被上诉人（原审被告）：</w:t>
      </w:r>
      <w:r>
        <w:rPr>
          <w:rFonts w:hint="eastAsia" w:ascii="仿宋_GB2312" w:hAnsi="仿宋_GB2312" w:eastAsia="仿宋_GB2312" w:cs="仿宋_GB2312"/>
          <w:kern w:val="0"/>
          <w:sz w:val="32"/>
          <w:szCs w:val="32"/>
          <w:lang w:eastAsia="zh-CN"/>
        </w:rPr>
        <w:t>某研究院</w:t>
      </w:r>
      <w:r>
        <w:rPr>
          <w:rFonts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法定代表人：国</w:t>
      </w:r>
      <w:r>
        <w:rPr>
          <w:rFonts w:hint="eastAsia" w:ascii="仿宋_GB2312" w:hAnsi="仿宋_GB2312" w:eastAsia="仿宋_GB2312" w:cs="仿宋_GB2312"/>
          <w:kern w:val="0"/>
          <w:sz w:val="32"/>
          <w:szCs w:val="32"/>
          <w:lang w:eastAsia="zh-CN"/>
        </w:rPr>
        <w:t>某</w:t>
      </w:r>
      <w:r>
        <w:rPr>
          <w:rFonts w:ascii="仿宋_GB2312" w:hAnsi="仿宋_GB2312" w:eastAsia="仿宋_GB2312" w:cs="仿宋_GB2312"/>
          <w:kern w:val="0"/>
          <w:sz w:val="32"/>
          <w:szCs w:val="32"/>
        </w:rPr>
        <w:t>彦，书记。</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委托诉讼代理人：孔</w:t>
      </w:r>
      <w:r>
        <w:rPr>
          <w:rFonts w:hint="eastAsia" w:ascii="仿宋_GB2312" w:hAnsi="仿宋_GB2312" w:eastAsia="仿宋_GB2312" w:cs="仿宋_GB2312"/>
          <w:kern w:val="0"/>
          <w:sz w:val="32"/>
          <w:szCs w:val="32"/>
          <w:lang w:eastAsia="zh-CN"/>
        </w:rPr>
        <w:t>某</w:t>
      </w:r>
      <w:r>
        <w:rPr>
          <w:rFonts w:ascii="仿宋_GB2312" w:hAnsi="仿宋_GB2312" w:eastAsia="仿宋_GB2312" w:cs="仿宋_GB2312"/>
          <w:kern w:val="0"/>
          <w:sz w:val="32"/>
          <w:szCs w:val="32"/>
        </w:rPr>
        <w:t>，山东众立律师事务所律师。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被上诉人（原审被告）：</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，男。</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委托诉讼代理人：付</w:t>
      </w:r>
      <w:r>
        <w:rPr>
          <w:rFonts w:hint="eastAsia" w:ascii="仿宋_GB2312" w:hAnsi="仿宋_GB2312" w:eastAsia="仿宋_GB2312" w:cs="仿宋_GB2312"/>
          <w:kern w:val="0"/>
          <w:sz w:val="32"/>
          <w:szCs w:val="32"/>
          <w:lang w:eastAsia="zh-CN"/>
        </w:rPr>
        <w:t>某</w:t>
      </w:r>
      <w:r>
        <w:rPr>
          <w:rFonts w:ascii="仿宋_GB2312" w:hAnsi="仿宋_GB2312" w:eastAsia="仿宋_GB2312" w:cs="仿宋_GB2312"/>
          <w:kern w:val="0"/>
          <w:sz w:val="32"/>
          <w:szCs w:val="32"/>
        </w:rPr>
        <w:t>斌，山东儒源律师事务所律师。</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上诉人</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因与被上诉人</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侵害著作权纠纷一案</w:t>
      </w:r>
      <w:r>
        <w:rPr>
          <w:rFonts w:ascii="仿宋_GB2312" w:hAnsi="仿宋_GB2312" w:eastAsia="仿宋_GB2312" w:cs="仿宋_GB2312"/>
          <w:kern w:val="0"/>
          <w:sz w:val="32"/>
          <w:szCs w:val="32"/>
        </w:rPr>
        <w:t>，不服山东省济宁市中级人民法院（2021）鲁08民初280号民事判决，向本院提起上诉。本院立案后，依法组成合议庭进行了审理。本案现已审理终结。</w:t>
      </w:r>
      <w:bookmarkStart w:id="8" w:name="_GoBack"/>
      <w:bookmarkEnd w:id="8"/>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上诉请求：1.撤销一审判决，改判</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侵权成立，</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协助</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终止对</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的侵权；2.一、二审诉讼费由</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承担。事实和理由：一、</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针对《论语》理论研究的著述及评论系作品，拥有完整的著作权。</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及其他学者认为论语具有逻辑仅是一种猜想或思想，并没有形成系统和全面的著述或评论。二、一审法院对被诉侵权表达与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独创性表达的实质性相似不予认定为侵权系事实及法律认定错误。1.一审法院一方面认可</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的被诉侵权表达与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具有独创性的表达相似，且认定该被诉侵权表达是</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接触到</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独创性表达后所作，另一方面又认为该行为不构成侵权，系自相矛盾。2.一审法院并未对</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“20篇服务于整部《论语》的中心思想，而一篇内的各章是对该篇中心思想的阐述与发挥”与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“二十篇《论语》服从与服务着整部《论语》的这个思想与目的，而一篇内的各章《论语》则是对该篇《论语》中心思想的阐述与发挥”的相似表达进行认定。</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对该部分的抄袭，实际也是对</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具有独创性表达的部分抄袭。三、一审法院存在漏判。1.“《论语》从根本上来讲是一部中国政治学的最高经典。许多注家早已发现《论语》全书最末一篇最后一章‘知命’‘知礼’与‘知言’其实就是《论语》全书的最高纲领或总结”“《倒读论语》上卷（《尧曰篇第二十》至《先进篇第十一》共十篇）主要是从‘用’的角度来论述儒家的思想；下卷（《乡党篇第十》至《学而篇第一》共十篇）则主要从‘学’的角度来展开论述”系</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对论语的独到见解以及新颖表达，具有著作权法意义上的独创性。被诉侵权表述与上述表达主要词汇、语句相同，内容顺序亦相同，两者高度相似，一审法院未对此进行认定。2.</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未经许可即将</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作品进行部分公开发表，系侵犯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发表权。</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对外公开发表</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的作品但未注明出处，而是作为自己的作品及成果，系侵犯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署名权。</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被诉侵权作品与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涉案作品相似度极高，系侵犯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复制权。</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将被诉侵权作品置于网络进行传播，系侵犯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信息网络传播权。</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未经许可将</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涉案作品进行改编和演绎，但保留了其独创性部分，系侵犯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演绎权。一审法院对此并未进行逐一认定。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辩称，一审法院认定事实清楚，适用法律正确，</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的上诉请求无事实及法律依据，应予驳回。1.</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对《论语》的观点及表达早已公开发表，得到学术界认可并传播至海外，其在</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涉案作品之前便多次阐述、表达“论语的内在逻辑严密”，并未侵犯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著作权。2.</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在远晚于</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公开表达“论语具有内在的严密逻辑”后发表有关于论语内在逻辑的作品，且其观点并不具备独特、新颖的特点，也未使用某种新的主体或思想观念，其行为并不构成著作权中所保护的独创性。3.一审法院根据当事人双方提供的证据、证明观点、相关法律规定综合全案依法判决，不存在漏判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某研究院</w:t>
      </w:r>
      <w:r>
        <w:rPr>
          <w:rFonts w:ascii="仿宋_GB2312" w:hAnsi="仿宋_GB2312" w:eastAsia="仿宋_GB2312" w:cs="仿宋_GB2312"/>
          <w:kern w:val="0"/>
          <w:sz w:val="32"/>
          <w:szCs w:val="32"/>
        </w:rPr>
        <w:t>辩称，一审法院认定事实清楚，证据确实充分，适用法律正确，依法应予维持。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向一审法院起诉，请求判令：1.</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停止侵权行为、消除影响；2.</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赔礼道歉；3.</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赔偿</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损失100万元；4.</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承担本案诉讼费用。一审审理过程中，</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申请撤销第三项诉讼请求，一审法院予以准许。</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一审法院认定事实：</w:t>
      </w:r>
      <w:bookmarkStart w:id="3" w:name="TrialFind"/>
      <w:bookmarkEnd w:id="3"/>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2003年，</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发表《新出竹书与&lt;论语&gt;成书问题再认识》一文，文中提到“将《论语》首篇首章这样理解，突出‘人不知’情况下的君子人格主体问题，而且它不仅与《论语》的末篇末章照应，更与《论语》首篇末章互相照应¨¨¨，相比之下，《论语》开篇与首篇末章的照应应该更为重要，更为直接。”“这样，《论语》内在的严密逻辑就很清楚了，《论语》首篇围绕做人这一个中心问题展开，以下各篇分别谈为政以德，守礼明礼，择仁处仁等，层层剥离，依次展开。”2008年8月，</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在由广陵书社出版发行的《论语诠解》中也有相同表述。</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郭海燕、崔海鹰在2009年10月25日出版的2009年第10期《东岳论丛》发表了《&lt;论语&gt;还有多少疑难？——</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主编&lt;论语诠释&gt;评介》一文，文中提到：“杨先生明确指出，《论语》绝不是材料随意堆砌，而是‘有内在的严密逻辑’，对孔子思想的研究要‘放在中国上古文化的大背景中进行’，‘将孔子回归到他所处的时空中去研究’，要将‘新出文献与传世文献认真比较，综合分析’，从‘总体上把握孔子思想’。”</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2012年9月，</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主编的《论语诠解》一书由山东友谊出版社出版，该书后记一文中提到：“每篇设有‘概说’，目的在于表明《论语》绝非资料的随意堆砌，而是有一定的内在逻辑，也可以与本书的前言相应，辅助对《论语》文本的理解。”</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2013年4月1日，</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将其写作的《倒读论语》第十二篇《子罕篇第九》通过新浪邮箱发送给</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，2013年4月9日，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通过新浪邮件向</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索要全书稿件。2013年4月10日，</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将《倒读论语》上下卷通过新浪邮箱发送给</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于2013年4月11日回复收到相关内容。《倒读论语》上下卷以及《倒读论语》序言一、二中阐述有如下观点：“《论语》的编辑自有其中心的思想与目的，二十篇《论语》服从与服务着整部《论语》的这个思想与目的，而一篇内的各章《论语》则是对该篇《论语》中心思想的阐述与发挥。由今本《论语》及其形成历史可以推测，即使是已经亡佚的《鲁论语》、《齐论语》、《古论语》以及《张候论》，不同历史时期所流传的不同版本《论语》都应是结构严谨、逻辑严密、体系完整的大论著，而不会像后世许多学者所称的那样只是一部‘杂乱无章’的‘语录体’文集。”“《论语》从根本上来讲是一部中国政治学的最高经典。许多注家早已发现《论语》全书最末一篇最后一章‘知命’、‘知礼’与‘知言’其实就是《论语》全书的最高纲领或总结。历史上著名的汉代大儒董仲舒与汉武帝间的‘天人三策’，充分体现了《论语》‘知命’、‘知礼’与‘知言’作为政治学最高纲领命题的此言不虚。”“既然《论语》最末一章是整部《论语》的‘最高纲领或总结’，那么，我们解读《论语》完全可以从这个‘最高纲领或总结’出发向前层层追溯、抽丝剥茧以找出编辑它的理路与逻辑，并以此理路和逻辑逐篇逐章重新审视、准确把握《论语》最原始与最真实的思想与含义。”“从逻辑上来讲，要‘倒读’《论语》，首先需要确定：2500年来我们这部已经习惯了‘顺’着读的《论语》是逻辑严密、结构严谨、体系完整的。可以这样说，‘顺读’《论语》的严密逻辑、严谨结构与完整体系，是《论语》能够‘倒读’的前提。”《倒读&lt;论语&gt;》第一篇（尧曰篇第二十）开篇提到：“本篇主要阐述儒家‘王道’政治的大经大法，从政守则与领导须知，是孔子政治哲学的高度概括与总结。”《倒读&lt;论语&gt;》第十一篇（乡党篇第十）开篇提到：“《倒读论语》上卷（《尧曰篇第二十》至《先进篇第十一》共十篇）主要是从‘用’的角度来论述儒家的思想；下卷（《乡党篇第十》至《学而篇第一》共十篇）则主要从‘学’的角度来展开论述。”文中还提到：“历代作家，他们整体认为：《论语》是一部‘语录体文集’，《论语》的篇章之间没有严谨的结构与严密的逻辑。”该作品分上下两卷，共计69万余字，至今未公开发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2013年7月13日，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的《倒读论语》作序；2013年8月12日，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在新浪“</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的博客”发表《</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先生&lt;倒读论语&gt;序言》一文。在该文章中</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提到：“谈到这里，我们不禁击节赞赏本书的洞见。作者看到，历代注家在《论语》释读方法上犯了‘整体的方向性错误’，那便是他们绝大多数人认为《论语》的篇章之间没有严谨的结构与严密的逻辑。正是这种错误性认识，为随意曲解《论语》、‘异化’《论语》大开了方便之门。在作者看来，《论语》的编辑自有其中心思想与目的，二十篇《论语》服从与服务着整部《论语》的这个思想与目的，而一篇内的各章《论语》则是对该篇《论语》中心思想的阐述与发挥。《论语》是结构严谨、逻辑严密、体系完整的大论著，而不会像后世许多学者所称的那样只是一部‘杂乱无章’的‘语录体’文集。”“历史上也有学者对《论语》的结构发表了很好的看法，如南朝学者皇侃对《论语》二十篇的篇名进行释读，创造性地阐述了二十篇次序排列的原因。他的《论语义疏》指出各篇的前后次序，实际肯定了《论语》是有机的整体，具有内在逻辑。以《学而》、《为政》相次，与《左传》襄公二十一年所载于子产‘闻学而后入政’说一致。篇名取自首章，首章或是有意安排的。遗憾的是，他的观点没有受到应有的重视，例如清人翟灏《四书考异》就以为不然，刘宝楠《论语正义》也认为皇疏‘妄有联贯’。我们以为，皇疏虽有牵强之处，但他认为《论语》材料绝非随意堆砌，而是具有内在的逻辑，还是十分正确的！几年前我在出版《论语诠解》（广陵书社，2008年8月）时曾经详细谈过这一看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于2013年8月10日在新浪博客发表《&lt;论语·乡党&gt;末章的意蕴》一文，后于2014年3月在《燕山大学学报（哲学社会科学版）》上再次发表该文章，该文章摘要部分提到：“第三，必须了解《论语》一书的特征。《论语》一书有内在的逻辑，是按照孔子一生的出处进退和思想学说精心编辑而成，故《乡党》篇不可能是子路一人集录”。该文最后一段有“《论语》一书形式上是‘语录体’著作，但其中有内在的逻辑，它是按照孔子一生的出处进退和思想学说精心编辑的孔子言语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2013年11月26日，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接受《东方早报》采访时陈述：“正因为《论语》都是语录，而《孔子家语》提供了一个通篇的语言背景和环境，更加系统。比如关于《论语》成书问题，以往觉得篇章之间是随意堆砌，但如果看了《孔子家语》，可以发现其中的内在关联，它是按照对于孔子思想的内在认识和系统看法排列的。二十篇《论语》都服从于整部《论语》的中心思想，而一篇内的各章《论语》是对该篇的中心思想的阐述与发挥。《论语》是结构严谨、逻辑严密、体系完整的大论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李文文合著有《&lt;论语&gt;的逻辑》一书，并于2015年11月在山东电子音像出版社发行，该书引言中提到：“从孔子之学、孔子的追求以及孔子对待‘人不知’的境遇等方面，完全可以印证‘学’与‘道’相近，应该作名词来理解，指‘思想主张’。”文中提到：“很多人认为论语的各章节之间并没有必然的联系，果真如此吗？在作者看来，《论语》有着严密的逻辑结构，《论语》本身就是完整的生命体，它的首尾之间遥相呼应，它的篇章之间血脉相连，它的章节之间大小相成。”</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2017年10月17日，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“春秋讲坛”主讲《&lt;论语&gt;的成书与内在精神》，</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网站春秋讲坛板块于2017年10月18日发布2017年春秋讲坛第十二讲，即对</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的报告《&lt;论语&gt;的成书与内在精神》进行了介绍，该文中提到：“要了解编者的意图，把握其整体思想。”“末篇《尧曰》主要阐述儒家王道政治，知命、知礼与知言则是《论语》全书的最高纲领或总结。他认为，《论语》既是修身学说，也是治世之学，其中各篇都是有逻辑的，前后有内在的联系。《论语》每篇都有主旨，前10篇从‘道’的角度展开论述，后10篇从‘用’的角度论述孔子儒学思想，我们读《论语》就要把握其内在的逻辑结构和整体思想。”</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2020年10月27日，</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发表了《今天怎样读&lt;论语&gt;》一文，文中提到：“《论语》中的字句与思想属于孔子，而我们也要认识到《论语》文本同样反映了《论语》编者对于孔子的理解。不论以常理推断还是学术研究的证实，《论语》材料的选辑、整理、编纂都有着一个精心细致的过程，篇与篇之间、章与章之间绝非材料的随意堆砌罗列。”“故而读《论语》要整体读，不能支离破碎，不可断章取义，因为它本身即是一个有机的整体，有其内在前后贯通的联系与逻辑。”</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一审法院认为，根据当事人的主张、抗辩及举证，本案的焦点问题是：</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是否存在侵犯</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著作权的行为，是否应承担侵权责任。</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中华人民共和国著作权法》第三条规定：“本法所称的作品，是指文学、艺术和科学领域内具有独创性并能以一定形式表现的智力成果，包括：（一）文字作品；（二）口述作品；（三）音乐、戏剧、曲艺、舞蹈、杂技艺术作品；（四）美术、建筑作品；（五）摄影作品；（六）视听作品；（七）工程设计图、产品设计图、地图、示意图等图形作品和模型作品；（八）计算机软件；（九）符合作品特征的其他智力成果。”</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主张其关于《论语》具体有怎样的逻辑的表述受著作权法保护，</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发表的《&lt;论语·乡党&gt;末章的意蕴》《&lt;论语&gt;的成书与内在精神》《今天怎样读&lt;论语&gt;》等文章及出版的《&lt;论语&gt;的逻辑》一书中表述侵犯了其在《倒读&lt;论语&gt;》中关于《论语》具体有怎样的逻辑的表述。一审法院认为，首先，著作权法保护的对象是对思想及事实的独创性表达，而不保护思想观念本身，</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也认可其所主张的</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侵权，不是侵犯其作品所表达的《论语》具备内在逻辑这一观点，而是对《论语》具体有怎样的逻辑的独创性的表达侵权。一审法院认为具体认定作品时应当把握以下几点：1.是否具有一定表现形式，不属于客观事实或者抽象的思想本身；2.是否由创作者独立完成，体现了创作者的个性化选择、判断及技巧等因素；3.是否属于智力劳动成果。独创性的特点主要是独特而新颖，以独特而新颖的表达予以表述、阐发、论证，才可以获得著作权法的保护。当然，如果作者具有某种新的主题或思想观念，又当然会有助于他创作出新颖独特的表达。与此同时，在不同种类的作品中，独创性的体现方式，或者对于独创性的要求程度是不同的，在小说、诗歌等大众性文学作品中，虽然是就同一个主题进行创作，由于作者阅历、心态、作品切入角度的不同，很容易创作出在表达上很不相同的作品，使得作品具有较高的独创性；而在人物传记、历史研究一类的作品中，由于不同作者所使用的材料基本相同甚至一样，创作出来的作品也具有或多或少的相似性，在这类作品中，独创性可能体现在作者对于材料的选择、编排和说明上，不同于文学作品所具有的独创性。而本案</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作品及被控侵权的作品恰恰是属于对历史文献研究一类的作品，其二人所研究的对象均为不同历史时期不同版本的《论语》，</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在接触</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所著《倒读论语》前后发表的文章及出版著作中对《论语》具有一个中心、绝不是材料随意堆砌、而是有内在的严密逻辑的思想表达，与</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的相关表达基本一致，</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在接触</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所著《倒读论语》后，在部分著作和访谈中出现和《倒读论语》中基本一致的简短语句，并不构成上诉人所主张的著作权法上侵权。</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主张</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构成侵权，事实依据不足，一审法院依法不予支持。在</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没有侵犯</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著作权的情况下，</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主张</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发表对</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文章《&lt;论语&gt;的成书与内在精神》的概述侵犯其著作权，没有事实和法律依据，一审法院亦不予支持。因</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主张的侵权事实不能成立，其所主张的侵权责任，一审法院不予支持。</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另外，</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在一审开庭前变更诉讼请求，自愿放弃赔偿损失的主张，系对其权利的处分，一审法院予以准许。</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综上所述,</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的主张不能成立，一审法院依法不予支持。依照《中华人民共和国著作权法》第三条，《中华人民共和国民事诉讼法》第五十四条、第一百五十五条之规定，判决：驳回</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的诉讼请求。案件受理费500元，由</w:t>
      </w:r>
      <w:r>
        <w:rPr>
          <w:rFonts w:hint="eastAsia" w:ascii="仿宋_GB2312" w:hAnsi="仿宋_GB2312" w:eastAsia="仿宋_GB2312" w:cs="仿宋_GB2312"/>
          <w:sz w:val="32"/>
          <w:szCs w:val="32"/>
          <w:lang w:eastAsia="zh-CN"/>
        </w:rPr>
        <w:t>龚某平</w:t>
      </w:r>
      <w:r>
        <w:rPr>
          <w:rFonts w:ascii="仿宋_GB2312" w:hAnsi="仿宋_GB2312" w:eastAsia="仿宋_GB2312" w:cs="仿宋_GB2312"/>
          <w:sz w:val="32"/>
          <w:szCs w:val="32"/>
        </w:rPr>
        <w:t>负担。</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本院二审期间，当事人围绕上诉请求依法提交了证据，本院组织当事人进行了证据交换和质证。</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提交以下证据：</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微信聊天记录11页，拟证明</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在与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的微信聊天中明确表示其发表</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的研究成果。</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质证称，对该证据真实性无异议，对关联性及证明观点有异议，该证据不能证明</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发表了</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的研究成果，且关于论语逻辑的问题均是</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已经发表过的研究成果，并非是发表的</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的成果。</w:t>
      </w:r>
      <w:r>
        <w:rPr>
          <w:rFonts w:hint="eastAsia" w:ascii="仿宋_GB2312" w:hAnsi="仿宋_GB2312" w:eastAsia="仿宋_GB2312" w:cs="仿宋_GB2312"/>
          <w:kern w:val="0"/>
          <w:sz w:val="32"/>
          <w:szCs w:val="32"/>
          <w:lang w:eastAsia="zh-CN"/>
        </w:rPr>
        <w:t>某研究院</w:t>
      </w:r>
      <w:r>
        <w:rPr>
          <w:rFonts w:ascii="仿宋_GB2312" w:hAnsi="仿宋_GB2312" w:eastAsia="仿宋_GB2312" w:cs="仿宋_GB2312"/>
          <w:kern w:val="0"/>
          <w:sz w:val="32"/>
          <w:szCs w:val="32"/>
        </w:rPr>
        <w:t>质证称，对该证据真实性无法确认，对关联性和证明观点有异议，该证据</w:t>
      </w:r>
      <w:r>
        <w:rPr>
          <w:rFonts w:ascii="仿宋_GB2312" w:hAnsi="仿宋_GB2312" w:eastAsia="仿宋_GB2312" w:cs="仿宋_GB2312"/>
          <w:sz w:val="32"/>
          <w:szCs w:val="32"/>
        </w:rPr>
        <w:t>不能证明</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的证明观点</w:t>
      </w:r>
      <w:r>
        <w:rPr>
          <w:rFonts w:ascii="仿宋_GB2312" w:hAnsi="仿宋_GB2312" w:eastAsia="仿宋_GB2312" w:cs="仿宋_GB2312"/>
          <w:sz w:val="32"/>
          <w:szCs w:val="32"/>
        </w:rPr>
        <w:t>，亦</w:t>
      </w:r>
      <w:r>
        <w:rPr>
          <w:rFonts w:ascii="仿宋_GB2312" w:hAnsi="仿宋_GB2312" w:eastAsia="仿宋_GB2312" w:cs="仿宋_GB2312"/>
          <w:kern w:val="0"/>
          <w:sz w:val="32"/>
          <w:szCs w:val="32"/>
        </w:rPr>
        <w:t>与</w:t>
      </w:r>
      <w:r>
        <w:rPr>
          <w:rFonts w:hint="eastAsia" w:ascii="仿宋_GB2312" w:hAnsi="仿宋_GB2312" w:eastAsia="仿宋_GB2312" w:cs="仿宋_GB2312"/>
          <w:sz w:val="32"/>
          <w:szCs w:val="32"/>
          <w:lang w:eastAsia="zh-CN"/>
        </w:rPr>
        <w:t>某研究院</w:t>
      </w:r>
      <w:r>
        <w:rPr>
          <w:rFonts w:ascii="仿宋_GB2312" w:hAnsi="仿宋_GB2312" w:eastAsia="仿宋_GB2312" w:cs="仿宋_GB2312"/>
          <w:sz w:val="32"/>
          <w:szCs w:val="32"/>
        </w:rPr>
        <w:t>无关。本院认为，因</w:t>
      </w:r>
      <w:r>
        <w:rPr>
          <w:rFonts w:hint="eastAsia" w:ascii="仿宋_GB2312" w:hAnsi="仿宋_GB2312" w:eastAsia="仿宋_GB2312" w:cs="仿宋_GB2312"/>
          <w:sz w:val="32"/>
          <w:szCs w:val="32"/>
          <w:lang w:eastAsia="zh-CN"/>
        </w:rPr>
        <w:t>杨某明</w:t>
      </w:r>
      <w:r>
        <w:rPr>
          <w:rFonts w:ascii="仿宋_GB2312" w:hAnsi="仿宋_GB2312" w:eastAsia="仿宋_GB2312" w:cs="仿宋_GB2312"/>
          <w:sz w:val="32"/>
          <w:szCs w:val="32"/>
        </w:rPr>
        <w:t>对上述证据真实性无异议，本院对该证据真实性予以确认，对其证明力将结合本案其他事实予以综合认定。</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本院对一审法院查明的事实予以确认。</w:t>
      </w:r>
    </w:p>
    <w:p>
      <w:pPr>
        <w:spacing w:line="560" w:lineRule="exact"/>
        <w:ind w:firstLine="640" w:firstLineChars="200"/>
        <w:rPr>
          <w:rFonts w:ascii="仿宋_GB2312" w:hAnsi="仿宋_GB2312" w:eastAsia="仿宋_GB2312" w:cs="仿宋_GB2312"/>
          <w:kern w:val="0"/>
          <w:sz w:val="32"/>
          <w:szCs w:val="32"/>
        </w:rPr>
      </w:pPr>
      <w:bookmarkStart w:id="4" w:name="TrialReason"/>
      <w:bookmarkEnd w:id="4"/>
      <w:r>
        <w:rPr>
          <w:rFonts w:ascii="仿宋_GB2312" w:hAnsi="仿宋_GB2312" w:eastAsia="仿宋_GB2312" w:cs="仿宋_GB2312"/>
          <w:kern w:val="0"/>
          <w:sz w:val="32"/>
          <w:szCs w:val="32"/>
        </w:rPr>
        <w:t>本院认为，</w:t>
      </w:r>
      <w:bookmarkStart w:id="5" w:name="TrialBasis"/>
      <w:bookmarkEnd w:id="5"/>
      <w:r>
        <w:rPr>
          <w:rFonts w:ascii="仿宋_GB2312" w:hAnsi="仿宋_GB2312" w:eastAsia="仿宋_GB2312" w:cs="仿宋_GB2312"/>
          <w:kern w:val="0"/>
          <w:sz w:val="32"/>
          <w:szCs w:val="32"/>
        </w:rPr>
        <w:t>一审法院虽然对于</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是否侵害</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主张保护的“《论语》从根本上来讲是一部中国政治学的最高经典。许多注家早已发现《论语》全书最末一篇最后一章‘知命’‘知礼’与‘知言’其实就是《论语》全书的最高纲领或总结”“《倒读论语》上卷（《尧曰篇第二十》至《先进篇第十一》共十篇）主要是从‘用’的角度来论述儒家的思想；下卷（《乡党篇第十》至《学而篇第一》共十篇）则主要从‘学’的角度来展开论述”内容并未明确作出阐述，但一审法院在一审庭审中对</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针对上述论述所提交的证据已组织各方进行了质证，一审判决对相关事实亦进行了认定，二审中当事人亦均同意二审法院进行审理，综合全案情况，本院对此予以进行审查。故本案争议焦点问题是</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某研究院</w:t>
      </w:r>
      <w:r>
        <w:rPr>
          <w:rFonts w:ascii="仿宋_GB2312" w:hAnsi="仿宋_GB2312" w:eastAsia="仿宋_GB2312" w:cs="仿宋_GB2312"/>
          <w:kern w:val="0"/>
          <w:sz w:val="32"/>
          <w:szCs w:val="32"/>
        </w:rPr>
        <w:t>的被诉行为是否侵害</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著作权。</w:t>
      </w:r>
    </w:p>
    <w:p>
      <w:pPr>
        <w:spacing w:line="560" w:lineRule="exac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首先，《中华人民共和国著作权法实施条例》第二条规定，著作权法所称作品，是指文学、艺术和科学领域内具有独创性并能以某种有形形式复制的智力成果。据此，构成作品必须具备三个条件，一是具有独创性，二是能够以有形形式复制，三是智力成果。而独创性要求独立完成并且相对于在先的作品具有最低限度的创新性。根据当事人的举证，在</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2013年的作品中作出“《论语》都应是结构严谨、逻辑严密、体系完整的大论著”的论述之前，</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等其他主体已经在公开发表的文章中作出了类似的“《论语》绝不是材料随意堆砌，而是有内在的严密逻辑”“每篇设有‘概说’，目的在于表明《论语》绝非资料的随意堆砌，而是有一定的内在逻辑，也可以与本书的前言相应，辅助对《论语》文本的理解”等论述，故</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的该论述并不具有独创性，不构成著作权法保护的作品。</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其次，根据《中华人民共和国著作权法实施条例》第二条的规定，我国著作权法的保护对象是指具有独创性表达的作品。换言之，著作权法保护的是作者思想观念的独创性的表达，而不是被表达的思想观念本身。当思想观念与表达密不可分的时候，或者说当某种思想观念只有一种或者有限的几种表达方式的时候，著作权法不仅不保护该思想观念，亦不保护该思想观念的表达。因为，如果给予该种表达以著作权法的保护，实质上等于保护了该思想观念，就会导致著作权人垄断该思想观念。本案中，</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主张保护的“《论语》从根本上来讲是一部中国政治学的最高经典。许多注家早已发现《论语》全书最末一篇最后一章‘知命’‘知礼’与‘知言’其实就是《论语》全书的最高纲领或总结”“《倒读论语》上卷（《尧曰篇第二十》至《先进篇第十一》共十篇）主要是从‘用’的角度来论述儒家的思想；下卷（《乡党篇第十》至《学而篇第一》共十篇）则主要从‘学’的角度来展开论述”表达，都是</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通过“倒读论语”得出的主要或核心思想观点，也是《倒读论语》一书的主题思想。而在保持语言简洁的前提下，能够表达上述思想观点本身的方式很有限，故上述两个表达属于对思想观点的有限的表达。这种情况下，为防止通过表达的形式所体现出来的思想观点被某个人垄断的结果，不应给予著作权法的保护。</w:t>
      </w:r>
    </w:p>
    <w:p>
      <w:pPr>
        <w:spacing w:line="560" w:lineRule="exact"/>
        <w:ind w:firstLine="640" w:firstLineChars="200"/>
        <w:rPr>
          <w:rFonts w:ascii="仿宋_GB2312" w:hAnsi="仿宋_GB2312" w:eastAsia="仿宋_GB2312" w:cs="仿宋_GB2312"/>
          <w:color w:val="FF0000"/>
          <w:kern w:val="0"/>
          <w:sz w:val="32"/>
          <w:szCs w:val="32"/>
        </w:rPr>
      </w:pPr>
      <w:r>
        <w:rPr>
          <w:rFonts w:ascii="仿宋_GB2312" w:hAnsi="仿宋_GB2312" w:eastAsia="仿宋_GB2312" w:cs="仿宋_GB2312"/>
          <w:kern w:val="0"/>
          <w:sz w:val="32"/>
          <w:szCs w:val="32"/>
        </w:rPr>
        <w:t>再次，因</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主张保护的内容因不具有独创性或是对思想观念的有限的表达，不应给予著作权法的保护，故其关于</w:t>
      </w:r>
      <w:r>
        <w:rPr>
          <w:rFonts w:hint="eastAsia" w:ascii="仿宋_GB2312" w:hAnsi="仿宋_GB2312" w:eastAsia="仿宋_GB2312" w:cs="仿宋_GB2312"/>
          <w:kern w:val="0"/>
          <w:sz w:val="32"/>
          <w:szCs w:val="32"/>
          <w:lang w:eastAsia="zh-CN"/>
        </w:rPr>
        <w:t>杨某明</w:t>
      </w:r>
      <w:r>
        <w:rPr>
          <w:rFonts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某研究院</w:t>
      </w:r>
      <w:r>
        <w:rPr>
          <w:rFonts w:ascii="仿宋_GB2312" w:hAnsi="仿宋_GB2312" w:eastAsia="仿宋_GB2312" w:cs="仿宋_GB2312"/>
          <w:kern w:val="0"/>
          <w:sz w:val="32"/>
          <w:szCs w:val="32"/>
        </w:rPr>
        <w:t>侵害其著作权的主张缺乏依据，本院不予支持，对</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主张的各项权能亦不再单独分析。</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综上，</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的上诉请求不能成立，应予驳回。一审判决认定事实清楚，适用法律正确，应予维持。依据《中华人民共和国民事诉讼法》第一百七十七条第一款第一项规定，判决如下：</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驳回上诉，维持原判。</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二审案件受理费500元，由</w:t>
      </w:r>
      <w:r>
        <w:rPr>
          <w:rFonts w:hint="eastAsia" w:ascii="仿宋_GB2312" w:hAnsi="仿宋_GB2312" w:eastAsia="仿宋_GB2312" w:cs="仿宋_GB2312"/>
          <w:kern w:val="0"/>
          <w:sz w:val="32"/>
          <w:szCs w:val="32"/>
          <w:lang w:eastAsia="zh-CN"/>
        </w:rPr>
        <w:t>龚某平</w:t>
      </w:r>
      <w:r>
        <w:rPr>
          <w:rFonts w:ascii="仿宋_GB2312" w:hAnsi="仿宋_GB2312" w:eastAsia="仿宋_GB2312" w:cs="仿宋_GB2312"/>
          <w:kern w:val="0"/>
          <w:sz w:val="32"/>
          <w:szCs w:val="32"/>
        </w:rPr>
        <w:t>负担。</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本判决为终审判决。</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ind w:right="836" w:rightChars="398"/>
        <w:jc w:val="right"/>
        <w:rPr>
          <w:rFonts w:ascii="仿宋_GB2312" w:hAnsi="仿宋_GB2312" w:eastAsia="仿宋_GB2312" w:cs="Times New Roman"/>
          <w:kern w:val="0"/>
          <w:sz w:val="32"/>
          <w:szCs w:val="32"/>
        </w:rPr>
      </w:pPr>
      <w:bookmarkStart w:id="6" w:name="trishua"/>
      <w:bookmarkEnd w:id="6"/>
      <w:bookmarkStart w:id="7" w:name="InstrumentTail"/>
      <w:bookmarkEnd w:id="7"/>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长    张金柱</w:t>
      </w: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员    于志涛</w:t>
      </w: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 xml:space="preserve">审  判  员    柳维敏 </w:t>
      </w:r>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p>
    <w:p>
      <w:pPr>
        <w:ind w:right="836" w:rightChars="398"/>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p>
    <w:p>
      <w:pPr>
        <w:ind w:right="836" w:rightChars="398"/>
        <w:jc w:val="right"/>
        <w:rPr>
          <w:rFonts w:ascii="仿宋_GB2312" w:hAnsi="仿宋_GB2312" w:eastAsia="仿宋_GB2312" w:cs="Times New Roman"/>
          <w:kern w:val="0"/>
          <w:sz w:val="32"/>
          <w:szCs w:val="32"/>
        </w:rPr>
      </w:pPr>
      <w:r>
        <w:rPr>
          <w:rFonts w:ascii="仿宋_GB2312" w:hAnsi="仿宋_GB2312" w:eastAsia="仿宋_GB2312" w:cs="Times New Roman"/>
          <w:spacing w:val="1"/>
          <w:w w:val="98"/>
          <w:kern w:val="0"/>
          <w:sz w:val="32"/>
          <w:szCs w:val="32"/>
          <w:fitText w:val="3160" w:id="-1039515642"/>
        </w:rPr>
        <w:t>二○二三年五月十六</w:t>
      </w:r>
      <w:r>
        <w:rPr>
          <w:rFonts w:ascii="仿宋_GB2312" w:hAnsi="仿宋_GB2312" w:eastAsia="仿宋_GB2312" w:cs="Times New Roman"/>
          <w:spacing w:val="8"/>
          <w:w w:val="98"/>
          <w:kern w:val="0"/>
          <w:sz w:val="32"/>
          <w:szCs w:val="32"/>
          <w:fitText w:val="3160" w:id="-1039515642"/>
        </w:rPr>
        <w:t>日</w:t>
      </w:r>
    </w:p>
    <w:p>
      <w:pPr>
        <w:ind w:right="836" w:rightChars="398"/>
        <w:jc w:val="right"/>
        <w:rPr>
          <w:rFonts w:ascii="仿宋_GB2312" w:hAnsi="仿宋_GB2312" w:eastAsia="仿宋_GB2312" w:cs="Times New Roman"/>
          <w:kern w:val="0"/>
          <w:sz w:val="32"/>
          <w:szCs w:val="32"/>
        </w:rPr>
      </w:pPr>
    </w:p>
    <w:p>
      <w:pPr>
        <w:widowControl/>
        <w:wordWrap w:val="0"/>
        <w:ind w:right="788" w:rightChars="375"/>
        <w:jc w:val="right"/>
        <w:rPr>
          <w:rFonts w:ascii="仿宋_GB2312" w:hAnsi="仿宋_GB2312" w:eastAsia="仿宋_GB2312" w:cs="Times New Roman"/>
          <w:kern w:val="0"/>
          <w:sz w:val="32"/>
          <w:szCs w:val="32"/>
        </w:rPr>
      </w:pPr>
      <w:r>
        <w:rPr>
          <w:rFonts w:ascii="仿宋_GB2312" w:hAnsi="仿宋_GB2312" w:eastAsia="仿宋_GB2312" w:cs="Times New Roman"/>
          <w:spacing w:val="50"/>
          <w:kern w:val="0"/>
          <w:sz w:val="32"/>
          <w:szCs w:val="32"/>
          <w:fitText w:val="1580" w:id="-1039515641"/>
        </w:rPr>
        <w:t>法官助</w:t>
      </w:r>
      <w:r>
        <w:rPr>
          <w:rFonts w:ascii="仿宋_GB2312" w:hAnsi="仿宋_GB2312" w:eastAsia="仿宋_GB2312" w:cs="Times New Roman"/>
          <w:spacing w:val="0"/>
          <w:kern w:val="0"/>
          <w:sz w:val="32"/>
          <w:szCs w:val="32"/>
          <w:fitText w:val="1580" w:id="-1039515641"/>
        </w:rPr>
        <w:t>理</w:t>
      </w:r>
      <w:r>
        <w:rPr>
          <w:rFonts w:ascii="仿宋_GB2312" w:hAnsi="仿宋_GB2312" w:eastAsia="仿宋_GB2312" w:cs="Times New Roman"/>
          <w:kern w:val="0"/>
          <w:sz w:val="32"/>
          <w:szCs w:val="32"/>
        </w:rPr>
        <w:t xml:space="preserve">    张  甜</w:t>
      </w:r>
    </w:p>
    <w:p>
      <w:pPr>
        <w:wordWrap w:val="0"/>
        <w:ind w:right="788" w:rightChars="375"/>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书  记  员    丁艳奇</w:t>
      </w:r>
    </w:p>
    <w:p>
      <w:pPr>
        <w:spacing w:line="560" w:lineRule="exact"/>
        <w:ind w:firstLine="600" w:firstLineChars="200"/>
        <w:rPr>
          <w:rFonts w:ascii="仿宋_GB2312" w:hAnsi="Times New Roman" w:eastAsia="仿宋_GB2312" w:cs="Times New Roman"/>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964322"/>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1DF2"/>
    <w:rsid w:val="00032512"/>
    <w:rsid w:val="00034EE4"/>
    <w:rsid w:val="0003618F"/>
    <w:rsid w:val="000471EA"/>
    <w:rsid w:val="0004747A"/>
    <w:rsid w:val="000506BE"/>
    <w:rsid w:val="000564FD"/>
    <w:rsid w:val="00057C0E"/>
    <w:rsid w:val="00065247"/>
    <w:rsid w:val="00066388"/>
    <w:rsid w:val="00066778"/>
    <w:rsid w:val="000704F9"/>
    <w:rsid w:val="00075D5C"/>
    <w:rsid w:val="00084954"/>
    <w:rsid w:val="0008514B"/>
    <w:rsid w:val="00085308"/>
    <w:rsid w:val="000856AB"/>
    <w:rsid w:val="000A453B"/>
    <w:rsid w:val="000B436D"/>
    <w:rsid w:val="000B50D1"/>
    <w:rsid w:val="000B5728"/>
    <w:rsid w:val="000B7AFA"/>
    <w:rsid w:val="000C096A"/>
    <w:rsid w:val="000C1015"/>
    <w:rsid w:val="000C1B9D"/>
    <w:rsid w:val="000C1FF3"/>
    <w:rsid w:val="000C58A6"/>
    <w:rsid w:val="000D5440"/>
    <w:rsid w:val="000E064E"/>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295F"/>
    <w:rsid w:val="001777FF"/>
    <w:rsid w:val="001821F6"/>
    <w:rsid w:val="001907F1"/>
    <w:rsid w:val="00193975"/>
    <w:rsid w:val="001A5BDD"/>
    <w:rsid w:val="001A77C8"/>
    <w:rsid w:val="001C0D9A"/>
    <w:rsid w:val="001D65C9"/>
    <w:rsid w:val="001D773C"/>
    <w:rsid w:val="001E068E"/>
    <w:rsid w:val="001E42E9"/>
    <w:rsid w:val="001E4AEB"/>
    <w:rsid w:val="001F1966"/>
    <w:rsid w:val="001F3787"/>
    <w:rsid w:val="001F6154"/>
    <w:rsid w:val="00200F3A"/>
    <w:rsid w:val="002128B5"/>
    <w:rsid w:val="00217367"/>
    <w:rsid w:val="00221EB8"/>
    <w:rsid w:val="002339D8"/>
    <w:rsid w:val="002445B8"/>
    <w:rsid w:val="00255889"/>
    <w:rsid w:val="002568AD"/>
    <w:rsid w:val="002668A6"/>
    <w:rsid w:val="00270B31"/>
    <w:rsid w:val="00273A1E"/>
    <w:rsid w:val="00273F2A"/>
    <w:rsid w:val="00274FCA"/>
    <w:rsid w:val="00277258"/>
    <w:rsid w:val="00291D20"/>
    <w:rsid w:val="0029290D"/>
    <w:rsid w:val="002A416B"/>
    <w:rsid w:val="002B00B6"/>
    <w:rsid w:val="002B3269"/>
    <w:rsid w:val="002B3A3C"/>
    <w:rsid w:val="002C6099"/>
    <w:rsid w:val="002C67B7"/>
    <w:rsid w:val="002F0AB5"/>
    <w:rsid w:val="002F135A"/>
    <w:rsid w:val="002F62FD"/>
    <w:rsid w:val="00305AFD"/>
    <w:rsid w:val="003511CA"/>
    <w:rsid w:val="00355854"/>
    <w:rsid w:val="003572B0"/>
    <w:rsid w:val="003605C5"/>
    <w:rsid w:val="00370262"/>
    <w:rsid w:val="0038096A"/>
    <w:rsid w:val="00380F6E"/>
    <w:rsid w:val="003830E8"/>
    <w:rsid w:val="00384259"/>
    <w:rsid w:val="00392D2C"/>
    <w:rsid w:val="00396209"/>
    <w:rsid w:val="003A1F39"/>
    <w:rsid w:val="003A1F86"/>
    <w:rsid w:val="003A44CE"/>
    <w:rsid w:val="003B275F"/>
    <w:rsid w:val="003D7394"/>
    <w:rsid w:val="003E403C"/>
    <w:rsid w:val="004028A6"/>
    <w:rsid w:val="004043E1"/>
    <w:rsid w:val="004073F2"/>
    <w:rsid w:val="004141DF"/>
    <w:rsid w:val="00414B33"/>
    <w:rsid w:val="00417274"/>
    <w:rsid w:val="00424BA3"/>
    <w:rsid w:val="004254A4"/>
    <w:rsid w:val="0042600A"/>
    <w:rsid w:val="00427173"/>
    <w:rsid w:val="00435492"/>
    <w:rsid w:val="00447E1B"/>
    <w:rsid w:val="00450419"/>
    <w:rsid w:val="0045132E"/>
    <w:rsid w:val="004616A5"/>
    <w:rsid w:val="0046276B"/>
    <w:rsid w:val="00463C2E"/>
    <w:rsid w:val="00471EA4"/>
    <w:rsid w:val="00472F8B"/>
    <w:rsid w:val="00481CE9"/>
    <w:rsid w:val="004A1A6D"/>
    <w:rsid w:val="004A36BE"/>
    <w:rsid w:val="004B1535"/>
    <w:rsid w:val="004B16E3"/>
    <w:rsid w:val="004B6B7C"/>
    <w:rsid w:val="004C7C53"/>
    <w:rsid w:val="004C7EB8"/>
    <w:rsid w:val="004D0B38"/>
    <w:rsid w:val="004D1CA0"/>
    <w:rsid w:val="004D5DDD"/>
    <w:rsid w:val="004E5313"/>
    <w:rsid w:val="00503DC4"/>
    <w:rsid w:val="00512264"/>
    <w:rsid w:val="005149CF"/>
    <w:rsid w:val="005205FE"/>
    <w:rsid w:val="0052194A"/>
    <w:rsid w:val="005219D2"/>
    <w:rsid w:val="00525744"/>
    <w:rsid w:val="00527789"/>
    <w:rsid w:val="00532628"/>
    <w:rsid w:val="0054208C"/>
    <w:rsid w:val="005475E9"/>
    <w:rsid w:val="0055019C"/>
    <w:rsid w:val="00551A38"/>
    <w:rsid w:val="005528FE"/>
    <w:rsid w:val="00554626"/>
    <w:rsid w:val="00554A1A"/>
    <w:rsid w:val="00563BF7"/>
    <w:rsid w:val="00563E1C"/>
    <w:rsid w:val="00564210"/>
    <w:rsid w:val="00567CCF"/>
    <w:rsid w:val="005750DF"/>
    <w:rsid w:val="00587045"/>
    <w:rsid w:val="00590B74"/>
    <w:rsid w:val="00593C8A"/>
    <w:rsid w:val="00595170"/>
    <w:rsid w:val="005A30FD"/>
    <w:rsid w:val="005C5988"/>
    <w:rsid w:val="005D5A28"/>
    <w:rsid w:val="005D6F04"/>
    <w:rsid w:val="005E42F0"/>
    <w:rsid w:val="005E7132"/>
    <w:rsid w:val="005F1972"/>
    <w:rsid w:val="00614B23"/>
    <w:rsid w:val="0061772B"/>
    <w:rsid w:val="006211CA"/>
    <w:rsid w:val="006278F6"/>
    <w:rsid w:val="00630B71"/>
    <w:rsid w:val="006317BA"/>
    <w:rsid w:val="00634E23"/>
    <w:rsid w:val="00643000"/>
    <w:rsid w:val="00666AD2"/>
    <w:rsid w:val="00681574"/>
    <w:rsid w:val="006846E3"/>
    <w:rsid w:val="00690B7F"/>
    <w:rsid w:val="00694A44"/>
    <w:rsid w:val="00696C5F"/>
    <w:rsid w:val="006A273A"/>
    <w:rsid w:val="006B0803"/>
    <w:rsid w:val="006B2A60"/>
    <w:rsid w:val="006C066E"/>
    <w:rsid w:val="006D043D"/>
    <w:rsid w:val="006D530E"/>
    <w:rsid w:val="006E0C12"/>
    <w:rsid w:val="006E1A3F"/>
    <w:rsid w:val="006E5601"/>
    <w:rsid w:val="006E6CCC"/>
    <w:rsid w:val="006F02D1"/>
    <w:rsid w:val="006F1887"/>
    <w:rsid w:val="006F528F"/>
    <w:rsid w:val="006F6634"/>
    <w:rsid w:val="00700F3A"/>
    <w:rsid w:val="00706342"/>
    <w:rsid w:val="00706E06"/>
    <w:rsid w:val="00712687"/>
    <w:rsid w:val="00720189"/>
    <w:rsid w:val="0072070F"/>
    <w:rsid w:val="00725B70"/>
    <w:rsid w:val="0072636A"/>
    <w:rsid w:val="007307A5"/>
    <w:rsid w:val="00740AC0"/>
    <w:rsid w:val="00746094"/>
    <w:rsid w:val="007470C4"/>
    <w:rsid w:val="007470E1"/>
    <w:rsid w:val="00750FCE"/>
    <w:rsid w:val="00754DF8"/>
    <w:rsid w:val="0076044D"/>
    <w:rsid w:val="0076179D"/>
    <w:rsid w:val="007712A8"/>
    <w:rsid w:val="00774A57"/>
    <w:rsid w:val="007766E8"/>
    <w:rsid w:val="0078138F"/>
    <w:rsid w:val="0078447C"/>
    <w:rsid w:val="00786F53"/>
    <w:rsid w:val="00793C1C"/>
    <w:rsid w:val="007963E9"/>
    <w:rsid w:val="007A3242"/>
    <w:rsid w:val="007A656E"/>
    <w:rsid w:val="007C15FD"/>
    <w:rsid w:val="007C3829"/>
    <w:rsid w:val="007D0399"/>
    <w:rsid w:val="007D3892"/>
    <w:rsid w:val="007D64B9"/>
    <w:rsid w:val="007E0736"/>
    <w:rsid w:val="007E15B9"/>
    <w:rsid w:val="007E4715"/>
    <w:rsid w:val="007E7CEB"/>
    <w:rsid w:val="007F30F8"/>
    <w:rsid w:val="007F38A5"/>
    <w:rsid w:val="007F4E0D"/>
    <w:rsid w:val="007F5F73"/>
    <w:rsid w:val="00800D8F"/>
    <w:rsid w:val="008117F3"/>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C6B6B"/>
    <w:rsid w:val="008D14DE"/>
    <w:rsid w:val="008D3126"/>
    <w:rsid w:val="008E4476"/>
    <w:rsid w:val="008F06F8"/>
    <w:rsid w:val="008F330B"/>
    <w:rsid w:val="008F533D"/>
    <w:rsid w:val="009011FD"/>
    <w:rsid w:val="00906508"/>
    <w:rsid w:val="00910401"/>
    <w:rsid w:val="009132A0"/>
    <w:rsid w:val="00923853"/>
    <w:rsid w:val="009243D1"/>
    <w:rsid w:val="00925468"/>
    <w:rsid w:val="00926738"/>
    <w:rsid w:val="00927D09"/>
    <w:rsid w:val="009307D6"/>
    <w:rsid w:val="00935C0E"/>
    <w:rsid w:val="00944361"/>
    <w:rsid w:val="00944CBE"/>
    <w:rsid w:val="009554A2"/>
    <w:rsid w:val="009607AC"/>
    <w:rsid w:val="009801BB"/>
    <w:rsid w:val="009802A8"/>
    <w:rsid w:val="00983F50"/>
    <w:rsid w:val="00990A82"/>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F0F77"/>
    <w:rsid w:val="009F4CA0"/>
    <w:rsid w:val="009F57A1"/>
    <w:rsid w:val="009F621E"/>
    <w:rsid w:val="00A029AF"/>
    <w:rsid w:val="00A0381B"/>
    <w:rsid w:val="00A07C87"/>
    <w:rsid w:val="00A10333"/>
    <w:rsid w:val="00A11599"/>
    <w:rsid w:val="00A11638"/>
    <w:rsid w:val="00A1457D"/>
    <w:rsid w:val="00A156FA"/>
    <w:rsid w:val="00A177C5"/>
    <w:rsid w:val="00A21727"/>
    <w:rsid w:val="00A343F5"/>
    <w:rsid w:val="00A41712"/>
    <w:rsid w:val="00A46403"/>
    <w:rsid w:val="00A715D5"/>
    <w:rsid w:val="00A72408"/>
    <w:rsid w:val="00A75320"/>
    <w:rsid w:val="00A76952"/>
    <w:rsid w:val="00A84487"/>
    <w:rsid w:val="00A8499D"/>
    <w:rsid w:val="00A84A5D"/>
    <w:rsid w:val="00A85829"/>
    <w:rsid w:val="00A9092B"/>
    <w:rsid w:val="00AA28C1"/>
    <w:rsid w:val="00AA369E"/>
    <w:rsid w:val="00AA655C"/>
    <w:rsid w:val="00AA7E65"/>
    <w:rsid w:val="00AA7EB2"/>
    <w:rsid w:val="00AB2412"/>
    <w:rsid w:val="00AB2C3D"/>
    <w:rsid w:val="00AC31AA"/>
    <w:rsid w:val="00AD1FFD"/>
    <w:rsid w:val="00AD2267"/>
    <w:rsid w:val="00AD442E"/>
    <w:rsid w:val="00AE2836"/>
    <w:rsid w:val="00AE2D12"/>
    <w:rsid w:val="00AE3FC1"/>
    <w:rsid w:val="00AE4523"/>
    <w:rsid w:val="00AE7E4E"/>
    <w:rsid w:val="00AF2836"/>
    <w:rsid w:val="00AF74F7"/>
    <w:rsid w:val="00B21C09"/>
    <w:rsid w:val="00B22AD3"/>
    <w:rsid w:val="00B25910"/>
    <w:rsid w:val="00B31FEC"/>
    <w:rsid w:val="00B3265A"/>
    <w:rsid w:val="00B3353C"/>
    <w:rsid w:val="00B35458"/>
    <w:rsid w:val="00B53B7D"/>
    <w:rsid w:val="00B56A98"/>
    <w:rsid w:val="00B605F2"/>
    <w:rsid w:val="00B60822"/>
    <w:rsid w:val="00B65E7B"/>
    <w:rsid w:val="00B73211"/>
    <w:rsid w:val="00B77F8E"/>
    <w:rsid w:val="00B801B4"/>
    <w:rsid w:val="00B82D77"/>
    <w:rsid w:val="00B873B4"/>
    <w:rsid w:val="00B87B79"/>
    <w:rsid w:val="00B91282"/>
    <w:rsid w:val="00B93A09"/>
    <w:rsid w:val="00B947A9"/>
    <w:rsid w:val="00B948FF"/>
    <w:rsid w:val="00B94F99"/>
    <w:rsid w:val="00BA0318"/>
    <w:rsid w:val="00BB3101"/>
    <w:rsid w:val="00BB6CC5"/>
    <w:rsid w:val="00BC1F8D"/>
    <w:rsid w:val="00BD6526"/>
    <w:rsid w:val="00BE40CD"/>
    <w:rsid w:val="00BE5B56"/>
    <w:rsid w:val="00C11928"/>
    <w:rsid w:val="00C12874"/>
    <w:rsid w:val="00C14999"/>
    <w:rsid w:val="00C51942"/>
    <w:rsid w:val="00C52A13"/>
    <w:rsid w:val="00C538C2"/>
    <w:rsid w:val="00C6645D"/>
    <w:rsid w:val="00C7402A"/>
    <w:rsid w:val="00C834D3"/>
    <w:rsid w:val="00C855C9"/>
    <w:rsid w:val="00C904F1"/>
    <w:rsid w:val="00C9066F"/>
    <w:rsid w:val="00C954FB"/>
    <w:rsid w:val="00CA4EED"/>
    <w:rsid w:val="00CB4468"/>
    <w:rsid w:val="00CB5493"/>
    <w:rsid w:val="00CC73AD"/>
    <w:rsid w:val="00CD06C2"/>
    <w:rsid w:val="00CD63A8"/>
    <w:rsid w:val="00CD642E"/>
    <w:rsid w:val="00CD6430"/>
    <w:rsid w:val="00CE5554"/>
    <w:rsid w:val="00CF1E46"/>
    <w:rsid w:val="00CF5A79"/>
    <w:rsid w:val="00D03270"/>
    <w:rsid w:val="00D12763"/>
    <w:rsid w:val="00D141B8"/>
    <w:rsid w:val="00D17E3D"/>
    <w:rsid w:val="00D222BD"/>
    <w:rsid w:val="00D27006"/>
    <w:rsid w:val="00D452FD"/>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701E"/>
    <w:rsid w:val="00DD4AED"/>
    <w:rsid w:val="00DE60CE"/>
    <w:rsid w:val="00DE7A26"/>
    <w:rsid w:val="00DF0477"/>
    <w:rsid w:val="00DF1533"/>
    <w:rsid w:val="00E10791"/>
    <w:rsid w:val="00E25EE0"/>
    <w:rsid w:val="00E46380"/>
    <w:rsid w:val="00E47B47"/>
    <w:rsid w:val="00E54C2E"/>
    <w:rsid w:val="00E5728B"/>
    <w:rsid w:val="00E61651"/>
    <w:rsid w:val="00E7154C"/>
    <w:rsid w:val="00E7387A"/>
    <w:rsid w:val="00E74AD7"/>
    <w:rsid w:val="00EA22FB"/>
    <w:rsid w:val="00EB06D8"/>
    <w:rsid w:val="00EC1680"/>
    <w:rsid w:val="00EC226A"/>
    <w:rsid w:val="00EC6555"/>
    <w:rsid w:val="00ED2BAC"/>
    <w:rsid w:val="00ED6BD9"/>
    <w:rsid w:val="00ED6E1C"/>
    <w:rsid w:val="00F0487D"/>
    <w:rsid w:val="00F05732"/>
    <w:rsid w:val="00F0799D"/>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D2C7B"/>
    <w:rsid w:val="00FD3D85"/>
    <w:rsid w:val="00FD457C"/>
    <w:rsid w:val="00FD6DCF"/>
    <w:rsid w:val="00FF022E"/>
    <w:rsid w:val="00FF0C51"/>
    <w:rsid w:val="00FF4678"/>
    <w:rsid w:val="00FF4A84"/>
    <w:rsid w:val="00FF7254"/>
    <w:rsid w:val="61C1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楷体_GB2312"/>
      <w:sz w:val="32"/>
    </w:rPr>
  </w:style>
  <w:style w:type="paragraph" w:styleId="3">
    <w:name w:val="Balloon Text"/>
    <w:basedOn w:val="1"/>
    <w:link w:val="16"/>
    <w:semiHidden/>
    <w:unhideWhenUsed/>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5"/>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正文文本 字符1"/>
    <w:link w:val="2"/>
    <w:autoRedefine/>
    <w:qFormat/>
    <w:uiPriority w:val="0"/>
    <w:rPr>
      <w:rFonts w:eastAsia="楷体_GB2312"/>
      <w:sz w:val="32"/>
    </w:rPr>
  </w:style>
  <w:style w:type="character" w:customStyle="1" w:styleId="12">
    <w:name w:val="正文文本 字符"/>
    <w:basedOn w:val="7"/>
    <w:semiHidden/>
    <w:qFormat/>
    <w:uiPriority w:val="99"/>
  </w:style>
  <w:style w:type="paragraph" w:customStyle="1" w:styleId="13">
    <w:name w:val="lawyeeCaseNum1"/>
    <w:basedOn w:val="1"/>
    <w:uiPriority w:val="0"/>
    <w:pPr>
      <w:jc w:val="right"/>
    </w:pPr>
    <w:rPr>
      <w:rFonts w:hint="eastAsia" w:ascii="仿宋_GB2312" w:hAnsi="仿宋_GB2312" w:eastAsia="仿宋_GB2312" w:cs="Times New Roman"/>
      <w:sz w:val="32"/>
      <w:szCs w:val="24"/>
    </w:rPr>
  </w:style>
  <w:style w:type="paragraph" w:customStyle="1" w:styleId="14">
    <w:name w:val="lawyeeWritName1"/>
    <w:basedOn w:val="1"/>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semiHidden/>
    <w:uiPriority w:val="99"/>
    <w:rPr>
      <w:sz w:val="18"/>
      <w:szCs w:val="18"/>
    </w:rPr>
  </w:style>
  <w:style w:type="character" w:customStyle="1" w:styleId="17">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15</Pages>
  <Words>4048</Words>
  <Characters>4454</Characters>
  <Lines>164</Lines>
  <Paragraphs>34</Paragraphs>
  <TotalTime>0</TotalTime>
  <ScaleCrop>false</ScaleCrop>
  <LinksUpToDate>false</LinksUpToDate>
  <CharactersWithSpaces>8468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2024-02-04T02:19:00Z</dcterms:created>
  <dc:creator>于志涛</dc:creator>
  <cp:lastModifiedBy>IPE</cp:lastModifiedBy>
  <dcterms:modified xsi:type="dcterms:W3CDTF">2024-04-25T07:11:02Z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371120CD82FB48ADA2F43CB8CD050152_12</vt:lpwstr>
  </property>
</Properties>
</file>