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宋体" w:hAnsi="宋体" w:eastAsia="宋体" w:cs="方正小标宋简体"/>
          <w:kern w:val="0"/>
          <w:sz w:val="44"/>
          <w:szCs w:val="44"/>
        </w:rPr>
      </w:pPr>
      <w:bookmarkStart w:id="0" w:name="InstrumentHead"/>
      <w:bookmarkEnd w:id="0"/>
      <w:bookmarkStart w:id="1" w:name="CourtName"/>
      <w:bookmarkEnd w:id="1"/>
      <w:r>
        <w:rPr>
          <w:rFonts w:hint="eastAsia" w:ascii="宋体" w:hAnsi="宋体" w:eastAsia="宋体" w:cs="方正小标宋简体"/>
          <w:kern w:val="0"/>
          <w:sz w:val="44"/>
          <w:szCs w:val="44"/>
        </w:rPr>
        <w:t>山东省高级人民法院</w:t>
      </w:r>
    </w:p>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方正大标宋简体" w:hAnsi="方正大标宋简体" w:eastAsia="方正大标宋简体" w:cs="方正小标宋简体"/>
          <w:kern w:val="0"/>
          <w:sz w:val="52"/>
          <w:szCs w:val="52"/>
        </w:rPr>
      </w:pPr>
      <w:bookmarkStart w:id="2" w:name="WritName"/>
      <w:bookmarkEnd w:id="2"/>
      <w:r>
        <w:rPr>
          <w:rFonts w:hint="eastAsia" w:ascii="方正大标宋简体" w:hAnsi="方正大标宋简体" w:eastAsia="方正大标宋简体" w:cs="方正小标宋简体"/>
          <w:spacing w:val="319"/>
          <w:kern w:val="0"/>
          <w:sz w:val="52"/>
          <w:szCs w:val="52"/>
        </w:rPr>
        <w:t>民事判决</w:t>
      </w:r>
      <w:r>
        <w:rPr>
          <w:rFonts w:hint="eastAsia" w:ascii="方正大标宋简体" w:hAnsi="方正大标宋简体" w:eastAsia="方正大标宋简体" w:cs="方正小标宋简体"/>
          <w:kern w:val="0"/>
          <w:sz w:val="52"/>
          <w:szCs w:val="52"/>
        </w:rPr>
        <w:t>书</w:t>
      </w:r>
    </w:p>
    <w:p>
      <w:pPr>
        <w:spacing w:line="560" w:lineRule="exact"/>
        <w:ind w:firstLine="640" w:firstLineChars="200"/>
        <w:rPr>
          <w:rFonts w:ascii="仿宋_GB2312" w:hAnsi="仿宋_GB2312" w:eastAsia="仿宋_GB2312" w:cs="Times New Roman"/>
          <w:kern w:val="0"/>
          <w:sz w:val="32"/>
          <w:szCs w:val="32"/>
        </w:rPr>
      </w:pPr>
    </w:p>
    <w:p>
      <w:pPr>
        <w:wordWrap w:val="0"/>
        <w:spacing w:line="560" w:lineRule="exact"/>
        <w:jc w:val="right"/>
        <w:rPr>
          <w:rFonts w:ascii="仿宋_GB2312" w:hAnsi="仿宋_GB2312" w:eastAsia="仿宋_GB2312" w:cs="仿宋"/>
          <w:kern w:val="0"/>
          <w:sz w:val="32"/>
          <w:szCs w:val="32"/>
        </w:rPr>
      </w:pPr>
      <w:bookmarkStart w:id="3" w:name="CaseCode"/>
      <w:bookmarkEnd w:id="3"/>
      <w:r>
        <w:rPr>
          <w:rFonts w:hint="eastAsia" w:ascii="仿宋_GB2312" w:hAnsi="仿宋_GB2312" w:eastAsia="仿宋_GB2312" w:cs="仿宋"/>
          <w:kern w:val="0"/>
          <w:sz w:val="32"/>
          <w:szCs w:val="32"/>
        </w:rPr>
        <w:t>（2023）鲁民终1035号</w:t>
      </w:r>
    </w:p>
    <w:p>
      <w:pPr>
        <w:spacing w:line="560" w:lineRule="exact"/>
        <w:ind w:firstLine="640" w:firstLineChars="200"/>
        <w:rPr>
          <w:rFonts w:ascii="仿宋_GB2312" w:hAnsi="仿宋_GB2312" w:eastAsia="仿宋_GB2312" w:cs="Times New Roman"/>
          <w:kern w:val="0"/>
          <w:sz w:val="32"/>
          <w:szCs w:val="32"/>
        </w:rPr>
      </w:pPr>
    </w:p>
    <w:p>
      <w:pPr>
        <w:spacing w:line="520" w:lineRule="exact"/>
        <w:ind w:firstLine="640" w:firstLineChars="200"/>
        <w:rPr>
          <w:rFonts w:ascii="仿宋_GB2312" w:hAnsi="仿宋_GB2312" w:eastAsia="仿宋_GB2312" w:cs="仿宋"/>
          <w:kern w:val="0"/>
          <w:sz w:val="32"/>
          <w:szCs w:val="32"/>
        </w:rPr>
      </w:pPr>
      <w:bookmarkStart w:id="4" w:name="IdentityInfo"/>
      <w:bookmarkEnd w:id="4"/>
      <w:bookmarkStart w:id="5" w:name="MainBody"/>
      <w:bookmarkEnd w:id="5"/>
      <w:r>
        <w:rPr>
          <w:rFonts w:hint="eastAsia" w:ascii="仿宋_GB2312" w:hAnsi="仿宋_GB2312" w:eastAsia="仿宋_GB2312" w:cs="仿宋"/>
          <w:kern w:val="0"/>
          <w:sz w:val="32"/>
          <w:szCs w:val="32"/>
        </w:rPr>
        <w:t>上诉人（原审被告）：</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（广州）有限责任公司。</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法定代表人：叶</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富，执行董事兼总经理。</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委托诉讼代理人：王</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婧，北京市集佳律师事务所律师。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委托诉讼代理人：侯</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静，北京市集佳律师事务所律师。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上诉人（原审被告）：</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（横琴）企业管理有限公司。</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法定代表人：叶</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富，执行董事兼经理。</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委托诉讼代理人：王</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婧，北京市集佳律师事务所律师。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委托诉讼代理人：侯</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静，北京市集佳律师事务所律师。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上诉人（原审被告）：</w:t>
      </w:r>
      <w:r>
        <w:rPr>
          <w:rFonts w:hint="eastAsia" w:ascii="仿宋_GB2312" w:hAnsi="仿宋_GB2312" w:eastAsia="仿宋_GB2312" w:cs="仿宋"/>
          <w:kern w:val="0"/>
          <w:sz w:val="32"/>
          <w:szCs w:val="32"/>
          <w:lang w:eastAsia="zh-CN"/>
        </w:rPr>
        <w:t>名某科技</w:t>
      </w:r>
      <w:r>
        <w:rPr>
          <w:rFonts w:hint="eastAsia" w:ascii="仿宋_GB2312" w:hAnsi="仿宋_GB2312" w:eastAsia="仿宋_GB2312" w:cs="仿宋"/>
          <w:kern w:val="0"/>
          <w:sz w:val="32"/>
          <w:szCs w:val="32"/>
        </w:rPr>
        <w:t>（广州）有限公司。</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法定代表人：杨</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莎，执行董事兼总经理。</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委托诉讼代理人：王</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婧，北京市集佳律师事务所律师。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委托诉讼代理人：侯</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静，北京市集佳律师事务所律师。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被上诉人（原审原告）：深圳</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科技有限公司。</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法定代表人：李</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全，董事长。</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委托诉讼代理人：姜</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涛，上海沪权律师事务所律师。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委托诉讼代理人：李</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梅，上海沪权律师事务所律师。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原审被告：安庆市</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医疗用品科技股份有限公司。</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法定代表人：汪</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春，董事长。</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委托诉讼代理人：丁</w:t>
      </w:r>
      <w:r>
        <w:rPr>
          <w:rFonts w:hint="eastAsia" w:ascii="仿宋_GB2312" w:hAnsi="仿宋_GB2312" w:eastAsia="仿宋_GB2312" w:cs="仿宋"/>
          <w:kern w:val="0"/>
          <w:sz w:val="32"/>
          <w:szCs w:val="32"/>
          <w:lang w:eastAsia="zh-CN"/>
        </w:rPr>
        <w:t>某</w:t>
      </w:r>
      <w:r>
        <w:rPr>
          <w:rFonts w:hint="eastAsia" w:ascii="仿宋_GB2312" w:hAnsi="仿宋_GB2312" w:eastAsia="仿宋_GB2312" w:cs="仿宋"/>
          <w:kern w:val="0"/>
          <w:sz w:val="32"/>
          <w:szCs w:val="32"/>
        </w:rPr>
        <w:t>，安徽恒物律师事务所律师。</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原审被告：</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，女。</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上诉人</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（广州）有限责任公司（以下简称</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（横琴）企业管理有限公司（以下简称</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名某科技</w:t>
      </w:r>
      <w:r>
        <w:rPr>
          <w:rFonts w:hint="eastAsia" w:ascii="仿宋_GB2312" w:hAnsi="仿宋_GB2312" w:eastAsia="仿宋_GB2312" w:cs="仿宋"/>
          <w:kern w:val="0"/>
          <w:sz w:val="32"/>
          <w:szCs w:val="32"/>
        </w:rPr>
        <w:t>（广州）有限公司（以下简称名创优选公司）因与被上诉人深圳</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科技有限公司（以下简称</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公司）及原审被告安庆市</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医疗用品科技股份有限公司（以下简称安庆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擅自使用与他人有一定影响的商品名称、包装、装潢等相同或者近似的标识纠纷一案，不服山东省济南市中级人民法院（</w:t>
      </w:r>
      <w:r>
        <w:rPr>
          <w:rFonts w:ascii="仿宋_GB2312" w:hAnsi="仿宋_GB2312" w:eastAsia="仿宋_GB2312" w:cs="仿宋"/>
          <w:kern w:val="0"/>
          <w:sz w:val="32"/>
          <w:szCs w:val="32"/>
        </w:rPr>
        <w:t>2022</w:t>
      </w:r>
      <w:r>
        <w:rPr>
          <w:rFonts w:hint="eastAsia" w:ascii="仿宋_GB2312" w:hAnsi="仿宋_GB2312" w:eastAsia="仿宋_GB2312" w:cs="仿宋"/>
          <w:kern w:val="0"/>
          <w:sz w:val="32"/>
          <w:szCs w:val="32"/>
        </w:rPr>
        <w:t>）鲁</w:t>
      </w:r>
      <w:r>
        <w:rPr>
          <w:rFonts w:ascii="仿宋_GB2312" w:hAnsi="仿宋_GB2312" w:eastAsia="仿宋_GB2312" w:cs="仿宋"/>
          <w:kern w:val="0"/>
          <w:sz w:val="32"/>
          <w:szCs w:val="32"/>
        </w:rPr>
        <w:t>01</w:t>
      </w:r>
      <w:r>
        <w:rPr>
          <w:rFonts w:hint="eastAsia" w:ascii="仿宋_GB2312" w:hAnsi="仿宋_GB2312" w:eastAsia="仿宋_GB2312" w:cs="仿宋"/>
          <w:kern w:val="0"/>
          <w:sz w:val="32"/>
          <w:szCs w:val="32"/>
        </w:rPr>
        <w:t>知民初</w:t>
      </w:r>
      <w:r>
        <w:rPr>
          <w:rFonts w:ascii="仿宋_GB2312" w:hAnsi="仿宋_GB2312" w:eastAsia="仿宋_GB2312" w:cs="仿宋"/>
          <w:kern w:val="0"/>
          <w:sz w:val="32"/>
          <w:szCs w:val="32"/>
        </w:rPr>
        <w:t>799</w:t>
      </w:r>
      <w:r>
        <w:rPr>
          <w:rFonts w:hint="eastAsia" w:ascii="仿宋_GB2312" w:hAnsi="仿宋_GB2312" w:eastAsia="仿宋_GB2312" w:cs="仿宋"/>
          <w:kern w:val="0"/>
          <w:sz w:val="32"/>
          <w:szCs w:val="32"/>
        </w:rPr>
        <w:t>号民事判决，向本院提起上</w:t>
      </w:r>
      <w:bookmarkStart w:id="9" w:name="_GoBack"/>
      <w:bookmarkEnd w:id="9"/>
      <w:r>
        <w:rPr>
          <w:rFonts w:hint="eastAsia" w:ascii="仿宋_GB2312" w:hAnsi="仿宋_GB2312" w:eastAsia="仿宋_GB2312" w:cs="仿宋"/>
          <w:kern w:val="0"/>
          <w:sz w:val="32"/>
          <w:szCs w:val="32"/>
        </w:rPr>
        <w:t>诉。本院立案后，依法组成合议庭进行了审理。本案现已审理终结。</w:t>
      </w:r>
    </w:p>
    <w:p>
      <w:pPr>
        <w:spacing w:line="520" w:lineRule="exact"/>
        <w:ind w:firstLine="640" w:firstLineChars="200"/>
        <w:rPr>
          <w:rFonts w:ascii="仿宋_GB2312" w:hAnsi="仿宋_GB2312" w:eastAsia="仿宋_GB2312" w:cs="仿宋"/>
          <w:kern w:val="0"/>
          <w:sz w:val="32"/>
          <w:szCs w:val="32"/>
        </w:rPr>
      </w:pPr>
      <w:bookmarkStart w:id="6" w:name="SuitPart"/>
      <w:bookmarkEnd w:id="6"/>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横琴公司、名创优选公司上诉请求：撤销一审判决第一、二、三项；维持一审判决第五项。事实和理由：1.</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公司主张的装潢不具有区分商品来源的显著特征，不构成“具有一定影响”的装潢。（1）</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公司提交的证据不足以证明涉案“纯棉柔巾”商品装潢有一定影响，企业、商标或商品的知名度不能证明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公司涉案装潢的知名度；（2）</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公司所主张的装潢设计要素为本领域惯常设计，作为标识缺乏显著性，各版本装潢样式之间不具有延续性和承继关系，且与同类商品装潢相比不具有特有性。2.</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公司涉案装潢已停止使用，本案诉讼权利基础不存在，应当驳回起诉。</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公司所主张的装潢中，除了“深浅蓝色条纹”装潢，其余绿、粉、蓝三款装潢已停用5年。“深浅蓝色条纹”装潢与其他装潢之间不具有延续性和承继关系，现有证据不足以证明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公司涉案装潢持续使用情况和实际销售、广告宣传情况。3.被诉侵权商品装潢不会造成消费者混淆误认，被诉侵权行为不构成侵权。</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公司主张的商品装潢目前未处于市场流通领域，双方涉案商品均在自有门店销售，消费者可以通过双方具有显著识别特征的门店及商标标识识别商品来源。4.</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公司索赔数额过高，不应将所有经营收入纳入本案损害赔偿。</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公司辩称，一审判决应予维持。涉案“</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纯棉柔巾”装潢具有区别商品来源的显著特征，构成具有一定影响的装潢。涉案商品装潢自推出市场后一直持续使用，被诉侵权商品容易引起消费者混淆误认。被诉侵权商品销售数量多，获利高。</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安庆</w:t>
      </w:r>
      <w:r>
        <w:rPr>
          <w:rFonts w:hint="eastAsia" w:ascii="仿宋_GB2312" w:hAnsi="仿宋_GB2312" w:eastAsia="仿宋_GB2312" w:cs="仿宋"/>
          <w:kern w:val="0"/>
          <w:sz w:val="32"/>
          <w:szCs w:val="32"/>
          <w:lang w:eastAsia="zh-CN"/>
        </w:rPr>
        <w:t>嘉某</w:t>
      </w:r>
      <w:r>
        <w:rPr>
          <w:rFonts w:ascii="仿宋_GB2312" w:hAnsi="仿宋_GB2312" w:eastAsia="仿宋_GB2312" w:cs="仿宋"/>
          <w:kern w:val="0"/>
          <w:sz w:val="32"/>
          <w:szCs w:val="32"/>
        </w:rPr>
        <w:t>公司述</w:t>
      </w:r>
      <w:r>
        <w:rPr>
          <w:rFonts w:hint="eastAsia" w:ascii="仿宋_GB2312" w:hAnsi="仿宋_GB2312" w:eastAsia="仿宋_GB2312" w:cs="仿宋"/>
          <w:kern w:val="0"/>
          <w:sz w:val="32"/>
          <w:szCs w:val="32"/>
        </w:rPr>
        <w:t>称，对于</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横琴公司、名创优选公司的上诉请求无异议。</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齐某珺</w:t>
      </w:r>
      <w:r>
        <w:rPr>
          <w:rFonts w:ascii="仿宋_GB2312" w:hAnsi="仿宋_GB2312" w:eastAsia="仿宋_GB2312" w:cs="仿宋"/>
          <w:kern w:val="0"/>
          <w:sz w:val="32"/>
          <w:szCs w:val="32"/>
        </w:rPr>
        <w:t>未作陈述。</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公司向一审法院起诉请求判令：1.</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公司立即停止生产、销售侵犯</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公司有一定影响的商品装潢的商品，</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立即停止销售被诉侵权商品，</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销毁库存侵权商品；2.</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横琴公司、名创优选公司共同赔偿</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公司经济损失及合理开支共计3000万元，安庆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公司在2000万元范围内承担连带赔偿责任，</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对其销售行为承担5万元的赔偿责任；3.</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在《中国知识产权报》及其主办的官方网站刊登声明，澄清事实、消除影响；4.</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承担本案诉讼费用、保全费用。</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一审法院认定事实：</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（一）</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成立于2009年12月7日，为有限责任公司（法人独资），股东为稳健医疗用品股份有限公司（以下简称稳健医疗公司），法定代表人为李建全，注册资本13000万元，经营范围为一次性纯棉制品、无纺布制品的技术开发与研发、生产和销售等。</w:t>
      </w:r>
      <w:r>
        <w:rPr>
          <w:rFonts w:ascii="仿宋_GB2312" w:hAnsi="仿宋_GB2312" w:eastAsia="仿宋_GB2312" w:cs="仿宋"/>
          <w:kern w:val="0"/>
          <w:sz w:val="32"/>
          <w:szCs w:val="32"/>
        </w:rPr>
        <w:t>2017年6月5日，</w:t>
      </w:r>
      <w:r>
        <w:rPr>
          <w:rFonts w:hint="eastAsia" w:ascii="仿宋_GB2312" w:hAnsi="仿宋_GB2312" w:eastAsia="仿宋_GB2312" w:cs="仿宋"/>
          <w:kern w:val="0"/>
          <w:sz w:val="32"/>
          <w:szCs w:val="32"/>
          <w:lang w:eastAsia="zh-CN"/>
        </w:rPr>
        <w:t>全某科技</w:t>
      </w:r>
      <w:r>
        <w:rPr>
          <w:rFonts w:ascii="仿宋_GB2312" w:hAnsi="仿宋_GB2312" w:eastAsia="仿宋_GB2312" w:cs="仿宋"/>
          <w:kern w:val="0"/>
          <w:sz w:val="32"/>
          <w:szCs w:val="32"/>
        </w:rPr>
        <w:t>公司分别向国家知识产权局申请获得名称为“包装袋（纯棉柔巾）、包装盒（纯棉柔巾）、包装盒（洁面纯棉柔巾）、包装盒（特护无菌纯棉柔巾）、包装盒（男士专用洁面纯棉柔巾）”</w:t>
      </w:r>
      <w:r>
        <w:rPr>
          <w:rFonts w:hint="eastAsia" w:ascii="仿宋_GB2312" w:hAnsi="仿宋_GB2312" w:eastAsia="仿宋_GB2312" w:cs="仿宋"/>
          <w:kern w:val="0"/>
          <w:sz w:val="32"/>
          <w:szCs w:val="32"/>
        </w:rPr>
        <w:t>的</w:t>
      </w:r>
      <w:r>
        <w:rPr>
          <w:rFonts w:ascii="仿宋_GB2312" w:hAnsi="仿宋_GB2312" w:eastAsia="仿宋_GB2312" w:cs="仿宋"/>
          <w:kern w:val="0"/>
          <w:sz w:val="32"/>
          <w:szCs w:val="32"/>
        </w:rPr>
        <w:t>外观设计</w:t>
      </w:r>
      <w:r>
        <w:rPr>
          <w:rFonts w:hint="eastAsia" w:ascii="仿宋_GB2312" w:hAnsi="仿宋_GB2312" w:eastAsia="仿宋_GB2312" w:cs="仿宋"/>
          <w:kern w:val="0"/>
          <w:sz w:val="32"/>
          <w:szCs w:val="32"/>
        </w:rPr>
        <w:t>专利权，产品</w:t>
      </w:r>
      <w:r>
        <w:rPr>
          <w:rFonts w:ascii="仿宋_GB2312" w:hAnsi="仿宋_GB2312" w:eastAsia="仿宋_GB2312" w:cs="仿宋"/>
          <w:kern w:val="0"/>
          <w:sz w:val="32"/>
          <w:szCs w:val="32"/>
        </w:rPr>
        <w:t>用途均用于</w:t>
      </w:r>
      <w:r>
        <w:rPr>
          <w:rFonts w:hint="eastAsia" w:ascii="仿宋_GB2312" w:hAnsi="仿宋_GB2312" w:eastAsia="仿宋_GB2312" w:cs="仿宋"/>
          <w:kern w:val="0"/>
          <w:sz w:val="32"/>
          <w:szCs w:val="32"/>
        </w:rPr>
        <w:t>纯棉柔巾。其中名称分别为“包装盒（洁面纯棉柔巾）、包装盒（特护无菌纯棉柔巾）、包装盒（男士专用洁面纯棉柔巾）”的专利于2023年3月20日被宣告无效，专利无效所用的对比设计为</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公司在申请日之前，即2017年5月30日及2017年5月10日在互联网公开的涉案商品图片。其中名称为“包装袋（纯棉柔巾）”的专利于2023年3月20日被宣告无效，专利无效所用的对比设计之一为</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公司在申请日之前公开的上述涉案商品图片，另一个对比设计是专利号为201030280793.X的外观设计专利，专利附图中的主视图详见下图：</w:t>
      </w:r>
    </w:p>
    <w:p>
      <w:pPr>
        <w:spacing w:line="520" w:lineRule="exact"/>
        <w:ind w:firstLine="630" w:firstLineChars="300"/>
        <w:rPr>
          <w:rFonts w:ascii="仿宋_GB2312" w:hAnsi="仿宋_GB2312" w:eastAsia="仿宋_GB2312" w:cs="仿宋"/>
          <w:kern w:val="0"/>
          <w:sz w:val="32"/>
          <w:szCs w:val="32"/>
        </w:rPr>
      </w:pPr>
      <w:r>
        <w:rPr>
          <w:rFonts w:hint="eastAsia" w:ascii="仿宋_GB2312" w:hAnsi="Calibri" w:eastAsia="宋体" w:cs="Times New Roman"/>
          <w:szCs w:val="24"/>
        </w:rPr>
        <w:drawing>
          <wp:anchor distT="0" distB="0" distL="114300" distR="114300" simplePos="0" relativeHeight="251661312" behindDoc="0" locked="0" layoutInCell="1" allowOverlap="1">
            <wp:simplePos x="0" y="0"/>
            <wp:positionH relativeFrom="column">
              <wp:posOffset>1861820</wp:posOffset>
            </wp:positionH>
            <wp:positionV relativeFrom="paragraph">
              <wp:posOffset>62865</wp:posOffset>
            </wp:positionV>
            <wp:extent cx="2247900" cy="1062355"/>
            <wp:effectExtent l="0" t="0" r="0" b="4445"/>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247900" cy="1062355"/>
                    </a:xfrm>
                    <a:prstGeom prst="rect">
                      <a:avLst/>
                    </a:prstGeom>
                    <a:noFill/>
                    <a:ln>
                      <a:noFill/>
                    </a:ln>
                  </pic:spPr>
                </pic:pic>
              </a:graphicData>
            </a:graphic>
          </wp:anchor>
        </w:drawing>
      </w:r>
      <w:r>
        <w:rPr>
          <w:rFonts w:hint="eastAsia" w:ascii="仿宋_GB2312" w:hAnsi="仿宋_GB2312" w:eastAsia="仿宋_GB2312" w:cs="仿宋"/>
          <w:kern w:val="0"/>
          <w:sz w:val="32"/>
          <w:szCs w:val="32"/>
        </w:rPr>
        <w:t>一审庭审中，</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公司提交了其生产的“纯棉柔巾”商品11个。</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本案主张的“纯棉柔巾”商品装潢为整体设计，具体表现为装潢整体呈左右两部分拼色设计，一侧为对应绿、粉、蓝颜色的底色和一枝带着几朵棉花的图案装饰；一侧为白色，标注商品名称、商标及英文商品名称等信息。</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（二）</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公司提交的“</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纯棉柔巾”商品实物显示生产日期为2019年、2020年、2021年、2022年，“纯棉柔巾”商品材质均为100%棉；提交的2017年至2019年推广宣传“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纯棉柔巾”及</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品牌的广告合同宣传费用为3600余万元。自2017年至2022年，</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公司聘请王俊凯、马苏等十几位明星在微信公众号、腾讯视频、微博等互联网渠道宣传“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”品牌及涉案“</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商品，宣传推广涉案商品的微博端单个视频播放量达到1332万+，转发评论点赞量超过28万，相关话题阅读量超1.6亿，讨论量超735万；微信端单篇阅读量破10W+，朋友圈广告曝光次数超过1400万，点击次数破6万；</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#纯棉柔巾的前世今生#微博超话阅读量3745.3万，讨论量3.4万，</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纯棉柔巾诞生，如今已售出130亿张；王俊凯发微博宣传京东超级品牌日活动宣传涉案商品，转发100万+，点赞44.3万，视频有1796万次播放。</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商品线上线下均有销售，2017年4月-2021年6月，“棉花款棉柔巾”商品累计实际销售收入54863.72万元，毛利率44.67%，其中棉柔巾绿色款累计销售31000万元，棉柔巾粉色款累计销售2740万元，棉柔巾蓝色款累计销售8230万元。“</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”商店在广东、江苏、北京等28个省市有多家店铺。上海欧塞斯文化创意有限公司的文章显示：“</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”纯棉柔巾在2020年中国棉柔巾行业市场份额40%，在行业排名第一；在中国棉柔巾市场领先品牌评选中，</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排名第一。</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（三）2021年9月17日至2023年1月11日，经</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申请，济南市钢都公证处、贵阳市立诚公证处、成都市国力公证处、泉州市海峡公证处、重庆市渝信公证处分别到山东济南、北京、上海、天津、河北石家庄、浙江杭州、四川成都等18个省市进行线下证据保全公证；同时对淘宝-miniso官方企业店铺、淘宝-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旗舰店、京东—</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官方旗舰店、淘宝—Miniso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、京东—</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京东自营旗舰店、拼多多—</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官方旗舰店、拼多多—MINISO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美妆旗舰店、拼多多—MINISO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家居生活旗舰店、</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广州公司的官网一</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中国官网、</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官网，微信小程序-</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精选商城,大众点评</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（龙湖杭州滨江天街店）、</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（龙之梦大都汇店-沈阳），天猫—MINISO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旗舰店进行线上证据保全公证，公证处分别出具公证书予以公证。对唯品会—MINISO官方特卖旗舰店、京东—</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旗舰店进行可信时间戳认证，对</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与稳健医疗公司的邮件往来进行IP360取证数据保全。其中，（2021）鲁济南钢都证民字第8847号公证书显示，公证购买时间为2021年9月17日，公证购买地点为山东省济南市高新区工业南路44号丁豪广场一层Miniso，取得盖有“高新开发区舜华</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百货商店”章的山东通用定额发票一张。经调查</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公司起诉状所列的济南高新开发区瑞七文百货商店（以下简称济南瑞七文商店）为个体工商户，该个体工商户曾用名为高新开发区舜华</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百货商店，该主体于2022年9月8日注销，</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公司一审当庭申请将济南瑞七文商店变更为该个体工商户经营者</w:t>
      </w:r>
      <w:r>
        <w:rPr>
          <w:rFonts w:hint="eastAsia" w:ascii="仿宋_GB2312" w:hAnsi="仿宋_GB2312" w:eastAsia="仿宋_GB2312" w:cs="仿宋"/>
          <w:kern w:val="0"/>
          <w:sz w:val="32"/>
          <w:szCs w:val="32"/>
          <w:lang w:eastAsia="zh-CN"/>
        </w:rPr>
        <w:t>齐某珺</w:t>
      </w:r>
      <w:r>
        <w:rPr>
          <w:rFonts w:hint="eastAsia" w:ascii="仿宋_GB2312" w:hAnsi="仿宋_GB2312" w:eastAsia="仿宋_GB2312" w:cs="仿宋"/>
          <w:kern w:val="0"/>
          <w:sz w:val="32"/>
          <w:szCs w:val="32"/>
        </w:rPr>
        <w:t>。上述线下店铺收款主体均为</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广州公司。其中，唯品会—MINISO官方特卖旗舰店和天猫—MINISO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旗舰店显示涉案</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商品MINISO洗护用品销量NO.1爆品，销量累计突破3000万+包，来源名创总销售量数据。统计淘宝-miniso官方企业店铺、淘宝-miniso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旗舰店、京东—</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官方旗舰店、淘宝—Miniso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、京东—</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京东自营旗舰店、拼多多—</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官方旗舰店、拼多多—MINISO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美妆旗舰店、拼多多—MINISO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家居生活旗舰店、微信小程序一</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精选商城、唯品会-MINISO官方特卖旗舰店等10家线上店铺销售被诉侵权商品根据销量初步统计的销售额约为11300万元。上述公证书所公证实物及图片证据显示，被诉侵权商品最早生产日期为2019年9月22日，</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公司取证时间跨度为2021年至2023年。</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上述公证取证被诉侵权商品共计11种，3款（绿色款、粉色款、蓝色款）。被诉侵权商品装潢整体呈左右两部分拼色设计，右侧为对应绿粉蓝颜色的底色和一枝带着几朵棉花的图案装饰，棉花图案为竖状和倾斜状两种；左侧为白色，标注商品名称及英文商品名称等信息。被诉侵权商品商标MINISO放置于商品背面，同时标注了</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广州公司的厂商识别代码、网址。被诉侵权商品保质期为3年，其中绿色包装商品材质为植物纤维，粉色和蓝色包装商品材质为100%棉。粉色和蓝色被诉侵权商品包装标注安庆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公司的企业名称、地址、电话等信息。</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（四）</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向一审法院提供三组百余份外观设计证书，分别为与涉案装潢类似的商品包装盒/袋的外观设计专利（最早申请日为2017年7月18日）、使用拼色设计作为商品包装盒/袋设计要点的外观设计专利（仅有3份专利申请日早于2017年5月）、使用棉花图案作为设计要点的商品包装盒/袋外观设计专利（仅有9份专利申请日早于2017年5月），第一组外观设计专利最早申请日为</w:t>
      </w:r>
      <w:r>
        <w:rPr>
          <w:rFonts w:ascii="仿宋_GB2312" w:hAnsi="仿宋_GB2312" w:eastAsia="仿宋_GB2312" w:cs="仿宋"/>
          <w:kern w:val="0"/>
          <w:sz w:val="32"/>
          <w:szCs w:val="32"/>
        </w:rPr>
        <w:t>2017年7月18日，</w:t>
      </w:r>
      <w:r>
        <w:rPr>
          <w:rFonts w:hint="eastAsia" w:ascii="仿宋_GB2312" w:hAnsi="仿宋_GB2312" w:eastAsia="仿宋_GB2312" w:cs="仿宋"/>
          <w:kern w:val="0"/>
          <w:sz w:val="32"/>
          <w:szCs w:val="32"/>
        </w:rPr>
        <w:t>三组外观设计专利中</w:t>
      </w:r>
      <w:r>
        <w:rPr>
          <w:rFonts w:ascii="仿宋_GB2312" w:hAnsi="仿宋_GB2312" w:eastAsia="仿宋_GB2312" w:cs="仿宋"/>
          <w:kern w:val="0"/>
          <w:sz w:val="32"/>
          <w:szCs w:val="32"/>
        </w:rPr>
        <w:t>申请日早于2017年5月的</w:t>
      </w:r>
      <w:r>
        <w:rPr>
          <w:rFonts w:hint="eastAsia" w:ascii="仿宋_GB2312" w:hAnsi="仿宋_GB2312" w:eastAsia="仿宋_GB2312" w:cs="仿宋"/>
          <w:kern w:val="0"/>
          <w:sz w:val="32"/>
          <w:szCs w:val="32"/>
        </w:rPr>
        <w:t>仅有</w:t>
      </w:r>
      <w:r>
        <w:rPr>
          <w:rFonts w:ascii="仿宋_GB2312" w:hAnsi="仿宋_GB2312" w:eastAsia="仿宋_GB2312" w:cs="仿宋"/>
          <w:kern w:val="0"/>
          <w:sz w:val="32"/>
          <w:szCs w:val="32"/>
        </w:rPr>
        <w:t>12份</w:t>
      </w:r>
      <w:r>
        <w:rPr>
          <w:rFonts w:hint="eastAsia" w:ascii="仿宋_GB2312" w:hAnsi="仿宋_GB2312" w:eastAsia="仿宋_GB2312" w:cs="仿宋"/>
          <w:kern w:val="0"/>
          <w:sz w:val="32"/>
          <w:szCs w:val="32"/>
        </w:rPr>
        <w:t>，一审法院选取了三份具有代表性的外观专利其最能表明该系列外观专利设计要点的图片或照片如下图所</w:t>
      </w:r>
      <w:r>
        <w:rPr>
          <w:rFonts w:hint="eastAsia" w:ascii="仿宋_GB2312" w:hAnsi="仿宋" w:eastAsia="宋体" w:cs="仿宋"/>
          <w:szCs w:val="32"/>
        </w:rPr>
        <w:drawing>
          <wp:anchor distT="0" distB="0" distL="114300" distR="114300" simplePos="0" relativeHeight="251659264" behindDoc="1" locked="0" layoutInCell="1" allowOverlap="1">
            <wp:simplePos x="0" y="0"/>
            <wp:positionH relativeFrom="column">
              <wp:posOffset>1879600</wp:posOffset>
            </wp:positionH>
            <wp:positionV relativeFrom="paragraph">
              <wp:posOffset>1863090</wp:posOffset>
            </wp:positionV>
            <wp:extent cx="1676400" cy="1186180"/>
            <wp:effectExtent l="0" t="0" r="0" b="0"/>
            <wp:wrapThrough wrapText="bothSides">
              <wp:wrapPolygon>
                <wp:start x="0" y="0"/>
                <wp:lineTo x="0" y="21161"/>
                <wp:lineTo x="21355" y="21161"/>
                <wp:lineTo x="21355" y="0"/>
                <wp:lineTo x="0" y="0"/>
              </wp:wrapPolygon>
            </wp:wrapThrough>
            <wp:docPr id="17" name="图片 17" descr="H:\IMG_20230523_15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IMG_20230523_151718.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6400" cy="1186180"/>
                    </a:xfrm>
                    <a:prstGeom prst="rect">
                      <a:avLst/>
                    </a:prstGeom>
                    <a:noFill/>
                    <a:ln>
                      <a:noFill/>
                    </a:ln>
                  </pic:spPr>
                </pic:pic>
              </a:graphicData>
            </a:graphic>
          </wp:anchor>
        </w:drawing>
      </w:r>
      <w:r>
        <w:rPr>
          <w:rFonts w:hint="eastAsia" w:ascii="仿宋_GB2312" w:hAnsi="仿宋_GB2312" w:eastAsia="仿宋_GB2312" w:cs="仿宋"/>
          <w:kern w:val="0"/>
          <w:sz w:val="32"/>
          <w:szCs w:val="32"/>
        </w:rPr>
        <w:t>示：</w:t>
      </w:r>
    </w:p>
    <w:p>
      <w:pPr>
        <w:spacing w:line="520" w:lineRule="exact"/>
        <w:ind w:firstLine="420" w:firstLineChars="200"/>
        <w:rPr>
          <w:rFonts w:ascii="仿宋_GB2312" w:hAnsi="仿宋_GB2312" w:eastAsia="仿宋_GB2312" w:cs="仿宋"/>
          <w:kern w:val="0"/>
          <w:sz w:val="32"/>
          <w:szCs w:val="32"/>
        </w:rPr>
      </w:pPr>
      <w:r>
        <w:rPr>
          <w:rFonts w:hint="eastAsia" w:ascii="仿宋_GB2312" w:hAnsi="仿宋" w:eastAsia="宋体" w:cs="仿宋"/>
          <w:szCs w:val="32"/>
        </w:rPr>
        <w:drawing>
          <wp:anchor distT="0" distB="0" distL="114300" distR="114300" simplePos="0" relativeHeight="251660288" behindDoc="0" locked="0" layoutInCell="1" allowOverlap="1">
            <wp:simplePos x="0" y="0"/>
            <wp:positionH relativeFrom="column">
              <wp:posOffset>12065</wp:posOffset>
            </wp:positionH>
            <wp:positionV relativeFrom="paragraph">
              <wp:posOffset>209550</wp:posOffset>
            </wp:positionV>
            <wp:extent cx="1623060" cy="1179195"/>
            <wp:effectExtent l="0" t="0" r="0" b="1905"/>
            <wp:wrapSquare wrapText="bothSides"/>
            <wp:docPr id="18" name="图片 18" descr="H:\IMG_20230523_15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IMG_20230523_151830.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3060" cy="1179195"/>
                    </a:xfrm>
                    <a:prstGeom prst="rect">
                      <a:avLst/>
                    </a:prstGeom>
                    <a:noFill/>
                    <a:ln>
                      <a:noFill/>
                    </a:ln>
                  </pic:spPr>
                </pic:pic>
              </a:graphicData>
            </a:graphic>
          </wp:anchor>
        </w:drawing>
      </w:r>
      <w:r>
        <w:rPr>
          <w:rFonts w:hint="eastAsia" w:ascii="仿宋_GB2312" w:hAnsi="仿宋" w:eastAsia="宋体" w:cs="仿宋"/>
          <w:szCs w:val="32"/>
        </w:rPr>
        <w:drawing>
          <wp:anchor distT="0" distB="0" distL="114300" distR="114300" simplePos="0" relativeHeight="251663360" behindDoc="0" locked="0" layoutInCell="1" allowOverlap="1">
            <wp:simplePos x="0" y="0"/>
            <wp:positionH relativeFrom="column">
              <wp:posOffset>3820795</wp:posOffset>
            </wp:positionH>
            <wp:positionV relativeFrom="paragraph">
              <wp:posOffset>220980</wp:posOffset>
            </wp:positionV>
            <wp:extent cx="1654810" cy="1171575"/>
            <wp:effectExtent l="0" t="0" r="2540" b="9525"/>
            <wp:wrapSquare wrapText="bothSides"/>
            <wp:docPr id="19" name="图片 19" descr="C:\Users\Administrator\Desktop\IMG_20230523_151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Desktop\IMG_20230523_151927.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810" cy="1171575"/>
                    </a:xfrm>
                    <a:prstGeom prst="rect">
                      <a:avLst/>
                    </a:prstGeom>
                    <a:noFill/>
                    <a:ln>
                      <a:noFill/>
                    </a:ln>
                  </pic:spPr>
                </pic:pic>
              </a:graphicData>
            </a:graphic>
          </wp:anchor>
        </w:drawing>
      </w:r>
      <w:r>
        <w:rPr>
          <w:rFonts w:hint="eastAsia" w:ascii="仿宋_GB2312" w:hAnsi="仿宋_GB2312" w:eastAsia="仿宋_GB2312" w:cs="仿宋"/>
          <w:kern w:val="0"/>
          <w:sz w:val="32"/>
          <w:szCs w:val="32"/>
        </w:rPr>
        <w:t>一审法院在上述三组证据中又分别选取了三份具有代表性的外观专利（申请日均晚于2017年5月），其最能表明该系列外观专利设计要点的图片或照片如下图所示：</w:t>
      </w:r>
    </w:p>
    <w:p>
      <w:pPr>
        <w:spacing w:line="520" w:lineRule="exact"/>
        <w:ind w:firstLine="420" w:firstLineChars="200"/>
        <w:rPr>
          <w:rFonts w:ascii="仿宋_GB2312" w:hAnsi="仿宋_GB2312" w:eastAsia="仿宋_GB2312" w:cs="仿宋"/>
          <w:kern w:val="0"/>
          <w:sz w:val="32"/>
          <w:szCs w:val="32"/>
        </w:rPr>
      </w:pPr>
      <w:r>
        <w:rPr>
          <w:rFonts w:hint="eastAsia" w:ascii="仿宋_GB2312" w:hAnsi="仿宋" w:eastAsia="宋体" w:cs="仿宋"/>
          <w:szCs w:val="32"/>
        </w:rPr>
        <w:drawing>
          <wp:anchor distT="0" distB="0" distL="114300" distR="114300" simplePos="0" relativeHeight="251665408" behindDoc="0" locked="0" layoutInCell="1" allowOverlap="1">
            <wp:simplePos x="0" y="0"/>
            <wp:positionH relativeFrom="column">
              <wp:posOffset>3959225</wp:posOffset>
            </wp:positionH>
            <wp:positionV relativeFrom="paragraph">
              <wp:posOffset>335280</wp:posOffset>
            </wp:positionV>
            <wp:extent cx="1543685" cy="1129030"/>
            <wp:effectExtent l="0" t="0" r="0" b="0"/>
            <wp:wrapSquare wrapText="bothSides"/>
            <wp:docPr id="20" name="图片 20" descr="H:\IMG_20230523_152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IMG_20230523_152816.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685" cy="1129030"/>
                    </a:xfrm>
                    <a:prstGeom prst="rect">
                      <a:avLst/>
                    </a:prstGeom>
                    <a:noFill/>
                    <a:ln>
                      <a:noFill/>
                    </a:ln>
                  </pic:spPr>
                </pic:pic>
              </a:graphicData>
            </a:graphic>
          </wp:anchor>
        </w:drawing>
      </w:r>
      <w:r>
        <w:rPr>
          <w:rFonts w:hint="eastAsia" w:ascii="仿宋_GB2312" w:hAnsi="仿宋" w:eastAsia="宋体" w:cs="仿宋"/>
          <w:szCs w:val="32"/>
        </w:rPr>
        <w:drawing>
          <wp:anchor distT="0" distB="0" distL="114300" distR="114300" simplePos="0" relativeHeight="251664384" behindDoc="0" locked="0" layoutInCell="1" allowOverlap="1">
            <wp:simplePos x="0" y="0"/>
            <wp:positionH relativeFrom="column">
              <wp:posOffset>1996440</wp:posOffset>
            </wp:positionH>
            <wp:positionV relativeFrom="paragraph">
              <wp:posOffset>335280</wp:posOffset>
            </wp:positionV>
            <wp:extent cx="1745615" cy="1129030"/>
            <wp:effectExtent l="0" t="0" r="6985" b="13970"/>
            <wp:wrapSquare wrapText="bothSides"/>
            <wp:docPr id="21" name="图片 21" descr="H:\IMG_20230523_15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IMG_20230523_152746.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5615" cy="1129030"/>
                    </a:xfrm>
                    <a:prstGeom prst="rect">
                      <a:avLst/>
                    </a:prstGeom>
                    <a:noFill/>
                    <a:ln>
                      <a:noFill/>
                    </a:ln>
                  </pic:spPr>
                </pic:pic>
              </a:graphicData>
            </a:graphic>
          </wp:anchor>
        </w:drawing>
      </w:r>
      <w:r>
        <w:rPr>
          <w:rFonts w:hint="eastAsia" w:ascii="仿宋_GB2312" w:hAnsi="仿宋" w:eastAsia="宋体" w:cs="仿宋"/>
          <w:szCs w:val="32"/>
        </w:rPr>
        <w:drawing>
          <wp:anchor distT="0" distB="0" distL="114300" distR="114300" simplePos="0" relativeHeight="251662336" behindDoc="0" locked="0" layoutInCell="1" allowOverlap="1">
            <wp:simplePos x="0" y="0"/>
            <wp:positionH relativeFrom="column">
              <wp:posOffset>13335</wp:posOffset>
            </wp:positionH>
            <wp:positionV relativeFrom="paragraph">
              <wp:posOffset>335280</wp:posOffset>
            </wp:positionV>
            <wp:extent cx="1676400" cy="1129030"/>
            <wp:effectExtent l="0" t="0" r="0" b="13970"/>
            <wp:wrapSquare wrapText="bothSides"/>
            <wp:docPr id="22" name="图片 22" descr="H:\IMG_20230523_15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IMG_20230523_152720.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1129030"/>
                    </a:xfrm>
                    <a:prstGeom prst="rect">
                      <a:avLst/>
                    </a:prstGeom>
                    <a:noFill/>
                    <a:ln>
                      <a:noFill/>
                    </a:ln>
                  </pic:spPr>
                </pic:pic>
              </a:graphicData>
            </a:graphic>
          </wp:anchor>
        </w:drawing>
      </w:r>
    </w:p>
    <w:p>
      <w:pPr>
        <w:spacing w:line="520" w:lineRule="exact"/>
        <w:ind w:firstLine="640" w:firstLineChars="200"/>
        <w:rPr>
          <w:rFonts w:ascii="仿宋_GB2312" w:hAnsi="仿宋_GB2312" w:eastAsia="仿宋_GB2312" w:cs="仿宋"/>
          <w:kern w:val="0"/>
          <w:sz w:val="32"/>
          <w:szCs w:val="32"/>
        </w:rPr>
      </w:pP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横琴公司、名创优选公司另提供经时间戳公证的在熊猫办公、红动中国、昵图网等网络上搜索的棉花手绘棉花设计图。其主张作为自然界常见生物，表现形式单一且固定，设计空间有限。</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另提供该43份“棉花”图形或含“棉花”图形的商标档案显示，在第5类、24类、25类等相关含“棉”商品上申请的“棉花”图形商标或含“棉花”图形的组合商标在初审阶段即被国家知识产权局驳回。</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此外，</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横琴公司、名创优选公司在京东、天猫、拼多多、抖音等平台搜索了与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公司主张的权利装潢使用相同设计要素的类似商品，上述网商平台商品未有早于2017年5月份的证据。</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（五）</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横琴公司、名创优选公司提供的经时间戳公证的新闻报道显示，</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公司举办了相关活动，</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横琴公司、名创优选公司主张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公司上述活动与涉案商品无关，且</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公司涉案商品存在多种型号，不同型号商品使用的装潢元素各不相同，但该篇文章图片显示了</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公司本案主张的涉案商品装潢样式。</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横琴公司、名创优选公司提供了经时间戳公证的</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公司官网（www.purcotton.com）截图、第三方媒体对</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公司商品情况的报道、</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公司官网及其相关电商“纯棉柔巾”商品销售情况、</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公司线下门店“纯棉柔巾”商品销售情况等证据，</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横琴公司、名创优选公司据此主张“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公司主张的权利商品包装发布前后，涉案商品上存在多种不同形态的包装，本案</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公司主张的权属包装已被迭代”，</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公司认为上述证据多处显示其本案主张的涉案商品装潢样式，经一审法院核实，上述证据在855、882、892、921页显示</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公司官网存在关于涉案装潢商品的宣传，以及该证据930页（</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公司官方旗舰店），953、972、999页（</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京东旗舰店），1005、1007、1009、1010、1013、1015、1016页（唯品会旗舰店），1045、1047、1081、1093、1099、1103、1115、1127、1143、1153、1177、1185、1187、1197、1221、1237、1251、1263、1271、1281、1291、1297、1299、1311、1321、1333、1339、1341、1355、1391、1371、1395、1401、1411、1431、1449、1459、1469、1477、1481、1489、1499、1517、1519、1539、1553（</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公司实体店铺）等页面均有对涉案装潢权益商品的售卖情况。</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（六）</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横琴公司、名创优选公司提供了第24类注册商标、第35类注册商标等商标注册情况，经一审庭审查明，双方商品均以较为醒目方式标注了其各自商标标识。</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横琴公司、名创优选公司另提供其官网的店铺投资政策、特许经营协议样本等据此主张其加盟店按照统一的</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特许经营体系经营，所经营商品都带有统一标识。</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横琴公司、名创优选公司提交的</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公司加盟店信息表（店铺汇总时间截止到2022年1月）显示，</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公司200多家店铺中有7家店铺处于关停状态，</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公司对此表示系受疫情影响暂时停业。</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北京市方圆公证处（2023）京方圆内经证字第5094号公证书显示，</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横琴公司、名创优选公司代理人于2023年3月17日申请证据保全并购买多款使用与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公司主张权利的装潢相同设计要素的商品。</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华测检测认证集团股份有限公司出具的涉案商品监测报告显示，该系列商品为“100纯棉”制品。</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公司指出</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横琴公司、名创优选公司生产的绿色款商品非纯棉制造，经一审庭审查明该款商品所标注的原材料系“100%植物纤维”。</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（七）</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集团控股有限公司系上市公司，其2021年至2022年6月30日财政年度的年度业绩公告显示，截至2022年6月30日，</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中国共设有3226家线下门店（包括直营店、名创合伙人门店、代理门店），</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经销商品的毛利率为30.4%。</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公司提交的财务报告显示其“</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纯棉柔巾”商品毛利率为44.67%。</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横琴公司成立于2017年12月12日，注册资本1000万元，股东为</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广州公司，监事为叶国富、郑明勇，经营范围为日用百货销售;日用品批发等。</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横琴公司系</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线下店铺授权商，系涉案</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商品上标注的MINISO商标权人。</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广州公司成立于2017年10月18日，注册资本14686.2372万元，监事为叶国富、郑明勇，经营范围为日用百货销售等。</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广州公司系涉案</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商品上标注的条形码厂商识别代码所有人，系网址www.miniso.cn的备案者。</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名创优选公司成立于2017年8月15日，注册资本1000万元，股东为</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广州公司，监事为杨丽莎、郑明勇，经营范围为日用百货销售;互联网销售等。名创优选公司系淘宝—miniso官方企业店铺、淘宝—miniso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旗舰店、京东—</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官方旗舰店、拼多多—</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官方旗舰店、拼多多—MINISO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美妆旗舰店、拼多多—MINISO</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家居生活旗舰店等线上店铺经营主体。</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安庆</w:t>
      </w:r>
      <w:r>
        <w:rPr>
          <w:rFonts w:hint="eastAsia" w:ascii="仿宋_GB2312" w:hAnsi="仿宋_GB2312" w:eastAsia="仿宋_GB2312" w:cs="仿宋"/>
          <w:kern w:val="0"/>
          <w:sz w:val="32"/>
          <w:szCs w:val="32"/>
          <w:lang w:eastAsia="zh-CN"/>
        </w:rPr>
        <w:t>嘉某</w:t>
      </w:r>
      <w:r>
        <w:rPr>
          <w:rFonts w:hint="eastAsia" w:ascii="仿宋_GB2312" w:hAnsi="仿宋_GB2312" w:eastAsia="仿宋_GB2312" w:cs="仿宋"/>
          <w:kern w:val="0"/>
          <w:sz w:val="32"/>
          <w:szCs w:val="32"/>
        </w:rPr>
        <w:t>公司成立于2013年1月11日，注册资本6796.0609万元，经营范围为卫生用品和一次性使用医疗用品生产销售等。</w:t>
      </w:r>
    </w:p>
    <w:p>
      <w:pPr>
        <w:spacing w:line="520" w:lineRule="exact"/>
        <w:ind w:firstLine="627" w:firstLineChars="196"/>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公司提交了经时间戳认证邮件，该邮件显示2019年12月份</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公司母公司稳健医疗公司员工曾向“张晨”“彭霞”邮箱地址末尾系miniso.com等发邮件沟通提醒</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其商品与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商品包装装潢设计“过于近似”。</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横琴公司、名创优选公司否认该邮件真实性，但又表示“现有销售倾斜棉花的包装是经过了稳健医疗公司的认可的”。</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一审法院认为，本案争议焦点为：（一）</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公司“纯棉柔巾”商品装潢是否系有一定影响的商品装潢；（二）被诉侵权行为是否构成侵害</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公司有一定影响的商品装潢的不正当竞争行为；（三）若不正当竞争行为成立，侵权责任应当如何确定。</w:t>
      </w:r>
    </w:p>
    <w:p>
      <w:pPr>
        <w:numPr>
          <w:ilvl w:val="0"/>
          <w:numId w:val="1"/>
        </w:num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关于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公司主张的“纯棉柔巾”商品装潢是否系有一定影响的商品装潢问题</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本案中，根据查明的事实，</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公司自2017年5月开始销售涉案商品在内的“</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纯棉柔巾”系列商品，自2017年至2022年，</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公司聘请多位明星在搜狐网、长江网、微信公众号、腾讯视频、微博等互联网渠道宣传“</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”品牌及涉案“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纯棉柔巾”商品。结合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公司的证据来看，“</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纯棉柔巾”在全国有几百家店铺，各大网络平台销量大，在同类商品市场享有较高市场知名度和影响力。</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纯棉柔巾”商品装潢由专业人员设计，在色彩运用、图形选择及图形、文字排列组合上，均具有较强显著性。虽然涉案商品装潢存在多个版本样式，但每个版本主要组成部分和整体布局基本相同。各版本装潢均为</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所独创，各版本装潢式样之间具有延续性和承继关系。其装潢呈左右两部分拼色设计，一侧为对应绿粉蓝颜色的底色和一枝带着几朵棉花的图案装饰；一侧为白色，标注商品名称及英文等信息。该装潢区别于其他同类商品装潢的特有性在于：在左右两部分拼色设计及所占比例，一枝棉花图案、图案所处位置及占比大小，商品名称及英文等信息所处位置，以及上述图案、色彩、文字排列组合方式，具有较强显著性、美观性,能够吸引普通消费者注意力,且该装潢有别于同时期同类商品装潢，特别是经过长期、大量使用、宣传,该商品已具有较高知名度,该装潢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公司“纯棉柔巾”这一商品结合,已在消费者心中产生固定认知、形成对应关系,起到了标识商品来源的作用，成为具有一定影响的商品装潢标识。</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横琴公司、名创优选公司辩称</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公司的拼色设计、棉花图案属于本领域内惯常设计,但未就此提供充分有效证据,一审法院不予支持。</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公司提交涉案商品对应外观设计专利虽后续被宣告无效，但系因</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公司在申请日前自行公开了近似设计，该事实不影响对</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公司商品装潢的认定，对于其中一个对比设计与专利名称为“包装袋（纯棉柔巾）”的装潢及涉案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公司主张的商品装潢差别较大，对本案不具有参考性。</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横琴公司、名创优选公司辩称</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公司主张的商品退出市场已久，涉案装潢长久不用，不能予以保护，一审法院认为，本案中,</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公司提交的自2017年5月至2022年带有涉案商品图片的广告推广证据；</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公司提交的商品实物显示生产日期为2019年、2020年、2021年、2022年，</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横琴公司、名创优选公司举证的</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公司线下门店证据以及线上官方旗舰店证据显示2023年涉案商品仍有销售，</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公司提交的“</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旗舰店”商品链接中的评论截图显示有2020年至2023年消费者购买到涉案商品的图片。上述证据可以证明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公司对涉案商品装潢进行了长期稳定的使用，上述关于涉案商品装潢长久不用的主张不能成立，一审法院不予支持。</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（二）关于被诉侵权行为是否构成侵害</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公司有一定影响的商品装潢的不正当竞争行为问题</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一审经比对，被诉侵权商品装潢与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商品装潢相比，亦是在同类商品上使用绿粉蓝三色拼白色的拼色设计，在绿粉蓝三色底色上放置一束棉花图案，且拼色设计占比方式、棉花图案的造型及摆放位置、图案朝向以及图案、色彩、文字的排列组合方式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公司装潢构成近似，在隔离状态下对于施以一般注意力的相关消费者而言，足以造成消费者将被诉侵权商品误认为系</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公司商品或者认为与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公司具有某种关联。</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广州公司、名创优选公司的相关主张不能成立，一审法院不予支持。</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公司生产销售，名创优选公司、</w:t>
      </w:r>
      <w:r>
        <w:rPr>
          <w:rFonts w:hint="eastAsia" w:ascii="仿宋_GB2312" w:hAnsi="Calibri" w:eastAsia="仿宋_GB2312" w:cs="Times New Roman"/>
          <w:sz w:val="32"/>
          <w:szCs w:val="32"/>
          <w:lang w:eastAsia="zh-CN"/>
        </w:rPr>
        <w:t>齐某珺</w:t>
      </w:r>
      <w:r>
        <w:rPr>
          <w:rFonts w:hint="eastAsia" w:ascii="仿宋_GB2312" w:hAnsi="Calibri" w:eastAsia="仿宋_GB2312" w:cs="Times New Roman"/>
          <w:sz w:val="32"/>
          <w:szCs w:val="32"/>
        </w:rPr>
        <w:t>销售与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公司有一定影响的装潢近似标识的商品，均构成不正当竞争行为。</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（三）关于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横琴公司、名创优选公司、安庆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w:t>
      </w:r>
      <w:r>
        <w:rPr>
          <w:rFonts w:hint="eastAsia" w:ascii="仿宋_GB2312" w:hAnsi="Calibri" w:eastAsia="仿宋_GB2312" w:cs="Times New Roman"/>
          <w:sz w:val="32"/>
          <w:szCs w:val="32"/>
          <w:lang w:eastAsia="zh-CN"/>
        </w:rPr>
        <w:t>齐某珺</w:t>
      </w:r>
      <w:r>
        <w:rPr>
          <w:rFonts w:hint="eastAsia" w:ascii="仿宋_GB2312" w:hAnsi="Calibri" w:eastAsia="仿宋_GB2312" w:cs="Times New Roman"/>
          <w:sz w:val="32"/>
          <w:szCs w:val="32"/>
        </w:rPr>
        <w:t>应当承担何种侵权责任的问题</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1.关于责任承担。本案中，被诉侵权商品上标注有</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横琴公司的注册商标MINISO、</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广州公司的厂商识别代码、网址，其中粉色和蓝色包装的被诉侵权商品上还标注有安庆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公司的企业名称、地址、电话等信息；工商登记信息可以证实</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广州公司、名创优选公司系关联公司。综上，一审法院认定</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广州公司生产、销售被诉侵权商品，安庆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公司生产部分被诉侵权商品，名创优选公司在部分网络旗舰店销售被诉侵权商品。本案中，名创优选公司系</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广州公司的关联公司，又负责部分旗舰店的经营，其应在所销售侵权商品范围内与生产商</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广州公司承担连带责任，对名创优选公司“其仅销售被诉侵权商品，不应当承担侵权责任”的抗辩主张，一审法院不予支持；对</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横琴公司“核准注册的商标并非涉案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公司主张装潢的构成要素，其不应当承担侵权责任”的抗辩主张，一审法院不予支持。安庆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公司作为被诉侵权商品生产商之一，辩称其仅负责“棉柔巾”生产，不负责涉案商品外包装的设计、生产，但其未提交证据证实。一审法院认为，安庆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广州公司的分工并不影响其对外承担民事责任。安庆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公司作为被诉侵权商品生产商之一，作为同领域生产商，亦应知晓</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公司涉案商品知名度和影响力，其接受委托加工并在商品上标注企业信息，主观存在明显过错，对安庆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公司“尽到了基本的合理注意义务，作为被诉侵权商品的受托加工商，不应承担侵权责任”的抗辩主张，一审法院不予支持。</w:t>
      </w:r>
      <w:r>
        <w:rPr>
          <w:rFonts w:hint="eastAsia" w:ascii="仿宋_GB2312" w:hAnsi="Calibri" w:eastAsia="仿宋_GB2312" w:cs="Times New Roman"/>
          <w:sz w:val="32"/>
          <w:szCs w:val="32"/>
          <w:lang w:eastAsia="zh-CN"/>
        </w:rPr>
        <w:t>齐某珺</w:t>
      </w:r>
      <w:r>
        <w:rPr>
          <w:rFonts w:hint="eastAsia" w:ascii="仿宋_GB2312" w:hAnsi="Calibri" w:eastAsia="仿宋_GB2312" w:cs="Times New Roman"/>
          <w:sz w:val="32"/>
          <w:szCs w:val="32"/>
        </w:rPr>
        <w:t>辩称其具有合法来源但未提交证据予以证明，对其合法来源抗辩主张，一审法院不予支持。综上，</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公司要求</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公司停止侵权、赔偿损失的主张，一审法院予以支持。因</w:t>
      </w:r>
      <w:r>
        <w:rPr>
          <w:rFonts w:hint="eastAsia" w:ascii="仿宋_GB2312" w:hAnsi="Calibri" w:eastAsia="仿宋_GB2312" w:cs="Times New Roman"/>
          <w:sz w:val="32"/>
          <w:szCs w:val="32"/>
          <w:lang w:eastAsia="zh-CN"/>
        </w:rPr>
        <w:t>齐某珺</w:t>
      </w:r>
      <w:r>
        <w:rPr>
          <w:rFonts w:hint="eastAsia" w:ascii="仿宋_GB2312" w:hAnsi="Calibri" w:eastAsia="仿宋_GB2312" w:cs="Times New Roman"/>
          <w:sz w:val="32"/>
          <w:szCs w:val="32"/>
        </w:rPr>
        <w:t>经营的店铺已注销，其已停止销售被诉侵权商品，一审法院不再判决其停止侵权，仅判决其承担相应赔偿责任。</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2.关于赔偿损失。</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公司未能举证证实其自身所受实际损失，一审法院将根据本案侵权具体情节，按照侵权人因侵权所获得利益确定本案赔偿金额。主要考虑以下因素：（1）经营规模。</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横琴公司注册资本1000万元，</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广州公司注册资本14686.2372万元，名创优选公司注册资本1000万元，安庆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公司注册资本6796.0609万元。</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广州公司、名创优选公司宣传线下</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设有3000余家门店。（2）销售情况。被诉侵权商品销售渠道众多，涉及线上及线下，销售范围广。涉案证据显示线下涉及山东济南、北京、上海、河北石家庄等18个省市，且</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广州公司、名创优选公司自述</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店铺系统一供货模式。线上在京东、淘宝、拼多多、唯品会、微信小程序等各大电商平台开设网店，其中</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公司取证的10家</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官方店铺被诉侵权商品销售金额约为11300万元，同时</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官方店铺宣传被诉侵权商品累计销售3000万+包，被诉侵权商品单包销售均价在15元左右。（3）</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广州公司、名创优选公司侵权故意程度。“</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”曾与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公司母公司稳健医疗公司在2019年就涉案商品包装装潢进行了沟通，</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广州公司、名创优选公司应当知晓</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公司商品装潢样式。被诉侵权商品MINISO商标放置于商品背面弱化了其品牌识别效应，突出了被诉侵权商品装潢设计样式。</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公司推出涉案装潢棉柔巾商品时间是2017年5月，而从证据来看，</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广州公司、名创优选公司是2019年才推出被诉侵权商品，此时</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公司商品在市场流通已两年多，通过</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公司宣传推广在同行业中已具备较高知名度。</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广州公司、名创优选公司作为同行业经营者，亦应合理避让</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公司装潢样式。（4）其他查明事实。“</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纯棉柔巾”商品毛利率为44.67%。被诉侵权商品毛利率为30.4%。考虑到被诉侵权商品装潢使用方式及市场上其他同类商品装潢设计样式，一审法院酌定被诉侵权商品装潢对侵权获利贡献率为35%。综上，依据</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广州公司、名创优选公司经营的10家网络官方店铺销售被诉侵权商品金额为11300余万元及线下3000多家门店的事实，同时，参照涉案商品知名程度、侵权行为性质、持续时间、侵权主观故意程度等因素，一审法院以</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广州公司、名创优选公司宣称的3000万+包销量、均价</w:t>
      </w:r>
      <w:r>
        <w:rPr>
          <w:rFonts w:ascii="仿宋_GB2312" w:hAnsi="Calibri" w:eastAsia="仿宋_GB2312" w:cs="Times New Roman"/>
          <w:sz w:val="32"/>
          <w:szCs w:val="32"/>
        </w:rPr>
        <w:t>1</w:t>
      </w:r>
      <w:r>
        <w:rPr>
          <w:rFonts w:hint="eastAsia" w:ascii="仿宋_GB2312" w:hAnsi="Calibri" w:eastAsia="仿宋_GB2312" w:cs="Times New Roman"/>
          <w:sz w:val="32"/>
          <w:szCs w:val="32"/>
        </w:rPr>
        <w:t>5元每包、被诉侵权商品毛利率及商品装潢对侵权获利的贡献率为计算依据，确定</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广州公司的获利，据此，</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广州公司因被诉侵权商品所获得的利润远超</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公司主张的3000万元，对</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公司主张的</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广州公司的3000万元赔偿一审法院予以支持；考虑名创优选公司在其经营的旗舰店销售的事实，一审法院酌定名创优选公司在500万元范围内承担连带责任；考虑安庆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公司生产被诉侵权商品占比及侵权行为性质，一审法院酌定其在1000万元范围内承担连带责任。</w:t>
      </w:r>
      <w:r>
        <w:rPr>
          <w:rFonts w:hint="eastAsia" w:ascii="仿宋_GB2312" w:hAnsi="Calibri" w:eastAsia="仿宋_GB2312" w:cs="Times New Roman"/>
          <w:sz w:val="32"/>
          <w:szCs w:val="32"/>
          <w:lang w:eastAsia="zh-CN"/>
        </w:rPr>
        <w:t>齐某珺</w:t>
      </w:r>
      <w:r>
        <w:rPr>
          <w:rFonts w:hint="eastAsia" w:ascii="仿宋_GB2312" w:hAnsi="Calibri" w:eastAsia="仿宋_GB2312" w:cs="Times New Roman"/>
          <w:sz w:val="32"/>
          <w:szCs w:val="32"/>
        </w:rPr>
        <w:t>赔偿</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公司经济损失5000元。</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关于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公司提出的刊登声明消除影响的诉讼请求，因其并未提供商誉受损的证据，且裁判文书的社会公开亦足以消除侵权行为所造成的影响，一审法院对该诉请不再另行判决；因</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公司并未提供被诉侵权商品存放位置，且该项诉讼请求属于判决执行内容，对其要求销毁库存商品的诉求一审法院不再另行支持。</w:t>
      </w:r>
    </w:p>
    <w:p>
      <w:pPr>
        <w:spacing w:line="52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一审判决：（一）</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公司立即停止生产、销售与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公司“纯棉柔巾”商品装潢近似的商品；（二）名创优选公司立即停止销售与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公司“纯棉柔巾”商品装潢近似的商品；（三）</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广州公司于判决生效之日起十日内赔偿</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公司经济损失（含合理开支）3000万元，安庆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公司在1000万元范围内承担连带责任,名创优选公司在500万元范围内承担连带责任；（四）</w:t>
      </w:r>
      <w:r>
        <w:rPr>
          <w:rFonts w:hint="eastAsia" w:ascii="仿宋_GB2312" w:hAnsi="Calibri" w:eastAsia="仿宋_GB2312" w:cs="Times New Roman"/>
          <w:sz w:val="32"/>
          <w:szCs w:val="32"/>
          <w:lang w:eastAsia="zh-CN"/>
        </w:rPr>
        <w:t>齐某珺</w:t>
      </w:r>
      <w:r>
        <w:rPr>
          <w:rFonts w:hint="eastAsia" w:ascii="仿宋_GB2312" w:hAnsi="Calibri" w:eastAsia="仿宋_GB2312" w:cs="Times New Roman"/>
          <w:sz w:val="32"/>
          <w:szCs w:val="32"/>
        </w:rPr>
        <w:t>于判决生效之日起十日内赔偿</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公司经济损失及合理开支合计5000元；（五）驳回</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的其他诉讼请求。如果未按判决指定的期间履行给付金钱义务，应当依照《中华人民共和国民事诉讼法》第二百六十条规定，加倍支付迟延履行期间的债务利息。一审案件受理费192050元，一审案件保全申请费5000元，均由</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广州公司负担。</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本院二审期间，当事人围绕上诉请求依法提交了证据。本院组织当事人进行了证据交换和质证。</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广州公司、名创优选公司提交以下证据：1</w:t>
      </w:r>
      <w:r>
        <w:rPr>
          <w:rFonts w:ascii="仿宋_GB2312" w:hAnsi="Calibri" w:eastAsia="仿宋_GB2312" w:cs="Times New Roman"/>
          <w:sz w:val="32"/>
          <w:szCs w:val="32"/>
          <w:lang w:val="en"/>
        </w:rPr>
        <w:t>.</w:t>
      </w:r>
      <w:r>
        <w:rPr>
          <w:rFonts w:hint="eastAsia" w:ascii="仿宋_GB2312" w:hAnsi="Calibri" w:eastAsia="仿宋_GB2312" w:cs="Times New Roman"/>
          <w:sz w:val="32"/>
          <w:szCs w:val="32"/>
        </w:rPr>
        <w:t>经过可信时间戳认证第三方报道的</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公司棉柔巾商品装潢情况。2.中国商品信息服务平台显示的</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公司棉柔巾商品多款装潢查询打印件。证据1-2拟证明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公司棉柔巾商品存在多种不同装潢，且各个装潢样态之间无延续性和承继关系。3</w:t>
      </w:r>
      <w:r>
        <w:rPr>
          <w:rFonts w:ascii="仿宋_GB2312" w:hAnsi="Calibri" w:eastAsia="仿宋_GB2312" w:cs="Times New Roman"/>
          <w:sz w:val="32"/>
          <w:szCs w:val="32"/>
          <w:lang w:val="en"/>
        </w:rPr>
        <w:t>.</w:t>
      </w:r>
      <w:r>
        <w:rPr>
          <w:rFonts w:hint="eastAsia" w:ascii="仿宋_GB2312" w:hAnsi="Calibri" w:eastAsia="仿宋_GB2312" w:cs="Times New Roman"/>
          <w:sz w:val="32"/>
          <w:szCs w:val="32"/>
        </w:rPr>
        <w:t>巨潮咨询下载的4个案外上市公司企业年报（2019-2022）棉柔巾商品类似品类的净利润率</w:t>
      </w:r>
      <w:r>
        <w:rPr>
          <w:rFonts w:ascii="仿宋_GB2312" w:hAnsi="Calibri" w:eastAsia="仿宋_GB2312" w:cs="Times New Roman"/>
          <w:sz w:val="32"/>
          <w:szCs w:val="32"/>
          <w:lang w:val="en"/>
        </w:rPr>
        <w:t>,</w:t>
      </w:r>
      <w:r>
        <w:rPr>
          <w:rFonts w:hint="eastAsia" w:ascii="仿宋_GB2312" w:hAnsi="Calibri" w:eastAsia="仿宋_GB2312" w:cs="Times New Roman"/>
          <w:sz w:val="32"/>
          <w:szCs w:val="32"/>
          <w:lang w:val="en"/>
        </w:rPr>
        <w:t>拟</w:t>
      </w:r>
      <w:r>
        <w:rPr>
          <w:rFonts w:hint="eastAsia" w:ascii="仿宋_GB2312" w:hAnsi="Calibri" w:eastAsia="仿宋_GB2312" w:cs="Times New Roman"/>
          <w:sz w:val="32"/>
          <w:szCs w:val="32"/>
        </w:rPr>
        <w:t>证明棉柔巾商品类似品类如纸巾商品及家纺商品净利润率均在3%-8%左右，一审判赔数额过高。4</w:t>
      </w:r>
      <w:r>
        <w:rPr>
          <w:rFonts w:ascii="仿宋_GB2312" w:hAnsi="Calibri" w:eastAsia="仿宋_GB2312" w:cs="Times New Roman"/>
          <w:sz w:val="32"/>
          <w:szCs w:val="32"/>
          <w:lang w:val="en"/>
        </w:rPr>
        <w:t>.</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广州公司、名创优选公司在京东、天猫、拼多多主流电商平台在售棉柔巾商品其他装潢样式网页打印件。5</w:t>
      </w:r>
      <w:r>
        <w:rPr>
          <w:rFonts w:ascii="仿宋_GB2312" w:hAnsi="Calibri" w:eastAsia="仿宋_GB2312" w:cs="Times New Roman"/>
          <w:sz w:val="32"/>
          <w:szCs w:val="32"/>
          <w:lang w:val="en"/>
        </w:rPr>
        <w:t>.</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广州公司、名创优选公司整理的其棉柔巾商品清单。证据4-5拟证明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广州公司、名创优选公司在售棉柔巾商品存在多种装潢样式，销售数量及金额皆应进行精细化计算。</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公司质证称，对证据1-4真实性无异议，对关联性和证明目的有异议。对证据5真实性、关联性、合法性和证明目的均有异议。</w:t>
      </w:r>
      <w:r>
        <w:rPr>
          <w:rFonts w:ascii="仿宋_GB2312" w:hAnsi="仿宋_GB2312" w:eastAsia="仿宋_GB2312" w:cs="仿宋"/>
          <w:kern w:val="0"/>
          <w:sz w:val="32"/>
          <w:szCs w:val="32"/>
        </w:rPr>
        <w:t>安庆</w:t>
      </w:r>
      <w:r>
        <w:rPr>
          <w:rFonts w:hint="eastAsia" w:ascii="仿宋_GB2312" w:hAnsi="仿宋_GB2312" w:eastAsia="仿宋_GB2312" w:cs="仿宋"/>
          <w:kern w:val="0"/>
          <w:sz w:val="32"/>
          <w:szCs w:val="32"/>
          <w:lang w:eastAsia="zh-CN"/>
        </w:rPr>
        <w:t>嘉某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rPr>
        <w:t>质证称，对上述证据真实性、关联性和证明目的均无异议。</w:t>
      </w:r>
      <w:r>
        <w:rPr>
          <w:rFonts w:hint="eastAsia" w:ascii="仿宋_GB2312" w:hAnsi="Calibri" w:eastAsia="仿宋_GB2312" w:cs="Times New Roman"/>
          <w:sz w:val="32"/>
          <w:szCs w:val="32"/>
        </w:rPr>
        <w:t>本院认为，证据5系</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广州公司、名创优选公司单方整理，对证据5真实性无法确认，不予采信；对证据1-4真实性予以确认，对其证明力将结合本案其他事实予以综合认定。</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公司提交以下证据：1.经过易存链电子数据存证的线下从第三方渠道取证涉案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公司纯棉柔巾商品一件。2.经过易存链电子数据存证的淘宝、拼多多平台的第三方店铺销售涉案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商品截图一份，经过易存链电子数据存证的涉案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商品在北京地铁广告视频，经过可信时间戳认证的2020年-2022年第三方媒体或普通消费者对涉案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商品宣传介绍及报道。3.</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公司与第三方合作销售合同四份及履行发票四份。证据1-3拟证明涉案</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公司商品销售渠道不仅是</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店铺，还有第三方店铺在销售，同时证明涉案装潢持续使用及销售情况。4.</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公司母公司稳健医疗公司2022年半年度报告第22页，拟证明截至2022年6月30日，</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已在深圳、上海、北京、广州等60余个城市开设335家线下门店（其中加盟店27家）。5.经过易存链电子数据存证的线下从第三方渠道店铺取证被诉侵权商品两包。6.经过易存链电子数据存证的线上第三方渠道店铺销售被诉侵权商品截图。证据5-6拟证明一审判决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广州公司、名创优选公司仍未停止销售被诉侵权商品，且线上、线下均有销售。7</w:t>
      </w:r>
      <w:r>
        <w:rPr>
          <w:rFonts w:ascii="仿宋_GB2312" w:hAnsi="Calibri" w:eastAsia="仿宋_GB2312" w:cs="Times New Roman"/>
          <w:sz w:val="32"/>
          <w:szCs w:val="32"/>
          <w:lang w:val="en"/>
        </w:rPr>
        <w:t>.经过易存链电子数据存证的</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店铺销售的商品，商品整体分三类：联名款商品、合作款商品、其他品牌商品，拟证明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广州公司本身不生产商品，被诉侵权商品的存在会让消费者误认为是Miniso与</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商品的联名款或者合作款。8</w:t>
      </w:r>
      <w:r>
        <w:rPr>
          <w:rFonts w:ascii="仿宋_GB2312" w:hAnsi="Calibri" w:eastAsia="仿宋_GB2312" w:cs="Times New Roman"/>
          <w:sz w:val="32"/>
          <w:szCs w:val="32"/>
          <w:lang w:val="en"/>
        </w:rPr>
        <w:t>.</w:t>
      </w:r>
      <w:r>
        <w:rPr>
          <w:rFonts w:hint="eastAsia" w:ascii="仿宋_GB2312" w:hAnsi="Calibri" w:eastAsia="仿宋_GB2312" w:cs="Times New Roman"/>
          <w:sz w:val="32"/>
          <w:szCs w:val="32"/>
        </w:rPr>
        <w:t>经过可信时间戳取证的京东平台</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官方旗舰店宣传一份，拟证明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广州公司、名创优选公司披露被诉侵权商品销售3000万+包是自2019年起截止到2022年8月的销售数据。9.电子数据存证（2023）苏宁石存字第16448号，拟证明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广州公司、名创优选公司截止2023年9月的实际综合利润率高于30%。</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质证称，对证据1-2、4、6-7合法性和真实性无异议，对关联性和证明目的有异议；对证据3真实性无异议，对关联性、合法性和证明目的有异议；对证据5合法性、真实性、关联性无异议，对证明目的有异议；对证据8真实性无异议，对关联性有异议；对证据9真实性无异议，对关联性和证明目的有异议。安庆</w:t>
      </w:r>
      <w:r>
        <w:rPr>
          <w:rFonts w:hint="eastAsia" w:ascii="仿宋_GB2312" w:hAnsi="Calibri" w:eastAsia="仿宋_GB2312" w:cs="Times New Roman"/>
          <w:sz w:val="32"/>
          <w:szCs w:val="32"/>
          <w:lang w:eastAsia="zh-CN"/>
        </w:rPr>
        <w:t>嘉某</w:t>
      </w:r>
      <w:r>
        <w:rPr>
          <w:rFonts w:hint="eastAsia" w:ascii="仿宋_GB2312" w:hAnsi="Calibri" w:eastAsia="仿宋_GB2312" w:cs="Times New Roman"/>
          <w:sz w:val="32"/>
          <w:szCs w:val="32"/>
        </w:rPr>
        <w:t>公司质证称，同</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广州公司、名创优选公司质证意见。本院对上述证据真实性予以确认，对其证明力将结合本案其他事实予以综合认定。</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本院对一审法院查明的事实予以确认。</w:t>
      </w:r>
    </w:p>
    <w:p>
      <w:pPr>
        <w:spacing w:line="520" w:lineRule="exact"/>
        <w:ind w:firstLine="640" w:firstLineChars="200"/>
        <w:rPr>
          <w:rFonts w:ascii="仿宋_GB2312" w:hAnsi="Calibri" w:eastAsia="仿宋_GB2312" w:cs="Times New Roman"/>
          <w:sz w:val="32"/>
          <w:szCs w:val="32"/>
        </w:rPr>
      </w:pPr>
      <w:r>
        <w:rPr>
          <w:rFonts w:hint="eastAsia" w:ascii="仿宋_GB2312" w:hAnsi="仿宋_GB2312" w:eastAsia="仿宋_GB2312" w:cs="仿宋"/>
          <w:kern w:val="0"/>
          <w:sz w:val="32"/>
          <w:szCs w:val="32"/>
        </w:rPr>
        <w:t>本院认为，本案争议的焦点问题为：（一）</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公司的纯棉柔巾商品装潢是否构成有一定影响的商品装潢；（二）</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广州公司、名创优选公司的行为是否构成不正当竞争；（三）</w:t>
      </w:r>
      <w:r>
        <w:rPr>
          <w:rFonts w:hint="eastAsia" w:ascii="仿宋_GB2312" w:hAnsi="Calibri" w:eastAsia="仿宋_GB2312" w:cs="Times New Roman"/>
          <w:sz w:val="32"/>
          <w:szCs w:val="32"/>
        </w:rPr>
        <w:t>如果构成不正当竞争，</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广州公司、名创优选公司应如何承担民事责任。</w:t>
      </w:r>
    </w:p>
    <w:p>
      <w:pPr>
        <w:numPr>
          <w:ilvl w:val="0"/>
          <w:numId w:val="2"/>
        </w:num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关于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公司的纯棉柔巾商品装潢是否构成有一定影响的商品装潢问题。本院认为，《最高人民法院关于适用</w:t>
      </w:r>
      <w:r>
        <w:rPr>
          <w:rFonts w:ascii="仿宋_GB2312" w:hAnsi="仿宋_GB2312" w:eastAsia="仿宋_GB2312" w:cs="仿宋"/>
          <w:kern w:val="0"/>
          <w:sz w:val="32"/>
          <w:szCs w:val="32"/>
        </w:rPr>
        <w:t>&lt;中华人民共和国反不正当竞争法&gt;若干问题的解释》第四条规定，具有一定的市场知名度并具有区别商品来源的显著特征的标识，人民法院可以认定为反不正当竞争法第六条规定的“有一定影响的”标识。人民法院认定反不正当竞争法第六条规定的标识是否具有一定的市场知名度，应当综合考虑中国境内相关公众的知悉程度，商品销售的时间、区域、数额和对象，宣传的持续时间、程度和地域范围，标识受保护的情况等因素。本案中，</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公司本案主张的“纯棉柔巾”商品装潢整体呈左右两部分拼色设计，一侧为对应绿、粉、蓝颜色的底色和一枝带着几朵棉花的图案装饰；一侧为白色，标注商品名称、商标及英文商品名称等信息。</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公司的证据能够证明自</w:t>
      </w:r>
      <w:r>
        <w:rPr>
          <w:rFonts w:ascii="仿宋_GB2312" w:hAnsi="仿宋_GB2312" w:eastAsia="仿宋_GB2312" w:cs="仿宋"/>
          <w:kern w:val="0"/>
          <w:sz w:val="32"/>
          <w:szCs w:val="32"/>
        </w:rPr>
        <w:t>2017年起聘请多位明星</w:t>
      </w:r>
      <w:r>
        <w:rPr>
          <w:rFonts w:hint="eastAsia" w:ascii="仿宋_GB2312" w:hAnsi="仿宋_GB2312" w:eastAsia="仿宋_GB2312" w:cs="仿宋"/>
          <w:kern w:val="0"/>
          <w:sz w:val="32"/>
          <w:szCs w:val="32"/>
        </w:rPr>
        <w:t>在腾讯视频、新浪微博、京东、天猫等多渠道大力宣传推广使用上述装潢的涉案商品，在线上线下均有销售且销售额较高，特别是</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公司的审计报告表明，其使用绿粉蓝三款装潢的涉案商品在</w:t>
      </w:r>
      <w:r>
        <w:rPr>
          <w:rFonts w:ascii="仿宋_GB2312" w:hAnsi="仿宋_GB2312" w:eastAsia="仿宋_GB2312" w:cs="仿宋"/>
          <w:kern w:val="0"/>
          <w:sz w:val="32"/>
          <w:szCs w:val="32"/>
        </w:rPr>
        <w:t>2017</w:t>
      </w:r>
      <w:r>
        <w:rPr>
          <w:rFonts w:hint="eastAsia" w:ascii="仿宋_GB2312" w:hAnsi="仿宋_GB2312" w:eastAsia="仿宋_GB2312" w:cs="仿宋"/>
          <w:kern w:val="0"/>
          <w:sz w:val="32"/>
          <w:szCs w:val="32"/>
        </w:rPr>
        <w:t>年</w:t>
      </w:r>
      <w:r>
        <w:rPr>
          <w:rFonts w:ascii="仿宋_GB2312" w:hAnsi="仿宋_GB2312" w:eastAsia="仿宋_GB2312" w:cs="仿宋"/>
          <w:kern w:val="0"/>
          <w:sz w:val="32"/>
          <w:szCs w:val="32"/>
        </w:rPr>
        <w:t>-2021</w:t>
      </w:r>
      <w:r>
        <w:rPr>
          <w:rFonts w:hint="eastAsia" w:ascii="仿宋_GB2312" w:hAnsi="仿宋_GB2312" w:eastAsia="仿宋_GB2312" w:cs="仿宋"/>
          <w:kern w:val="0"/>
          <w:sz w:val="32"/>
          <w:szCs w:val="32"/>
        </w:rPr>
        <w:t>年一直在持续销售且销售额较高，从销售数据来看，</w:t>
      </w:r>
      <w:r>
        <w:rPr>
          <w:rFonts w:ascii="仿宋_GB2312" w:hAnsi="仿宋_GB2312" w:eastAsia="仿宋_GB2312" w:cs="仿宋"/>
          <w:kern w:val="0"/>
          <w:sz w:val="32"/>
          <w:szCs w:val="32"/>
        </w:rPr>
        <w:t>2017</w:t>
      </w:r>
      <w:r>
        <w:rPr>
          <w:rFonts w:hint="eastAsia" w:ascii="仿宋_GB2312" w:hAnsi="仿宋_GB2312" w:eastAsia="仿宋_GB2312" w:cs="仿宋"/>
          <w:kern w:val="0"/>
          <w:sz w:val="32"/>
          <w:szCs w:val="32"/>
        </w:rPr>
        <w:t>年上述三款涉案商品销售额共计</w:t>
      </w:r>
      <w:r>
        <w:rPr>
          <w:rFonts w:ascii="仿宋_GB2312" w:hAnsi="仿宋_GB2312" w:eastAsia="仿宋_GB2312" w:cs="仿宋"/>
          <w:kern w:val="0"/>
          <w:sz w:val="32"/>
          <w:szCs w:val="32"/>
        </w:rPr>
        <w:t>3049.04</w:t>
      </w:r>
      <w:r>
        <w:rPr>
          <w:rFonts w:hint="eastAsia" w:ascii="仿宋_GB2312" w:hAnsi="仿宋_GB2312" w:eastAsia="仿宋_GB2312" w:cs="仿宋"/>
          <w:kern w:val="0"/>
          <w:sz w:val="32"/>
          <w:szCs w:val="32"/>
        </w:rPr>
        <w:t>万元，</w:t>
      </w:r>
      <w:r>
        <w:rPr>
          <w:rFonts w:ascii="仿宋_GB2312" w:hAnsi="仿宋_GB2312" w:eastAsia="仿宋_GB2312" w:cs="仿宋"/>
          <w:kern w:val="0"/>
          <w:sz w:val="32"/>
          <w:szCs w:val="32"/>
        </w:rPr>
        <w:t>2018</w:t>
      </w:r>
      <w:r>
        <w:rPr>
          <w:rFonts w:hint="eastAsia" w:ascii="仿宋_GB2312" w:hAnsi="仿宋_GB2312" w:eastAsia="仿宋_GB2312" w:cs="仿宋"/>
          <w:kern w:val="0"/>
          <w:sz w:val="32"/>
          <w:szCs w:val="32"/>
        </w:rPr>
        <w:t>年上述三款涉案商品销售额共计</w:t>
      </w:r>
      <w:r>
        <w:rPr>
          <w:rFonts w:ascii="仿宋_GB2312" w:hAnsi="仿宋_GB2312" w:eastAsia="仿宋_GB2312" w:cs="仿宋"/>
          <w:kern w:val="0"/>
          <w:sz w:val="32"/>
          <w:szCs w:val="32"/>
        </w:rPr>
        <w:t>8626.4</w:t>
      </w:r>
      <w:r>
        <w:rPr>
          <w:rFonts w:hint="eastAsia" w:ascii="仿宋_GB2312" w:hAnsi="仿宋_GB2312" w:eastAsia="仿宋_GB2312" w:cs="仿宋"/>
          <w:kern w:val="0"/>
          <w:sz w:val="32"/>
          <w:szCs w:val="32"/>
        </w:rPr>
        <w:t>万元，</w:t>
      </w:r>
      <w:r>
        <w:rPr>
          <w:rFonts w:ascii="仿宋_GB2312" w:hAnsi="仿宋_GB2312" w:eastAsia="仿宋_GB2312" w:cs="仿宋"/>
          <w:kern w:val="0"/>
          <w:sz w:val="32"/>
          <w:szCs w:val="32"/>
        </w:rPr>
        <w:t>2019</w:t>
      </w:r>
      <w:r>
        <w:rPr>
          <w:rFonts w:hint="eastAsia" w:ascii="仿宋_GB2312" w:hAnsi="仿宋_GB2312" w:eastAsia="仿宋_GB2312" w:cs="仿宋"/>
          <w:kern w:val="0"/>
          <w:sz w:val="32"/>
          <w:szCs w:val="32"/>
        </w:rPr>
        <w:t>年上述三款涉案商品销售额达到</w:t>
      </w:r>
      <w:r>
        <w:rPr>
          <w:rFonts w:ascii="仿宋_GB2312" w:hAnsi="仿宋_GB2312" w:eastAsia="仿宋_GB2312" w:cs="仿宋"/>
          <w:kern w:val="0"/>
          <w:sz w:val="32"/>
          <w:szCs w:val="32"/>
        </w:rPr>
        <w:t>18847.64</w:t>
      </w:r>
      <w:r>
        <w:rPr>
          <w:rFonts w:hint="eastAsia" w:ascii="仿宋_GB2312" w:hAnsi="仿宋_GB2312" w:eastAsia="仿宋_GB2312" w:cs="仿宋"/>
          <w:kern w:val="0"/>
          <w:sz w:val="32"/>
          <w:szCs w:val="32"/>
        </w:rPr>
        <w:t>万元，可见，在被诉侵权行为发生之前，上述三款涉案商品的装潢经过</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公司大力宣传推广和持续使用，已经具有一定的市场知名度，并且已经与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公司纯棉柔巾商品产生了稳定联系，具有了区别其商品来源的显著特征，一审判决认定上述三款商品装潢构成有一定影响的商品装潢并无不当。虽然</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广州公司、名创优选公司认为其所称的</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商品使用的“深浅蓝色条纹”装潢与上述三款涉案商品装潢存在较大差异，但上述“深浅蓝色条纹”装潢仅为在底色颜色、是否有条纹设计上有细微差别，装潢整体的显著特征并无实质性改变，一审判决认定“深浅蓝色条纹”装潢与上述三款涉案商品装潢具有延续性并无不当，一审判决认定“深浅蓝色条纹”装潢构成有一定影响的商品装潢亦无不当。</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广州公司、名创优选公司还主张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公司涉案商品装潢设计要素均为本领域惯常设计、缺乏显著性，但商品装潢中个别元素是否属于公有领域，不影响装潢整体上构成有一定影响的商品装潢的判断。虽然</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广州公司、名创优选公司还主张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公司上述绿粉蓝三款商品装潢已停用</w:t>
      </w:r>
      <w:r>
        <w:rPr>
          <w:rFonts w:ascii="仿宋_GB2312" w:hAnsi="仿宋_GB2312" w:eastAsia="仿宋_GB2312" w:cs="仿宋"/>
          <w:kern w:val="0"/>
          <w:sz w:val="32"/>
          <w:szCs w:val="32"/>
        </w:rPr>
        <w:t>5</w:t>
      </w:r>
      <w:r>
        <w:rPr>
          <w:rFonts w:hint="eastAsia" w:ascii="仿宋_GB2312" w:hAnsi="仿宋_GB2312" w:eastAsia="仿宋_GB2312" w:cs="仿宋"/>
          <w:kern w:val="0"/>
          <w:sz w:val="32"/>
          <w:szCs w:val="32"/>
        </w:rPr>
        <w:t>年之久，但如前所述，</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公司审计报告表明，直到</w:t>
      </w:r>
      <w:r>
        <w:rPr>
          <w:rFonts w:ascii="仿宋_GB2312" w:hAnsi="仿宋_GB2312" w:eastAsia="仿宋_GB2312" w:cs="仿宋"/>
          <w:kern w:val="0"/>
          <w:sz w:val="32"/>
          <w:szCs w:val="32"/>
        </w:rPr>
        <w:t>2021</w:t>
      </w:r>
      <w:r>
        <w:rPr>
          <w:rFonts w:hint="eastAsia" w:ascii="仿宋_GB2312" w:hAnsi="仿宋_GB2312" w:eastAsia="仿宋_GB2312" w:cs="仿宋"/>
          <w:kern w:val="0"/>
          <w:sz w:val="32"/>
          <w:szCs w:val="32"/>
        </w:rPr>
        <w:t>年</w:t>
      </w:r>
      <w:r>
        <w:rPr>
          <w:rFonts w:ascii="仿宋_GB2312" w:hAnsi="仿宋_GB2312" w:eastAsia="仿宋_GB2312" w:cs="仿宋"/>
          <w:kern w:val="0"/>
          <w:sz w:val="32"/>
          <w:szCs w:val="32"/>
        </w:rPr>
        <w:t>6</w:t>
      </w:r>
      <w:r>
        <w:rPr>
          <w:rFonts w:hint="eastAsia" w:ascii="仿宋_GB2312" w:hAnsi="仿宋_GB2312" w:eastAsia="仿宋_GB2312" w:cs="仿宋"/>
          <w:kern w:val="0"/>
          <w:sz w:val="32"/>
          <w:szCs w:val="32"/>
        </w:rPr>
        <w:t>月，使用该三款装潢的商品销售额仍实现</w:t>
      </w:r>
      <w:r>
        <w:rPr>
          <w:rFonts w:ascii="仿宋_GB2312" w:hAnsi="仿宋_GB2312" w:eastAsia="仿宋_GB2312" w:cs="仿宋"/>
          <w:kern w:val="0"/>
          <w:sz w:val="32"/>
          <w:szCs w:val="32"/>
        </w:rPr>
        <w:t>2616.29</w:t>
      </w:r>
      <w:r>
        <w:rPr>
          <w:rFonts w:hint="eastAsia" w:ascii="仿宋_GB2312" w:hAnsi="仿宋_GB2312" w:eastAsia="仿宋_GB2312" w:cs="仿宋"/>
          <w:kern w:val="0"/>
          <w:sz w:val="32"/>
          <w:szCs w:val="32"/>
        </w:rPr>
        <w:t>万元，且</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公司提供的证据表明使用该三款装潢的商品在</w:t>
      </w:r>
      <w:r>
        <w:rPr>
          <w:rFonts w:ascii="仿宋_GB2312" w:hAnsi="仿宋_GB2312" w:eastAsia="仿宋_GB2312" w:cs="仿宋"/>
          <w:kern w:val="0"/>
          <w:sz w:val="32"/>
          <w:szCs w:val="32"/>
        </w:rPr>
        <w:t>2023</w:t>
      </w:r>
      <w:r>
        <w:rPr>
          <w:rFonts w:hint="eastAsia" w:ascii="仿宋_GB2312" w:hAnsi="仿宋_GB2312" w:eastAsia="仿宋_GB2312" w:cs="仿宋"/>
          <w:kern w:val="0"/>
          <w:sz w:val="32"/>
          <w:szCs w:val="32"/>
        </w:rPr>
        <w:t>年仍有销售。虽然</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广州公司、名创优选公司还主张</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公司纯棉柔巾商品还存在与涉案装潢不同的多个款式，但其他款式均与本案无关。</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rPr>
        <w:t>（二）关于</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的行为是否构成不正当竞争问题。本院认为，《中华人民共和国反不正当竞争法》第六条第一项规定，经营者不得擅自使用与他人有一定影响的商品装潢等相同或者近似的标识，导致混淆，引人误认为是他人商品或者与他人存在特定联系。《最高人民法院关于适用&lt;中华人民共和国反不正当竞争法&gt;若干问题的解释》第十二条规定，人民法院认定与反不正当竞争法第六条规定的“有一定影响的”标识相同或者近似，可以参照商标相同或者近似的判断原则和方法。反不正当竞争法第六条规定的“引人误认为是他人商品或者与他人存在特定联系”，包括误认为与他人具有商业联合、许可使用、商业冠名、广告代言等特定联系。在相同商品上使用相同或者视觉上基本无差别的商品名称、包装、装潢等标识，应当视为足以造成与他人有一定影响的标识相混淆。本案中，将被诉侵权商品装潢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商品装潢进行比对，二者使用的图案、色彩搭配、文字分布及整体布局结构等均基本相同，在整体视觉效果上构成近似。虽然两者在棉花图案、文字大小、文字内容方面有所不同，但并不影响二者装潢在整体视觉效果上构成近似，容易造成相关公众误认为被诉侵权商品是</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公司商品或者与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公司存在特定联系。综上，</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广州公司、名创优选公司未经</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公司许可，擅自在其生产销售的被诉侵权商品上使用了与</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公司涉案商品装潢近似的装潢，容易导致相关公众混淆误认。一审判决认定</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广州公司、名创优选公司的被诉侵权行为构成不正当竞争并无不当。</w:t>
      </w:r>
    </w:p>
    <w:p>
      <w:pPr>
        <w:widowControl/>
        <w:spacing w:line="520" w:lineRule="exact"/>
        <w:ind w:firstLine="640" w:firstLineChars="200"/>
        <w:jc w:val="left"/>
        <w:rPr>
          <w:rFonts w:ascii="仿宋_GB2312" w:hAnsi="Calibri" w:eastAsia="仿宋_GB2312" w:cs="Times New Roman"/>
          <w:sz w:val="32"/>
          <w:szCs w:val="32"/>
        </w:rPr>
      </w:pPr>
      <w:r>
        <w:rPr>
          <w:rFonts w:hint="eastAsia" w:ascii="仿宋_GB2312" w:hAnsi="仿宋_GB2312" w:eastAsia="仿宋_GB2312" w:cs="仿宋"/>
          <w:kern w:val="0"/>
          <w:sz w:val="32"/>
          <w:szCs w:val="32"/>
        </w:rPr>
        <w:t>（三）关于</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广州公司、名创优选公司应如何承担民事责任的问题。本院认为，由于</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的行为构成不正当竞争，其应当承担停止不正当竞争行为、赔偿损失等民事责任。关于赔偿数额，《中华人民共和国反不正当竞争法》第十七条规定，因不正当竞争行为受到损害的经营者的赔偿数额，按照其因被侵权所受到的实际损失确定；实际损失难以计算的，按照侵权人因侵权所获得的利益确定。赔偿数额还应当包括经营者为制止侵权行为所支付的合理开支。经营者违反本法第六条、第九条规定，权利人因被侵权所受到的实际损失、侵权人因侵权所获得的利益难以确定的，由人民法院根据侵权行为的情节判决给予权利人五百万元以下的赔偿。本案中，</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公司未能举证证明其因被侵权所受实际损失，本院将根据侵权获利确定赔偿金额。首先，关于销售额。</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广州公司、名创优选公司在侵权商品的销售链接里宣传2</w:t>
      </w:r>
      <w:r>
        <w:rPr>
          <w:rFonts w:ascii="仿宋_GB2312" w:hAnsi="仿宋_GB2312" w:eastAsia="仿宋_GB2312" w:cs="仿宋"/>
          <w:kern w:val="0"/>
          <w:sz w:val="32"/>
          <w:szCs w:val="32"/>
        </w:rPr>
        <w:t>019</w:t>
      </w:r>
      <w:r>
        <w:rPr>
          <w:rFonts w:hint="eastAsia" w:ascii="仿宋_GB2312" w:hAnsi="仿宋_GB2312" w:eastAsia="仿宋_GB2312" w:cs="仿宋"/>
          <w:kern w:val="0"/>
          <w:sz w:val="32"/>
          <w:szCs w:val="32"/>
        </w:rPr>
        <w:t>年-</w:t>
      </w:r>
      <w:r>
        <w:rPr>
          <w:rFonts w:ascii="仿宋_GB2312" w:hAnsi="仿宋_GB2312" w:eastAsia="仿宋_GB2312" w:cs="仿宋"/>
          <w:kern w:val="0"/>
          <w:sz w:val="32"/>
          <w:szCs w:val="32"/>
        </w:rPr>
        <w:t>2022</w:t>
      </w:r>
      <w:r>
        <w:rPr>
          <w:rFonts w:hint="eastAsia" w:ascii="仿宋_GB2312" w:hAnsi="仿宋_GB2312" w:eastAsia="仿宋_GB2312" w:cs="仿宋"/>
          <w:kern w:val="0"/>
          <w:sz w:val="32"/>
          <w:szCs w:val="32"/>
        </w:rPr>
        <w:t>年8月侵权商品销量累计突破3</w:t>
      </w:r>
      <w:r>
        <w:rPr>
          <w:rFonts w:ascii="仿宋_GB2312" w:hAnsi="仿宋_GB2312" w:eastAsia="仿宋_GB2312" w:cs="仿宋"/>
          <w:kern w:val="0"/>
          <w:sz w:val="32"/>
          <w:szCs w:val="32"/>
        </w:rPr>
        <w:t>000</w:t>
      </w:r>
      <w:r>
        <w:rPr>
          <w:rFonts w:hint="eastAsia" w:ascii="仿宋_GB2312" w:hAnsi="仿宋_GB2312" w:eastAsia="仿宋_GB2312" w:cs="仿宋"/>
          <w:kern w:val="0"/>
          <w:sz w:val="32"/>
          <w:szCs w:val="32"/>
        </w:rPr>
        <w:t>万+包，同时配图</w:t>
      </w:r>
      <w:r>
        <w:rPr>
          <w:rFonts w:hint="eastAsia" w:ascii="仿宋_GB2312" w:hAnsi="微软雅黑" w:eastAsia="仿宋_GB2312" w:cs="微软雅黑"/>
          <w:kern w:val="0"/>
          <w:sz w:val="32"/>
          <w:szCs w:val="32"/>
        </w:rPr>
        <w:t>亦为侵权商品，</w:t>
      </w:r>
      <w:r>
        <w:rPr>
          <w:rFonts w:hint="eastAsia" w:ascii="仿宋_GB2312" w:hAnsi="仿宋_GB2312" w:eastAsia="仿宋_GB2312" w:cs="仿宋"/>
          <w:kern w:val="0"/>
          <w:sz w:val="32"/>
          <w:szCs w:val="32"/>
        </w:rPr>
        <w:t>虽然</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横琴公司、</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广州公司、名创优选公司称3</w:t>
      </w:r>
      <w:r>
        <w:rPr>
          <w:rFonts w:ascii="仿宋_GB2312" w:hAnsi="仿宋_GB2312" w:eastAsia="仿宋_GB2312" w:cs="仿宋"/>
          <w:kern w:val="0"/>
          <w:sz w:val="32"/>
          <w:szCs w:val="32"/>
        </w:rPr>
        <w:t>000</w:t>
      </w:r>
      <w:r>
        <w:rPr>
          <w:rFonts w:hint="eastAsia" w:ascii="仿宋_GB2312" w:hAnsi="仿宋_GB2312" w:eastAsia="仿宋_GB2312" w:cs="仿宋"/>
          <w:kern w:val="0"/>
          <w:sz w:val="32"/>
          <w:szCs w:val="32"/>
        </w:rPr>
        <w:t>万+包并非全为侵权商品，但</w:t>
      </w:r>
      <w:r>
        <w:rPr>
          <w:rFonts w:hint="eastAsia" w:ascii="仿宋_GB2312" w:hAnsi="仿宋_GB2312" w:eastAsia="仿宋_GB2312" w:cs="仿宋"/>
          <w:kern w:val="0"/>
          <w:sz w:val="32"/>
          <w:szCs w:val="32"/>
          <w:lang w:eastAsia="zh-CN"/>
        </w:rPr>
        <w:t>名某</w:t>
      </w:r>
      <w:r>
        <w:rPr>
          <w:rFonts w:hint="eastAsia" w:ascii="仿宋_GB2312" w:hAnsi="仿宋_GB2312" w:eastAsia="仿宋_GB2312" w:cs="仿宋"/>
          <w:kern w:val="0"/>
          <w:sz w:val="32"/>
          <w:szCs w:val="32"/>
        </w:rPr>
        <w:t>还有3</w:t>
      </w:r>
      <w:r>
        <w:rPr>
          <w:rFonts w:ascii="仿宋_GB2312" w:hAnsi="仿宋_GB2312" w:eastAsia="仿宋_GB2312" w:cs="仿宋"/>
          <w:kern w:val="0"/>
          <w:sz w:val="32"/>
          <w:szCs w:val="32"/>
        </w:rPr>
        <w:t>000</w:t>
      </w:r>
      <w:r>
        <w:rPr>
          <w:rFonts w:hint="eastAsia" w:ascii="仿宋_GB2312" w:hAnsi="仿宋_GB2312" w:eastAsia="仿宋_GB2312" w:cs="仿宋"/>
          <w:kern w:val="0"/>
          <w:sz w:val="32"/>
          <w:szCs w:val="32"/>
        </w:rPr>
        <w:t>余家线下门店，线下销售亦有一定规模，并且3</w:t>
      </w:r>
      <w:r>
        <w:rPr>
          <w:rFonts w:ascii="仿宋_GB2312" w:hAnsi="仿宋_GB2312" w:eastAsia="仿宋_GB2312" w:cs="仿宋"/>
          <w:kern w:val="0"/>
          <w:sz w:val="32"/>
          <w:szCs w:val="32"/>
        </w:rPr>
        <w:t>000</w:t>
      </w:r>
      <w:r>
        <w:rPr>
          <w:rFonts w:hint="eastAsia" w:ascii="仿宋_GB2312" w:hAnsi="仿宋_GB2312" w:eastAsia="仿宋_GB2312" w:cs="仿宋"/>
          <w:kern w:val="0"/>
          <w:sz w:val="32"/>
          <w:szCs w:val="32"/>
        </w:rPr>
        <w:t>万+包系2</w:t>
      </w:r>
      <w:r>
        <w:rPr>
          <w:rFonts w:ascii="仿宋_GB2312" w:hAnsi="仿宋_GB2312" w:eastAsia="仿宋_GB2312" w:cs="仿宋"/>
          <w:kern w:val="0"/>
          <w:sz w:val="32"/>
          <w:szCs w:val="32"/>
        </w:rPr>
        <w:t>019</w:t>
      </w:r>
      <w:r>
        <w:rPr>
          <w:rFonts w:hint="eastAsia" w:ascii="仿宋_GB2312" w:hAnsi="仿宋_GB2312" w:eastAsia="仿宋_GB2312" w:cs="仿宋"/>
          <w:kern w:val="0"/>
          <w:sz w:val="32"/>
          <w:szCs w:val="32"/>
        </w:rPr>
        <w:t>年-</w:t>
      </w:r>
      <w:r>
        <w:rPr>
          <w:rFonts w:ascii="仿宋_GB2312" w:hAnsi="仿宋_GB2312" w:eastAsia="仿宋_GB2312" w:cs="仿宋"/>
          <w:kern w:val="0"/>
          <w:sz w:val="32"/>
          <w:szCs w:val="32"/>
        </w:rPr>
        <w:t>2022</w:t>
      </w:r>
      <w:r>
        <w:rPr>
          <w:rFonts w:hint="eastAsia" w:ascii="仿宋_GB2312" w:hAnsi="仿宋_GB2312" w:eastAsia="仿宋_GB2312" w:cs="仿宋"/>
          <w:kern w:val="0"/>
          <w:sz w:val="32"/>
          <w:szCs w:val="32"/>
        </w:rPr>
        <w:t>年8月的销量，而</w:t>
      </w:r>
      <w:r>
        <w:rPr>
          <w:rFonts w:hint="eastAsia" w:ascii="仿宋_GB2312" w:hAnsi="仿宋_GB2312" w:eastAsia="仿宋_GB2312" w:cs="仿宋"/>
          <w:kern w:val="0"/>
          <w:sz w:val="32"/>
          <w:szCs w:val="32"/>
          <w:lang w:eastAsia="zh-CN"/>
        </w:rPr>
        <w:t>全某科技</w:t>
      </w:r>
      <w:r>
        <w:rPr>
          <w:rFonts w:hint="eastAsia" w:ascii="仿宋_GB2312" w:hAnsi="仿宋_GB2312" w:eastAsia="仿宋_GB2312" w:cs="仿宋"/>
          <w:kern w:val="0"/>
          <w:sz w:val="32"/>
          <w:szCs w:val="32"/>
        </w:rPr>
        <w:t>公司主张的赔偿期间为2019年-2023年3月，且在案证据能够证明侵权商品2</w:t>
      </w:r>
      <w:r>
        <w:rPr>
          <w:rFonts w:ascii="仿宋_GB2312" w:hAnsi="仿宋_GB2312" w:eastAsia="仿宋_GB2312" w:cs="仿宋"/>
          <w:kern w:val="0"/>
          <w:sz w:val="32"/>
          <w:szCs w:val="32"/>
        </w:rPr>
        <w:t>023</w:t>
      </w:r>
      <w:r>
        <w:rPr>
          <w:rFonts w:hint="eastAsia" w:ascii="仿宋_GB2312" w:hAnsi="仿宋_GB2312" w:eastAsia="仿宋_GB2312" w:cs="仿宋"/>
          <w:kern w:val="0"/>
          <w:sz w:val="32"/>
          <w:szCs w:val="32"/>
        </w:rPr>
        <w:t>年仍在销售，所以，3</w:t>
      </w:r>
      <w:r>
        <w:rPr>
          <w:rFonts w:ascii="仿宋_GB2312" w:hAnsi="仿宋_GB2312" w:eastAsia="仿宋_GB2312" w:cs="仿宋"/>
          <w:kern w:val="0"/>
          <w:sz w:val="32"/>
          <w:szCs w:val="32"/>
        </w:rPr>
        <w:t>000</w:t>
      </w:r>
      <w:r>
        <w:rPr>
          <w:rFonts w:hint="eastAsia" w:ascii="仿宋_GB2312" w:hAnsi="仿宋_GB2312" w:eastAsia="仿宋_GB2312" w:cs="仿宋"/>
          <w:kern w:val="0"/>
          <w:sz w:val="32"/>
          <w:szCs w:val="32"/>
        </w:rPr>
        <w:t>万+包可以全部认定为2019年-2023年3月线上线下侵权商品销量。</w:t>
      </w:r>
      <w:r>
        <w:rPr>
          <w:rFonts w:hint="eastAsia" w:ascii="仿宋_GB2312" w:hAnsi="Calibri" w:eastAsia="仿宋_GB2312" w:cs="Times New Roman"/>
          <w:sz w:val="32"/>
          <w:szCs w:val="32"/>
        </w:rPr>
        <w:t>侵权商品单包销售均价在15元左右，即2019年-202</w:t>
      </w:r>
      <w:r>
        <w:rPr>
          <w:rFonts w:ascii="仿宋_GB2312" w:hAnsi="Calibri" w:eastAsia="仿宋_GB2312" w:cs="Times New Roman"/>
          <w:sz w:val="32"/>
          <w:szCs w:val="32"/>
        </w:rPr>
        <w:t>3</w:t>
      </w:r>
      <w:r>
        <w:rPr>
          <w:rFonts w:hint="eastAsia" w:ascii="仿宋_GB2312" w:hAnsi="Calibri" w:eastAsia="仿宋_GB2312" w:cs="Times New Roman"/>
          <w:sz w:val="32"/>
          <w:szCs w:val="32"/>
        </w:rPr>
        <w:t>年</w:t>
      </w:r>
      <w:r>
        <w:rPr>
          <w:rFonts w:ascii="仿宋_GB2312" w:hAnsi="Calibri" w:eastAsia="仿宋_GB2312" w:cs="Times New Roman"/>
          <w:sz w:val="32"/>
          <w:szCs w:val="32"/>
        </w:rPr>
        <w:t>3</w:t>
      </w:r>
      <w:r>
        <w:rPr>
          <w:rFonts w:hint="eastAsia" w:ascii="仿宋_GB2312" w:hAnsi="Calibri" w:eastAsia="仿宋_GB2312" w:cs="Times New Roman"/>
          <w:sz w:val="32"/>
          <w:szCs w:val="32"/>
        </w:rPr>
        <w:t>月侵权商品总销售额至少不低于</w:t>
      </w:r>
      <w:r>
        <w:rPr>
          <w:rFonts w:ascii="仿宋_GB2312" w:hAnsi="Calibri" w:eastAsia="仿宋_GB2312" w:cs="Times New Roman"/>
          <w:sz w:val="32"/>
          <w:szCs w:val="32"/>
        </w:rPr>
        <w:t>45000</w:t>
      </w:r>
      <w:r>
        <w:rPr>
          <w:rFonts w:hint="eastAsia" w:ascii="仿宋_GB2312" w:hAnsi="Calibri" w:eastAsia="仿宋_GB2312" w:cs="Times New Roman"/>
          <w:sz w:val="32"/>
          <w:szCs w:val="32"/>
        </w:rPr>
        <w:t>万元。其次，关于利润率。本案中，</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公司并未主张</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广州公司、名创优选公司以侵权为业，一审法院以侵权商品毛利率计算侵权获利不当。本案中，从</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公司2019-2022年报中可以计算出，2019年净利率为9.25%；2020年净利率为10.81%；2021年净利率为5.29%；2022年净利率为6.34%，计算可得2019年至2022年平均净利率为7.92%。虽然本案应根据营业利润率计算侵权获利，但是根据上述净利率计算净利润已达3</w:t>
      </w:r>
      <w:r>
        <w:rPr>
          <w:rFonts w:ascii="仿宋_GB2312" w:hAnsi="Calibri" w:eastAsia="仿宋_GB2312" w:cs="Times New Roman"/>
          <w:sz w:val="32"/>
          <w:szCs w:val="32"/>
        </w:rPr>
        <w:t>564</w:t>
      </w:r>
      <w:r>
        <w:rPr>
          <w:rFonts w:hint="eastAsia" w:ascii="仿宋_GB2312" w:hAnsi="Calibri" w:eastAsia="仿宋_GB2312" w:cs="Times New Roman"/>
          <w:sz w:val="32"/>
          <w:szCs w:val="32"/>
        </w:rPr>
        <w:t>万元。最后，关于</w:t>
      </w:r>
      <w:r>
        <w:rPr>
          <w:rFonts w:hint="eastAsia" w:ascii="仿宋_GB2312" w:hAnsi="Calibri" w:eastAsia="仿宋_GB2312" w:cs="Times New Roman"/>
          <w:sz w:val="32"/>
          <w:szCs w:val="32"/>
          <w:lang w:val="en"/>
        </w:rPr>
        <w:t>知识产权贡献率</w:t>
      </w:r>
      <w:r>
        <w:rPr>
          <w:rFonts w:hint="eastAsia" w:ascii="仿宋_GB2312" w:hAnsi="Calibri" w:eastAsia="仿宋_GB2312" w:cs="Times New Roman"/>
          <w:sz w:val="32"/>
          <w:szCs w:val="32"/>
        </w:rPr>
        <w:t>。本案中，在</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公司已经提交公证书、企业年报等初步证据对侵权获利进行举证的情况下，</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未能提供有关侵权规模基础事实的相应证据材料导致用于计算侵权获利的基础事实无法精准确定，本案不应再考虑知识产权贡献率，一审法院酌定侵权商品装潢对侵权获利贡献率为35%不当，应予纠正。综合上述事实，再考虑到</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公司为制止侵权行为所支付的合理开支，即使按照净利率计算，</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广州公司侵权获利也超过3</w:t>
      </w:r>
      <w:r>
        <w:rPr>
          <w:rFonts w:ascii="仿宋_GB2312" w:hAnsi="Calibri" w:eastAsia="仿宋_GB2312" w:cs="Times New Roman"/>
          <w:sz w:val="32"/>
          <w:szCs w:val="32"/>
        </w:rPr>
        <w:t>000</w:t>
      </w:r>
      <w:r>
        <w:rPr>
          <w:rFonts w:hint="eastAsia" w:ascii="仿宋_GB2312" w:hAnsi="Calibri" w:eastAsia="仿宋_GB2312" w:cs="Times New Roman"/>
          <w:sz w:val="32"/>
          <w:szCs w:val="32"/>
        </w:rPr>
        <w:t>万元，一审判决确定</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广州公司赔偿</w:t>
      </w:r>
      <w:r>
        <w:rPr>
          <w:rFonts w:hint="eastAsia" w:ascii="仿宋_GB2312" w:hAnsi="Calibri" w:eastAsia="仿宋_GB2312" w:cs="Times New Roman"/>
          <w:sz w:val="32"/>
          <w:szCs w:val="32"/>
          <w:lang w:eastAsia="zh-CN"/>
        </w:rPr>
        <w:t>全某科技</w:t>
      </w:r>
      <w:r>
        <w:rPr>
          <w:rFonts w:hint="eastAsia" w:ascii="仿宋_GB2312" w:hAnsi="Calibri" w:eastAsia="仿宋_GB2312" w:cs="Times New Roman"/>
          <w:sz w:val="32"/>
          <w:szCs w:val="32"/>
        </w:rPr>
        <w:t>公司经济损失及合理开支共计3</w:t>
      </w:r>
      <w:r>
        <w:rPr>
          <w:rFonts w:ascii="仿宋_GB2312" w:hAnsi="Calibri" w:eastAsia="仿宋_GB2312" w:cs="Times New Roman"/>
          <w:sz w:val="32"/>
          <w:szCs w:val="32"/>
        </w:rPr>
        <w:t>000</w:t>
      </w:r>
      <w:r>
        <w:rPr>
          <w:rFonts w:hint="eastAsia" w:ascii="仿宋_GB2312" w:hAnsi="Calibri" w:eastAsia="仿宋_GB2312" w:cs="Times New Roman"/>
          <w:sz w:val="32"/>
          <w:szCs w:val="32"/>
        </w:rPr>
        <w:t>万元并无不当，名创优选公司在500万元范围内承担连带责任亦无不当。</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综上所述，</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广州公司、名创优选公司的上诉请求不能成立，应予驳回；一审判决结果正确，应予维持。依据《中华人民共和国民事诉讼法》第一百七十七条第一款第一项规定，判决如下：</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驳回上诉，维持原判。</w:t>
      </w:r>
    </w:p>
    <w:p>
      <w:pPr>
        <w:spacing w:line="520" w:lineRule="exact"/>
        <w:ind w:firstLine="640" w:firstLineChars="200"/>
        <w:rPr>
          <w:rFonts w:ascii="仿宋_GB2312" w:hAnsi="Calibri" w:eastAsia="仿宋_GB2312" w:cs="Times New Roman"/>
          <w:sz w:val="32"/>
          <w:szCs w:val="32"/>
          <w:u w:val="single"/>
        </w:rPr>
      </w:pPr>
      <w:r>
        <w:rPr>
          <w:rFonts w:hint="eastAsia" w:ascii="仿宋_GB2312" w:hAnsi="Calibri" w:eastAsia="仿宋_GB2312" w:cs="Times New Roman"/>
          <w:sz w:val="32"/>
          <w:szCs w:val="32"/>
        </w:rPr>
        <w:t>二审案件受理费</w:t>
      </w:r>
      <w:r>
        <w:rPr>
          <w:rFonts w:ascii="仿宋_GB2312" w:hAnsi="Calibri" w:eastAsia="仿宋_GB2312" w:cs="Times New Roman"/>
          <w:sz w:val="32"/>
          <w:szCs w:val="32"/>
        </w:rPr>
        <w:t>191800</w:t>
      </w:r>
      <w:r>
        <w:rPr>
          <w:rFonts w:hint="eastAsia" w:ascii="仿宋_GB2312" w:hAnsi="Calibri" w:eastAsia="仿宋_GB2312" w:cs="Times New Roman"/>
          <w:sz w:val="32"/>
          <w:szCs w:val="32"/>
        </w:rPr>
        <w:t>元，由</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（广州）有限责任公司、</w:t>
      </w:r>
      <w:r>
        <w:rPr>
          <w:rFonts w:hint="eastAsia" w:ascii="仿宋_GB2312" w:hAnsi="Calibri" w:eastAsia="仿宋_GB2312" w:cs="Times New Roman"/>
          <w:sz w:val="32"/>
          <w:szCs w:val="32"/>
          <w:lang w:eastAsia="zh-CN"/>
        </w:rPr>
        <w:t>名某</w:t>
      </w:r>
      <w:r>
        <w:rPr>
          <w:rFonts w:hint="eastAsia" w:ascii="仿宋_GB2312" w:hAnsi="Calibri" w:eastAsia="仿宋_GB2312" w:cs="Times New Roman"/>
          <w:sz w:val="32"/>
          <w:szCs w:val="32"/>
        </w:rPr>
        <w:t>（横琴）企业管理有限公司、</w:t>
      </w:r>
      <w:r>
        <w:rPr>
          <w:rFonts w:hint="eastAsia" w:ascii="仿宋_GB2312" w:hAnsi="Calibri" w:eastAsia="仿宋_GB2312" w:cs="Times New Roman"/>
          <w:sz w:val="32"/>
          <w:szCs w:val="32"/>
          <w:lang w:eastAsia="zh-CN"/>
        </w:rPr>
        <w:t>名某科技</w:t>
      </w:r>
      <w:r>
        <w:rPr>
          <w:rFonts w:hint="eastAsia" w:ascii="仿宋_GB2312" w:hAnsi="Calibri" w:eastAsia="仿宋_GB2312" w:cs="Times New Roman"/>
          <w:sz w:val="32"/>
          <w:szCs w:val="32"/>
        </w:rPr>
        <w:t>（广州）有限公司负担。</w:t>
      </w:r>
    </w:p>
    <w:p>
      <w:pPr>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本判决为终审判决。</w:t>
      </w:r>
    </w:p>
    <w:p>
      <w:pPr>
        <w:spacing w:line="500" w:lineRule="exact"/>
        <w:ind w:firstLine="640" w:firstLineChars="200"/>
        <w:rPr>
          <w:rFonts w:ascii="仿宋_GB2312" w:hAnsi="Calibri" w:eastAsia="仿宋_GB2312" w:cs="Times New Roman"/>
          <w:sz w:val="32"/>
          <w:szCs w:val="32"/>
        </w:rPr>
      </w:pPr>
    </w:p>
    <w:p>
      <w:pPr>
        <w:spacing w:line="500" w:lineRule="exact"/>
        <w:ind w:firstLine="640" w:firstLineChars="200"/>
        <w:rPr>
          <w:rFonts w:ascii="仿宋_GB2312" w:hAnsi="仿宋_GB2312" w:eastAsia="仿宋_GB2312" w:cs="Times New Roman"/>
          <w:kern w:val="0"/>
          <w:sz w:val="32"/>
          <w:szCs w:val="32"/>
        </w:rPr>
      </w:pPr>
    </w:p>
    <w:p>
      <w:pPr>
        <w:spacing w:line="500" w:lineRule="exact"/>
        <w:ind w:firstLine="640" w:firstLineChars="200"/>
        <w:rPr>
          <w:rFonts w:ascii="仿宋_GB2312" w:hAnsi="仿宋_GB2312" w:eastAsia="仿宋_GB2312" w:cs="Times New Roman"/>
          <w:kern w:val="0"/>
          <w:sz w:val="32"/>
          <w:szCs w:val="32"/>
        </w:rPr>
      </w:pPr>
    </w:p>
    <w:p>
      <w:pPr>
        <w:spacing w:line="500" w:lineRule="exact"/>
        <w:ind w:firstLine="640" w:firstLineChars="200"/>
        <w:rPr>
          <w:rFonts w:ascii="仿宋_GB2312" w:hAnsi="仿宋_GB2312" w:eastAsia="仿宋_GB2312" w:cs="Times New Roman"/>
          <w:kern w:val="0"/>
          <w:sz w:val="32"/>
          <w:szCs w:val="32"/>
        </w:rPr>
      </w:pPr>
    </w:p>
    <w:p>
      <w:pPr>
        <w:spacing w:line="500" w:lineRule="exact"/>
        <w:ind w:firstLine="640" w:firstLineChars="200"/>
        <w:rPr>
          <w:rFonts w:ascii="仿宋_GB2312" w:hAnsi="仿宋_GB2312" w:eastAsia="仿宋_GB2312" w:cs="Times New Roman"/>
          <w:kern w:val="0"/>
          <w:sz w:val="32"/>
          <w:szCs w:val="32"/>
        </w:rPr>
      </w:pPr>
    </w:p>
    <w:p>
      <w:pPr>
        <w:spacing w:line="500" w:lineRule="exact"/>
        <w:ind w:firstLine="640" w:firstLineChars="200"/>
        <w:rPr>
          <w:rFonts w:ascii="仿宋_GB2312" w:hAnsi="仿宋_GB2312" w:eastAsia="仿宋_GB2312" w:cs="Times New Roman"/>
          <w:kern w:val="0"/>
          <w:sz w:val="32"/>
          <w:szCs w:val="32"/>
        </w:rPr>
      </w:pPr>
    </w:p>
    <w:p>
      <w:pPr>
        <w:spacing w:line="500" w:lineRule="exact"/>
        <w:ind w:firstLine="640" w:firstLineChars="200"/>
        <w:rPr>
          <w:rFonts w:ascii="仿宋_GB2312" w:hAnsi="仿宋_GB2312" w:eastAsia="仿宋_GB2312" w:cs="Times New Roman"/>
          <w:kern w:val="0"/>
          <w:sz w:val="32"/>
          <w:szCs w:val="32"/>
        </w:rPr>
      </w:pPr>
    </w:p>
    <w:p>
      <w:pPr>
        <w:ind w:right="836" w:rightChars="398"/>
        <w:jc w:val="right"/>
        <w:rPr>
          <w:rFonts w:ascii="仿宋_GB2312" w:hAnsi="Times New Roman" w:eastAsia="仿宋_GB2312" w:cs="Times New Roman"/>
          <w:sz w:val="32"/>
          <w:szCs w:val="32"/>
        </w:rPr>
      </w:pPr>
      <w:bookmarkStart w:id="7" w:name="trishua"/>
      <w:bookmarkEnd w:id="7"/>
      <w:bookmarkStart w:id="8" w:name="InstrumentTail"/>
      <w:bookmarkEnd w:id="8"/>
      <w:r>
        <w:rPr>
          <w:rFonts w:ascii="仿宋_GB2312" w:hAnsi="Times New Roman" w:eastAsia="仿宋_GB2312" w:cs="Times New Roman"/>
          <w:sz w:val="32"/>
          <w:szCs w:val="32"/>
        </w:rPr>
        <w:t>审  判  长    于志涛</w:t>
      </w:r>
    </w:p>
    <w:p>
      <w:pPr>
        <w:ind w:right="836" w:rightChars="398"/>
        <w:jc w:val="right"/>
        <w:rPr>
          <w:rFonts w:ascii="仿宋_GB2312" w:hAnsi="Times New Roman" w:eastAsia="仿宋_GB2312" w:cs="Times New Roman"/>
          <w:sz w:val="32"/>
          <w:szCs w:val="32"/>
        </w:rPr>
      </w:pPr>
      <w:r>
        <w:rPr>
          <w:rFonts w:ascii="仿宋_GB2312" w:hAnsi="Times New Roman" w:eastAsia="仿宋_GB2312" w:cs="Times New Roman"/>
          <w:sz w:val="32"/>
          <w:szCs w:val="32"/>
        </w:rPr>
        <w:t>审  判  员    柳维敏</w:t>
      </w:r>
    </w:p>
    <w:p>
      <w:pPr>
        <w:ind w:right="836" w:rightChars="398"/>
        <w:jc w:val="right"/>
        <w:rPr>
          <w:rFonts w:ascii="仿宋_GB2312" w:hAnsi="Times New Roman" w:eastAsia="仿宋_GB2312" w:cs="Times New Roman"/>
          <w:sz w:val="32"/>
          <w:szCs w:val="32"/>
        </w:rPr>
      </w:pPr>
      <w:r>
        <w:rPr>
          <w:rFonts w:ascii="仿宋_GB2312" w:hAnsi="Times New Roman" w:eastAsia="仿宋_GB2312" w:cs="Times New Roman"/>
          <w:sz w:val="32"/>
          <w:szCs w:val="32"/>
        </w:rPr>
        <w:t>审  判  员    张金柱</w:t>
      </w: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p>
    <w:p>
      <w:pPr>
        <w:spacing w:line="540" w:lineRule="exact"/>
        <w:ind w:right="788" w:rightChars="375"/>
        <w:contextualSpacing/>
        <w:jc w:val="right"/>
        <w:rPr>
          <w:rFonts w:ascii="仿宋_GB2312" w:hAnsi="Times New Roman" w:eastAsia="仿宋_GB2312" w:cs="Times New Roman"/>
          <w:kern w:val="0"/>
          <w:sz w:val="32"/>
          <w:szCs w:val="32"/>
        </w:rPr>
      </w:pPr>
      <w:r>
        <w:rPr>
          <w:rFonts w:hint="eastAsia" w:ascii="仿宋_GB2312" w:hAnsi="Times New Roman" w:eastAsia="仿宋_GB2312" w:cs="Times New Roman"/>
          <w:spacing w:val="1"/>
          <w:w w:val="98"/>
          <w:kern w:val="0"/>
          <w:sz w:val="32"/>
          <w:szCs w:val="32"/>
          <w:fitText w:val="3160" w:id="-1039398393"/>
        </w:rPr>
        <w:t>二○二三年十二月八</w:t>
      </w:r>
      <w:r>
        <w:rPr>
          <w:rFonts w:hint="eastAsia" w:ascii="仿宋_GB2312" w:hAnsi="Times New Roman" w:eastAsia="仿宋_GB2312" w:cs="Times New Roman"/>
          <w:spacing w:val="8"/>
          <w:w w:val="98"/>
          <w:kern w:val="0"/>
          <w:sz w:val="32"/>
          <w:szCs w:val="32"/>
          <w:fitText w:val="3160" w:id="-1039398393"/>
        </w:rPr>
        <w:t>日</w:t>
      </w:r>
    </w:p>
    <w:p>
      <w:pPr>
        <w:ind w:right="836" w:rightChars="398"/>
        <w:jc w:val="right"/>
        <w:rPr>
          <w:rFonts w:ascii="仿宋_GB2312" w:hAnsi="Times New Roman" w:eastAsia="仿宋_GB2312" w:cs="Times New Roman"/>
          <w:spacing w:val="16"/>
          <w:sz w:val="32"/>
          <w:szCs w:val="32"/>
        </w:rPr>
      </w:pPr>
    </w:p>
    <w:p>
      <w:pPr>
        <w:ind w:right="836" w:rightChars="398"/>
        <w:jc w:val="right"/>
        <w:rPr>
          <w:rFonts w:ascii="仿宋_GB2312" w:hAnsi="Times New Roman" w:eastAsia="仿宋_GB2312" w:cs="Times New Roman"/>
          <w:sz w:val="32"/>
          <w:szCs w:val="32"/>
        </w:rPr>
      </w:pPr>
      <w:r>
        <w:rPr>
          <w:rFonts w:ascii="仿宋_GB2312" w:hAnsi="Times New Roman" w:eastAsia="仿宋_GB2312" w:cs="Times New Roman"/>
          <w:sz w:val="32"/>
          <w:szCs w:val="32"/>
        </w:rPr>
        <w:t>书  记  员    邢晓宇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285169"/>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9DFA8"/>
    <w:multiLevelType w:val="singleLevel"/>
    <w:tmpl w:val="F5F9DFA8"/>
    <w:lvl w:ilvl="0" w:tentative="0">
      <w:start w:val="1"/>
      <w:numFmt w:val="chineseCounting"/>
      <w:suff w:val="nothing"/>
      <w:lvlText w:val="（%1）"/>
      <w:lvlJc w:val="left"/>
      <w:rPr>
        <w:rFonts w:hint="eastAsia"/>
      </w:rPr>
    </w:lvl>
  </w:abstractNum>
  <w:abstractNum w:abstractNumId="1">
    <w:nsid w:val="FFEEA49D"/>
    <w:multiLevelType w:val="singleLevel"/>
    <w:tmpl w:val="FFEEA49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2512"/>
    <w:rsid w:val="00034EE4"/>
    <w:rsid w:val="0003618F"/>
    <w:rsid w:val="000471EA"/>
    <w:rsid w:val="0004747A"/>
    <w:rsid w:val="000506BE"/>
    <w:rsid w:val="00053295"/>
    <w:rsid w:val="000564FD"/>
    <w:rsid w:val="00057C0E"/>
    <w:rsid w:val="00065247"/>
    <w:rsid w:val="00066778"/>
    <w:rsid w:val="000704F9"/>
    <w:rsid w:val="00075D5C"/>
    <w:rsid w:val="00084954"/>
    <w:rsid w:val="0008514B"/>
    <w:rsid w:val="00085308"/>
    <w:rsid w:val="000856AB"/>
    <w:rsid w:val="000A453B"/>
    <w:rsid w:val="000B436D"/>
    <w:rsid w:val="000B50D1"/>
    <w:rsid w:val="000B5728"/>
    <w:rsid w:val="000B7AFA"/>
    <w:rsid w:val="000C096A"/>
    <w:rsid w:val="000C1015"/>
    <w:rsid w:val="000C1B9D"/>
    <w:rsid w:val="000C1FF3"/>
    <w:rsid w:val="000C58A6"/>
    <w:rsid w:val="000D5440"/>
    <w:rsid w:val="000E064E"/>
    <w:rsid w:val="000E7792"/>
    <w:rsid w:val="000F4B80"/>
    <w:rsid w:val="000F5D85"/>
    <w:rsid w:val="000F6B7E"/>
    <w:rsid w:val="0010004A"/>
    <w:rsid w:val="00102367"/>
    <w:rsid w:val="00113643"/>
    <w:rsid w:val="00113986"/>
    <w:rsid w:val="00115836"/>
    <w:rsid w:val="00134194"/>
    <w:rsid w:val="00136157"/>
    <w:rsid w:val="00143B45"/>
    <w:rsid w:val="001507F9"/>
    <w:rsid w:val="001603E4"/>
    <w:rsid w:val="0016056D"/>
    <w:rsid w:val="00163078"/>
    <w:rsid w:val="00171B55"/>
    <w:rsid w:val="001777FF"/>
    <w:rsid w:val="001821F6"/>
    <w:rsid w:val="001907F1"/>
    <w:rsid w:val="00193975"/>
    <w:rsid w:val="001A5BDD"/>
    <w:rsid w:val="001A662E"/>
    <w:rsid w:val="001A77C8"/>
    <w:rsid w:val="001C0D9A"/>
    <w:rsid w:val="001D0AA1"/>
    <w:rsid w:val="001D65C9"/>
    <w:rsid w:val="001D773C"/>
    <w:rsid w:val="001E068E"/>
    <w:rsid w:val="001E42E9"/>
    <w:rsid w:val="001E4AEB"/>
    <w:rsid w:val="001F3787"/>
    <w:rsid w:val="001F4E16"/>
    <w:rsid w:val="00200F3A"/>
    <w:rsid w:val="002128B5"/>
    <w:rsid w:val="00217367"/>
    <w:rsid w:val="00221EB8"/>
    <w:rsid w:val="002339D8"/>
    <w:rsid w:val="002445B8"/>
    <w:rsid w:val="00255889"/>
    <w:rsid w:val="002568AD"/>
    <w:rsid w:val="002668A6"/>
    <w:rsid w:val="00270B31"/>
    <w:rsid w:val="00273A1E"/>
    <w:rsid w:val="00273F2A"/>
    <w:rsid w:val="00277258"/>
    <w:rsid w:val="00291D20"/>
    <w:rsid w:val="0029290D"/>
    <w:rsid w:val="002A416B"/>
    <w:rsid w:val="002B00B6"/>
    <w:rsid w:val="002B3269"/>
    <w:rsid w:val="002C6099"/>
    <w:rsid w:val="002C67B7"/>
    <w:rsid w:val="002F0AB5"/>
    <w:rsid w:val="002F135A"/>
    <w:rsid w:val="002F6156"/>
    <w:rsid w:val="002F62FD"/>
    <w:rsid w:val="00302A6F"/>
    <w:rsid w:val="00305AFD"/>
    <w:rsid w:val="00311ED1"/>
    <w:rsid w:val="00355854"/>
    <w:rsid w:val="003572B0"/>
    <w:rsid w:val="003605C5"/>
    <w:rsid w:val="00362ABD"/>
    <w:rsid w:val="00370262"/>
    <w:rsid w:val="0038096A"/>
    <w:rsid w:val="00380F6E"/>
    <w:rsid w:val="003830E8"/>
    <w:rsid w:val="00384259"/>
    <w:rsid w:val="00391B41"/>
    <w:rsid w:val="00392D2C"/>
    <w:rsid w:val="00396209"/>
    <w:rsid w:val="003A1F39"/>
    <w:rsid w:val="003A1F86"/>
    <w:rsid w:val="003A44CE"/>
    <w:rsid w:val="003B275F"/>
    <w:rsid w:val="003D7394"/>
    <w:rsid w:val="003E403C"/>
    <w:rsid w:val="003F2399"/>
    <w:rsid w:val="004028A6"/>
    <w:rsid w:val="004043E1"/>
    <w:rsid w:val="004073F2"/>
    <w:rsid w:val="004141DF"/>
    <w:rsid w:val="00414B33"/>
    <w:rsid w:val="00417274"/>
    <w:rsid w:val="00424BA3"/>
    <w:rsid w:val="0042600A"/>
    <w:rsid w:val="00427173"/>
    <w:rsid w:val="00435492"/>
    <w:rsid w:val="00447E1B"/>
    <w:rsid w:val="00450419"/>
    <w:rsid w:val="0045132E"/>
    <w:rsid w:val="004616A5"/>
    <w:rsid w:val="00463C2E"/>
    <w:rsid w:val="00471EA4"/>
    <w:rsid w:val="00472F8B"/>
    <w:rsid w:val="00481CE9"/>
    <w:rsid w:val="004A1A6D"/>
    <w:rsid w:val="004A36BE"/>
    <w:rsid w:val="004B1535"/>
    <w:rsid w:val="004B16E3"/>
    <w:rsid w:val="004C7C53"/>
    <w:rsid w:val="004C7EB8"/>
    <w:rsid w:val="004D0B38"/>
    <w:rsid w:val="004D1CA0"/>
    <w:rsid w:val="004D5DDD"/>
    <w:rsid w:val="004E1454"/>
    <w:rsid w:val="004E5313"/>
    <w:rsid w:val="00503DC4"/>
    <w:rsid w:val="00512264"/>
    <w:rsid w:val="005205FE"/>
    <w:rsid w:val="0052194A"/>
    <w:rsid w:val="005219D2"/>
    <w:rsid w:val="00525744"/>
    <w:rsid w:val="00527789"/>
    <w:rsid w:val="00532628"/>
    <w:rsid w:val="0054208C"/>
    <w:rsid w:val="005475E9"/>
    <w:rsid w:val="0055019C"/>
    <w:rsid w:val="00551A38"/>
    <w:rsid w:val="005528FE"/>
    <w:rsid w:val="00554626"/>
    <w:rsid w:val="00554A1A"/>
    <w:rsid w:val="00563BF7"/>
    <w:rsid w:val="00563E1C"/>
    <w:rsid w:val="00564210"/>
    <w:rsid w:val="00567CCF"/>
    <w:rsid w:val="005750DF"/>
    <w:rsid w:val="00587045"/>
    <w:rsid w:val="00590B74"/>
    <w:rsid w:val="00593C8A"/>
    <w:rsid w:val="00595170"/>
    <w:rsid w:val="005A30FD"/>
    <w:rsid w:val="005C5988"/>
    <w:rsid w:val="005D5A28"/>
    <w:rsid w:val="005D6F04"/>
    <w:rsid w:val="005E42F0"/>
    <w:rsid w:val="005E7132"/>
    <w:rsid w:val="005F1972"/>
    <w:rsid w:val="00614B23"/>
    <w:rsid w:val="0061772B"/>
    <w:rsid w:val="006211CA"/>
    <w:rsid w:val="006278F6"/>
    <w:rsid w:val="00630B71"/>
    <w:rsid w:val="00634E23"/>
    <w:rsid w:val="00643000"/>
    <w:rsid w:val="00666AD2"/>
    <w:rsid w:val="00681574"/>
    <w:rsid w:val="006846E3"/>
    <w:rsid w:val="00690B7F"/>
    <w:rsid w:val="00696C5F"/>
    <w:rsid w:val="006A273A"/>
    <w:rsid w:val="006B0803"/>
    <w:rsid w:val="006C066E"/>
    <w:rsid w:val="006D043D"/>
    <w:rsid w:val="006D530E"/>
    <w:rsid w:val="006E0C12"/>
    <w:rsid w:val="006E1A3F"/>
    <w:rsid w:val="006E4E01"/>
    <w:rsid w:val="006E5601"/>
    <w:rsid w:val="006E6CCC"/>
    <w:rsid w:val="006F02D1"/>
    <w:rsid w:val="006F1887"/>
    <w:rsid w:val="006F528F"/>
    <w:rsid w:val="006F6634"/>
    <w:rsid w:val="00706342"/>
    <w:rsid w:val="00712687"/>
    <w:rsid w:val="00720189"/>
    <w:rsid w:val="00725B70"/>
    <w:rsid w:val="0072636A"/>
    <w:rsid w:val="007307A5"/>
    <w:rsid w:val="00740AC0"/>
    <w:rsid w:val="007470C4"/>
    <w:rsid w:val="007470E1"/>
    <w:rsid w:val="00750B80"/>
    <w:rsid w:val="00750FCE"/>
    <w:rsid w:val="0076044D"/>
    <w:rsid w:val="0076179D"/>
    <w:rsid w:val="007712A8"/>
    <w:rsid w:val="00774A57"/>
    <w:rsid w:val="007766E8"/>
    <w:rsid w:val="0078447C"/>
    <w:rsid w:val="00786F53"/>
    <w:rsid w:val="00793C1C"/>
    <w:rsid w:val="007963E9"/>
    <w:rsid w:val="007A3242"/>
    <w:rsid w:val="007A656E"/>
    <w:rsid w:val="007C15FD"/>
    <w:rsid w:val="007D0399"/>
    <w:rsid w:val="007D3892"/>
    <w:rsid w:val="007D64B9"/>
    <w:rsid w:val="007E0736"/>
    <w:rsid w:val="007E15B9"/>
    <w:rsid w:val="007E4715"/>
    <w:rsid w:val="007E7CEB"/>
    <w:rsid w:val="007F30F8"/>
    <w:rsid w:val="007F4E0D"/>
    <w:rsid w:val="00800D8F"/>
    <w:rsid w:val="008117F3"/>
    <w:rsid w:val="00815505"/>
    <w:rsid w:val="00815893"/>
    <w:rsid w:val="00822ADA"/>
    <w:rsid w:val="00823C54"/>
    <w:rsid w:val="008340A8"/>
    <w:rsid w:val="00834863"/>
    <w:rsid w:val="00837C31"/>
    <w:rsid w:val="00845116"/>
    <w:rsid w:val="008667C5"/>
    <w:rsid w:val="00870543"/>
    <w:rsid w:val="008821D5"/>
    <w:rsid w:val="00884BDA"/>
    <w:rsid w:val="00893A02"/>
    <w:rsid w:val="00894A8A"/>
    <w:rsid w:val="008962AC"/>
    <w:rsid w:val="008B670F"/>
    <w:rsid w:val="008C6B6B"/>
    <w:rsid w:val="008D14DE"/>
    <w:rsid w:val="008D3126"/>
    <w:rsid w:val="008E4476"/>
    <w:rsid w:val="008E668B"/>
    <w:rsid w:val="008F06F8"/>
    <w:rsid w:val="008F330B"/>
    <w:rsid w:val="008F533D"/>
    <w:rsid w:val="00906508"/>
    <w:rsid w:val="00910401"/>
    <w:rsid w:val="009132A0"/>
    <w:rsid w:val="00923853"/>
    <w:rsid w:val="009243D1"/>
    <w:rsid w:val="00925468"/>
    <w:rsid w:val="00926738"/>
    <w:rsid w:val="00927D09"/>
    <w:rsid w:val="009307D6"/>
    <w:rsid w:val="00935C0E"/>
    <w:rsid w:val="00944361"/>
    <w:rsid w:val="00944CBE"/>
    <w:rsid w:val="009455F3"/>
    <w:rsid w:val="009554A2"/>
    <w:rsid w:val="009607AC"/>
    <w:rsid w:val="00971EE1"/>
    <w:rsid w:val="009801BB"/>
    <w:rsid w:val="009802A8"/>
    <w:rsid w:val="00983F50"/>
    <w:rsid w:val="00991600"/>
    <w:rsid w:val="00991F66"/>
    <w:rsid w:val="00994F04"/>
    <w:rsid w:val="009A3C80"/>
    <w:rsid w:val="009A44A4"/>
    <w:rsid w:val="009B1B7B"/>
    <w:rsid w:val="009B4F62"/>
    <w:rsid w:val="009B5F35"/>
    <w:rsid w:val="009C3E5F"/>
    <w:rsid w:val="009D45B2"/>
    <w:rsid w:val="009D57E1"/>
    <w:rsid w:val="009D6E3B"/>
    <w:rsid w:val="009E2B83"/>
    <w:rsid w:val="009E3793"/>
    <w:rsid w:val="009F0F77"/>
    <w:rsid w:val="009F4CA0"/>
    <w:rsid w:val="009F57A1"/>
    <w:rsid w:val="009F621E"/>
    <w:rsid w:val="00A029AF"/>
    <w:rsid w:val="00A0381B"/>
    <w:rsid w:val="00A07C87"/>
    <w:rsid w:val="00A10333"/>
    <w:rsid w:val="00A11599"/>
    <w:rsid w:val="00A11638"/>
    <w:rsid w:val="00A1457D"/>
    <w:rsid w:val="00A156FA"/>
    <w:rsid w:val="00A177C5"/>
    <w:rsid w:val="00A20BE0"/>
    <w:rsid w:val="00A21727"/>
    <w:rsid w:val="00A343F5"/>
    <w:rsid w:val="00A41712"/>
    <w:rsid w:val="00A46403"/>
    <w:rsid w:val="00A715D5"/>
    <w:rsid w:val="00A72408"/>
    <w:rsid w:val="00A75320"/>
    <w:rsid w:val="00A76952"/>
    <w:rsid w:val="00A84487"/>
    <w:rsid w:val="00A8499D"/>
    <w:rsid w:val="00A84A5D"/>
    <w:rsid w:val="00A85829"/>
    <w:rsid w:val="00AA28C1"/>
    <w:rsid w:val="00AA369E"/>
    <w:rsid w:val="00AA655C"/>
    <w:rsid w:val="00AA7E65"/>
    <w:rsid w:val="00AA7EB2"/>
    <w:rsid w:val="00AB2412"/>
    <w:rsid w:val="00AB2C3D"/>
    <w:rsid w:val="00AC31AA"/>
    <w:rsid w:val="00AC7672"/>
    <w:rsid w:val="00AD1FFD"/>
    <w:rsid w:val="00AD2267"/>
    <w:rsid w:val="00AD442E"/>
    <w:rsid w:val="00AE111C"/>
    <w:rsid w:val="00AE2836"/>
    <w:rsid w:val="00AE4523"/>
    <w:rsid w:val="00AE7E4E"/>
    <w:rsid w:val="00AF2836"/>
    <w:rsid w:val="00AF74F7"/>
    <w:rsid w:val="00B16744"/>
    <w:rsid w:val="00B21C09"/>
    <w:rsid w:val="00B22AD3"/>
    <w:rsid w:val="00B25910"/>
    <w:rsid w:val="00B31FEC"/>
    <w:rsid w:val="00B3265A"/>
    <w:rsid w:val="00B3353C"/>
    <w:rsid w:val="00B35458"/>
    <w:rsid w:val="00B53B7D"/>
    <w:rsid w:val="00B56A98"/>
    <w:rsid w:val="00B605F2"/>
    <w:rsid w:val="00B60822"/>
    <w:rsid w:val="00B65E7B"/>
    <w:rsid w:val="00B73211"/>
    <w:rsid w:val="00B77F8E"/>
    <w:rsid w:val="00B801B4"/>
    <w:rsid w:val="00B82D77"/>
    <w:rsid w:val="00B873B4"/>
    <w:rsid w:val="00B87B79"/>
    <w:rsid w:val="00B93A09"/>
    <w:rsid w:val="00B947A9"/>
    <w:rsid w:val="00B94F99"/>
    <w:rsid w:val="00BA0318"/>
    <w:rsid w:val="00BB3101"/>
    <w:rsid w:val="00BB6CC5"/>
    <w:rsid w:val="00BC1F8D"/>
    <w:rsid w:val="00BD6526"/>
    <w:rsid w:val="00BE40CD"/>
    <w:rsid w:val="00BE5B56"/>
    <w:rsid w:val="00C11928"/>
    <w:rsid w:val="00C12874"/>
    <w:rsid w:val="00C31043"/>
    <w:rsid w:val="00C51942"/>
    <w:rsid w:val="00C52A13"/>
    <w:rsid w:val="00C538C2"/>
    <w:rsid w:val="00C6645D"/>
    <w:rsid w:val="00C7402A"/>
    <w:rsid w:val="00C834D3"/>
    <w:rsid w:val="00C9066F"/>
    <w:rsid w:val="00C954FB"/>
    <w:rsid w:val="00CA4EED"/>
    <w:rsid w:val="00CB1A02"/>
    <w:rsid w:val="00CB4468"/>
    <w:rsid w:val="00CB5493"/>
    <w:rsid w:val="00CC73AD"/>
    <w:rsid w:val="00CD06C2"/>
    <w:rsid w:val="00CD63A8"/>
    <w:rsid w:val="00CD6430"/>
    <w:rsid w:val="00CE5554"/>
    <w:rsid w:val="00CF1E46"/>
    <w:rsid w:val="00CF5A79"/>
    <w:rsid w:val="00D01CCD"/>
    <w:rsid w:val="00D03270"/>
    <w:rsid w:val="00D06498"/>
    <w:rsid w:val="00D12763"/>
    <w:rsid w:val="00D141B8"/>
    <w:rsid w:val="00D222BD"/>
    <w:rsid w:val="00D27006"/>
    <w:rsid w:val="00D51CEC"/>
    <w:rsid w:val="00D61988"/>
    <w:rsid w:val="00D725FC"/>
    <w:rsid w:val="00D7529C"/>
    <w:rsid w:val="00D76912"/>
    <w:rsid w:val="00D805DF"/>
    <w:rsid w:val="00D85AC1"/>
    <w:rsid w:val="00D941AB"/>
    <w:rsid w:val="00D96DBB"/>
    <w:rsid w:val="00DA2143"/>
    <w:rsid w:val="00DA60A8"/>
    <w:rsid w:val="00DB3C91"/>
    <w:rsid w:val="00DB6134"/>
    <w:rsid w:val="00DB748C"/>
    <w:rsid w:val="00DC701E"/>
    <w:rsid w:val="00DD31CB"/>
    <w:rsid w:val="00DD4AED"/>
    <w:rsid w:val="00DE60CE"/>
    <w:rsid w:val="00DE7A26"/>
    <w:rsid w:val="00DF0477"/>
    <w:rsid w:val="00DF1533"/>
    <w:rsid w:val="00E10791"/>
    <w:rsid w:val="00E25EE0"/>
    <w:rsid w:val="00E42F2D"/>
    <w:rsid w:val="00E46380"/>
    <w:rsid w:val="00E47B47"/>
    <w:rsid w:val="00E54C2E"/>
    <w:rsid w:val="00E61651"/>
    <w:rsid w:val="00E7154C"/>
    <w:rsid w:val="00E7387A"/>
    <w:rsid w:val="00E74AD7"/>
    <w:rsid w:val="00EA22FB"/>
    <w:rsid w:val="00EB06D8"/>
    <w:rsid w:val="00EC226A"/>
    <w:rsid w:val="00EC3024"/>
    <w:rsid w:val="00EC6555"/>
    <w:rsid w:val="00ED2BAC"/>
    <w:rsid w:val="00ED6BD9"/>
    <w:rsid w:val="00ED6E1C"/>
    <w:rsid w:val="00F0487D"/>
    <w:rsid w:val="00F05732"/>
    <w:rsid w:val="00F12C92"/>
    <w:rsid w:val="00F1565F"/>
    <w:rsid w:val="00F2040E"/>
    <w:rsid w:val="00F24AB1"/>
    <w:rsid w:val="00F24B0E"/>
    <w:rsid w:val="00F2527B"/>
    <w:rsid w:val="00F25D01"/>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A7FA7"/>
    <w:rsid w:val="00FD3D85"/>
    <w:rsid w:val="00FD457C"/>
    <w:rsid w:val="00FF022E"/>
    <w:rsid w:val="00FF0C51"/>
    <w:rsid w:val="00FF4678"/>
    <w:rsid w:val="00FF4A84"/>
    <w:rsid w:val="00FF7254"/>
    <w:rsid w:val="0BEE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eastAsia="楷体_GB2312"/>
      <w:sz w:val="3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uiPriority w:val="99"/>
    <w:rPr>
      <w:color w:val="0563C1" w:themeColor="hyperlink"/>
      <w:u w:val="single"/>
      <w14:textFill>
        <w14:solidFill>
          <w14:schemeClr w14:val="hlink"/>
        </w14:solidFill>
      </w14:textFill>
    </w:rPr>
  </w:style>
  <w:style w:type="character" w:customStyle="1" w:styleId="9">
    <w:name w:val="页眉 字符"/>
    <w:basedOn w:val="7"/>
    <w:link w:val="5"/>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1"/>
    <w:link w:val="2"/>
    <w:uiPriority w:val="0"/>
    <w:rPr>
      <w:rFonts w:eastAsia="楷体_GB2312"/>
      <w:sz w:val="32"/>
    </w:rPr>
  </w:style>
  <w:style w:type="character" w:customStyle="1" w:styleId="12">
    <w:name w:val="正文文本 字符"/>
    <w:basedOn w:val="7"/>
    <w:semiHidden/>
    <w:qFormat/>
    <w:uiPriority w:val="99"/>
  </w:style>
  <w:style w:type="paragraph" w:customStyle="1" w:styleId="13">
    <w:name w:val="lawyeeCaseNum1"/>
    <w:basedOn w:val="1"/>
    <w:autoRedefine/>
    <w:uiPriority w:val="0"/>
    <w:pPr>
      <w:jc w:val="right"/>
    </w:pPr>
    <w:rPr>
      <w:rFonts w:hint="eastAsia" w:ascii="仿宋_GB2312" w:hAnsi="仿宋_GB2312" w:eastAsia="仿宋_GB2312" w:cs="Times New Roman"/>
      <w:sz w:val="32"/>
      <w:szCs w:val="24"/>
    </w:rPr>
  </w:style>
  <w:style w:type="paragraph" w:customStyle="1" w:styleId="14">
    <w:name w:val="lawyeeWritName1"/>
    <w:basedOn w:val="1"/>
    <w:uiPriority w:val="0"/>
    <w:pPr>
      <w:jc w:val="center"/>
    </w:pPr>
    <w:rPr>
      <w:rFonts w:hint="eastAsia" w:ascii="方正大标宋简体" w:hAnsi="方正大标宋简体" w:eastAsia="方正大标宋简体" w:cs="Times New Roman"/>
      <w:b/>
      <w:sz w:val="52"/>
      <w:szCs w:val="24"/>
    </w:rPr>
  </w:style>
  <w:style w:type="paragraph" w:customStyle="1" w:styleId="15">
    <w:name w:val="lawyeeCourtName1"/>
    <w:basedOn w:val="1"/>
    <w:uiPriority w:val="0"/>
    <w:pPr>
      <w:jc w:val="center"/>
    </w:pPr>
    <w:rPr>
      <w:rFonts w:hint="eastAsia" w:ascii="Times New Roman" w:hAnsi="宋体" w:eastAsia="宋体" w:cs="Times New Roman"/>
      <w:sz w:val="44"/>
      <w:szCs w:val="24"/>
    </w:rPr>
  </w:style>
  <w:style w:type="character" w:customStyle="1" w:styleId="16">
    <w:name w:val="批注框文本 字符"/>
    <w:basedOn w:val="7"/>
    <w:link w:val="3"/>
    <w:autoRedefine/>
    <w:semiHidden/>
    <w:uiPriority w:val="99"/>
    <w:rPr>
      <w:sz w:val="18"/>
      <w:szCs w:val="18"/>
    </w:rPr>
  </w:style>
  <w:style w:type="character" w:customStyle="1" w:styleId="17">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26</Pages>
  <Words>2561</Words>
  <Characters>14598</Characters>
  <Lines>121</Lines>
  <Paragraphs>34</Paragraphs>
  <TotalTime>4</TotalTime>
  <ScaleCrop>false</ScaleCrop>
  <LinksUpToDate>false</LinksUpToDate>
  <CharactersWithSpaces>17125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2024-02-04T02:26:00Z</dcterms:created>
  <dc:creator>于志涛</dc:creator>
  <cp:lastModifiedBy>IPE</cp:lastModifiedBy>
  <dcterms:modified xsi:type="dcterms:W3CDTF">2024-04-25T06:48:19Z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353D58DF25304C79A64343DE7790D643_12</vt:lpwstr>
  </property>
</Properties>
</file>