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FC9BF">
      <w:pPr>
        <w:jc w:val="center"/>
        <w:rPr>
          <w:rFonts w:ascii="方正小标宋简体" w:hAnsi="宋体" w:eastAsia="方正小标宋简体" w:cs="方正小标宋简体"/>
          <w:kern w:val="0"/>
          <w:sz w:val="44"/>
        </w:rPr>
      </w:pPr>
      <w:r>
        <w:rPr>
          <w:rFonts w:hint="eastAsia" w:ascii="方正小标宋简体" w:hAnsi="宋体" w:eastAsia="方正小标宋简体" w:cs="方正小标宋简体"/>
          <w:kern w:val="0"/>
          <w:sz w:val="44"/>
        </w:rPr>
        <w:t>浙江省温州市中级人民法院</w:t>
      </w:r>
    </w:p>
    <w:p w14:paraId="29FE6EEB">
      <w:pPr>
        <w:spacing w:after="480" w:afterLines="200"/>
        <w:jc w:val="center"/>
        <w:rPr>
          <w:rFonts w:ascii="仿宋_GB2312"/>
          <w:szCs w:val="32"/>
        </w:rPr>
      </w:pPr>
      <w:r>
        <w:rPr>
          <w:rFonts w:hint="eastAsia" w:ascii="方正小标宋简体" w:hAnsi="宋体" w:eastAsia="方正小标宋简体" w:cs="方正小标宋简体"/>
          <w:kern w:val="0"/>
          <w:sz w:val="44"/>
        </w:rPr>
        <w:t>民事判决书</w:t>
      </w:r>
    </w:p>
    <w:p w14:paraId="397B9022">
      <w:pPr>
        <w:keepNext w:val="0"/>
        <w:keepLines w:val="0"/>
        <w:pageBreakBefore w:val="0"/>
        <w:widowControl w:val="0"/>
        <w:kinsoku/>
        <w:overflowPunct/>
        <w:topLinePunct w:val="0"/>
        <w:autoSpaceDE/>
        <w:autoSpaceDN/>
        <w:bidi w:val="0"/>
        <w:adjustRightInd/>
        <w:snapToGrid/>
        <w:spacing w:after="240" w:afterLines="100" w:line="620" w:lineRule="exact"/>
        <w:ind w:right="960" w:rightChars="300"/>
        <w:jc w:val="right"/>
        <w:textAlignment w:val="auto"/>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color w:val="auto"/>
          <w:kern w:val="0"/>
        </w:rPr>
        <w:t>（202</w:t>
      </w:r>
      <w:r>
        <w:rPr>
          <w:rFonts w:hint="eastAsia" w:ascii="仿宋_GB2312"/>
          <w:color w:val="auto"/>
          <w:kern w:val="0"/>
          <w:lang w:val="en-US" w:eastAsia="zh-CN"/>
        </w:rPr>
        <w:t>4</w:t>
      </w:r>
      <w:r>
        <w:rPr>
          <w:rFonts w:hint="eastAsia" w:ascii="仿宋_GB2312"/>
          <w:color w:val="auto"/>
          <w:kern w:val="0"/>
        </w:rPr>
        <w:t>）浙03</w:t>
      </w:r>
      <w:r>
        <w:rPr>
          <w:rFonts w:hint="eastAsia" w:ascii="仿宋_GB2312"/>
          <w:color w:val="auto"/>
          <w:kern w:val="0"/>
          <w:lang w:eastAsia="zh-CN"/>
        </w:rPr>
        <w:t>知</w:t>
      </w:r>
      <w:r>
        <w:rPr>
          <w:rFonts w:hint="eastAsia" w:ascii="仿宋_GB2312"/>
          <w:color w:val="auto"/>
          <w:kern w:val="0"/>
        </w:rPr>
        <w:t>民初</w:t>
      </w:r>
      <w:r>
        <w:rPr>
          <w:rFonts w:hint="eastAsia" w:ascii="仿宋_GB2312"/>
          <w:color w:val="auto"/>
          <w:kern w:val="0"/>
          <w:lang w:val="en-US" w:eastAsia="zh-CN"/>
        </w:rPr>
        <w:t>58</w:t>
      </w:r>
      <w:r>
        <w:rPr>
          <w:rFonts w:hint="eastAsia" w:ascii="仿宋_GB2312"/>
          <w:color w:val="auto"/>
          <w:kern w:val="0"/>
        </w:rPr>
        <w:t>号</w:t>
      </w:r>
    </w:p>
    <w:p w14:paraId="2C6DC9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原告：严某进。</w:t>
      </w:r>
    </w:p>
    <w:p w14:paraId="1DD0FD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被告：温州市优某电子商务有限公司。</w:t>
      </w:r>
    </w:p>
    <w:p w14:paraId="5FE902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原告严某进（以下称为“原告”）与被告温州市优某电子商务有限公司（以下称为“被告”）侵害发明专利权纠纷一案，本院于2024年7月8日立案后依法组成合议庭，</w:t>
      </w:r>
      <w:bookmarkStart w:id="0" w:name="WKJC_2c999e10939c50a30193b4552833044a"/>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于2024年9月4日公开开庭进行了审理</w:t>
      </w:r>
      <w:bookmarkEnd w:id="0"/>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。本案现已审理终结。</w:t>
      </w:r>
    </w:p>
    <w:p w14:paraId="7F3E2D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default"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向本院提出诉讼请求：1.判令被告立即停止销售、许诺销售侵害专利号为2006xxxx5849.8,名称为“线性连接装置的改进”的发明专利权产品的行为，销毁库存侵权产品；2.判令被告赔偿原告经济损失65000元；3.判令被告承担原告维权费用（包括但不限于律师费、交通费、公证费和购买侵权产品等费用）5000元；4.判令被告承担本案诉讼费。审理过程中，原告申请将第2项诉讼请求变更为“被告赔偿原告经济损失30000元”。事实和理由：原告是专利号为2006xxxx5849.8,名称为“线性连接装置的改进”的发明专利的权利人。被告未经许可，销售、许诺销售被诉侵权产品，构成对原告涉案专利权的侵害，应承担相应的侵权责任。</w:t>
      </w:r>
    </w:p>
    <w:p w14:paraId="5CDE73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default"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被告辩称：1.被诉侵权产品不落入涉案专利权的保护范围,不构成侵权。2.即使认定构成侵权，被诉侵权产品早已下架，销售量也很小，原告主张的赔偿额没有依据。</w:t>
      </w:r>
    </w:p>
    <w:p w14:paraId="54D2D7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经审理，本院认定事实如下：</w:t>
      </w:r>
    </w:p>
    <w:p w14:paraId="5250AD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系专利号为2006xxxx5849.8,名称为“线性连接装置的改进”的发明专利权人，该专利申请日为2006年6月8日，授权公告日为2012年1月25日，年费已经缴纳，现处于有效期内。原告在本案中主张权利要求1,具体包括：1.一种线性连接装置，由底座、扣件和</w:t>
      </w:r>
      <w:bookmarkStart w:id="1" w:name="WKJC_2c999e10939c50a30193b4552833045a"/>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联接</w:t>
      </w:r>
      <w:bookmarkEnd w:id="1"/>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柱组成，其特征是：所述的底座外观主体是一个矩形体，中间</w:t>
      </w:r>
      <w:bookmarkStart w:id="2" w:name="WKJC_2c999e10939c50a30193b4552833045c"/>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有一个弦</w:t>
      </w:r>
      <w:bookmarkEnd w:id="2"/>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与矩形边平行的、半圆形的凹槽，凹槽一边的上部是空的，凹槽另一边的正对上方有一个同圆心、较小的、四分之一圆的小凹槽，矩形体的边上有连接边，其上有连接孔；所述的扣件主体由一个半圆环体和一个矩形体组成，半圆环体上有一个半圆形槽，其半径与底座上的小凹槽半径相同，矩形体的边上有连接孔；所述</w:t>
      </w:r>
      <w:bookmarkStart w:id="3" w:name="WKJC_2c999e10939c50a30193b4552833045e"/>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的联接</w:t>
      </w:r>
      <w:bookmarkEnd w:id="3"/>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柱是条形圆柱体；所述的扣件上的半圆形槽与底座上的小凹槽会组成四分之三圆的空腔，在此空腔插入联接柱后就可以使底座和扣件联接在一起。</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说明书</w:t>
      </w:r>
      <w:r>
        <w:rPr>
          <w:rFonts w:hint="default"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[0006]</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段记载：矩形体的边上有连接孔（根据需要，也可为其它联接方式）。其作用是与需要转动的物体提供联接。说明书</w:t>
      </w:r>
      <w:r>
        <w:rPr>
          <w:rFonts w:hint="default"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[000</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8</w:t>
      </w:r>
      <w:r>
        <w:rPr>
          <w:rFonts w:hint="default"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段记载：本发明可以作为单独的合页来连接物体；也可以把底座作为门框或者窗框的一部分，把扣件作为门扇或者窗扇的一部分，作为型材进行联接，从而形成一种新的门窗联接结构。</w:t>
      </w:r>
    </w:p>
    <w:p w14:paraId="579993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default"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原告于2021年6月25日来到广东省广州市南沙公证处申请办理对其使用公证处专用电脑上网购物的过程进行保全证据。搜索进入“天猫”网站并</w:t>
      </w:r>
      <w:bookmarkStart w:id="4" w:name="WKJC_2c999e10939c50a30193b45528330474"/>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登录账号</w:t>
      </w:r>
      <w:bookmarkEnd w:id="4"/>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后，搜索进入“优某</w:t>
      </w:r>
      <w:bookmarkStart w:id="11" w:name="_GoBack"/>
      <w:bookmarkEnd w:id="11"/>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温州专卖店”，该店铺营业执照显示经营主体为被告。在店铺搜索栏输入“挂钩”找到连接名称为“浴室卫生间衣服毛巾挂钩强力粘胶门后</w:t>
      </w:r>
      <w:bookmarkStart w:id="5" w:name="WKJC_2c999e10939c50a30193b45528330476"/>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粘钩</w:t>
      </w:r>
      <w:bookmarkEnd w:id="5"/>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免打孔门口金属轻奢衣钩”的商品，总销量为8,选择黑金-折叠单</w:t>
      </w:r>
      <w:bookmarkStart w:id="6" w:name="WKJC_2c999e10939c50a30193b4552833047a"/>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钩</w:t>
      </w:r>
      <w:bookmarkEnd w:id="6"/>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-单个装（免打孔）1件，支付18元，订单号为1900711224831981713。上述取证过程记载于广东省广州市南沙公证处作出的（2021）粤广南沙第26857号公证书。</w:t>
      </w:r>
    </w:p>
    <w:p w14:paraId="2D9FC3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default"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于2021年6月25日来到广东省广州市南沙公证处申请对其网上购物所得物品的收货和封存的过程办理保全证据公证。公证员与该处工作人员于2021年7月1日在广州市天河区体育西路105号天文苑A1大堂丰巢柜收取申通快递单号为“773105369793097”的包裹，经现场查验该包裹外包装未发现异常，公证处人员对上述收货过程进行了拍照。在公证员与公证处工作人员的监督下，郑泽翰于2021年7月6日在该处办公室对上述包裹进行了拆包、查看该包裹内的商品，公证处人员对该包裹内的商品进行了拍照、封存。随后郑泽翰在公证处使用公证处电脑，查看上述包裹对应的订单及物流信息，对相关页面进行截图。截图显示，快递单号为“773105369793097”的商品对应的订单号为1900711224831981713。上述取证过程记载于广东省广州市南沙公证处作出的（2021）粤广南沙第26858号公证书。</w:t>
      </w:r>
    </w:p>
    <w:p w14:paraId="614D4B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default"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原告为维权支出公证费1726元。</w:t>
      </w:r>
    </w:p>
    <w:p w14:paraId="29C2F0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以上事实由原告提供的发明专利证书、公告文本、（2021）粤广南沙第26857号、第26858号公证书、发票等证据在案佐证。原告提供案外人的企业信用信息公示系统信息、网页截图以及被告提供三份实用新型专利公告文本，与本案缺乏关联性，不予采纳。</w:t>
      </w:r>
    </w:p>
    <w:p w14:paraId="4C7097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default"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本院认为,原告系涉案发明专利权人，该专利合法有效，应受法律保护。《中华人民共和国专利法》第六十四条第一款规定，发明或者实用新型专利权的保护范围以其权利要求的内容为准，说明书及附图可以用于解释权利要求的内容。《最高人民法院关于审理</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侵犯专利权纠纷案件应用法律若干问题的解释》第七条规定，人民法院判定被诉侵权技术方案是否落入专利权的保护范围，应当审查权利人主张的权利要求所记载的全部技术特征。被诉侵权技术方案包含与权利要求记载的全部技术特征相同或者等同的技术特征的，人民法院应当认定其落入专利权的保护范围；被诉侵权技术方案的技术特征与权利要求记载的全部技术特征相比，缺少权利要求记载的一个以上的技术特征，或者有一个以上技术特征不相同也不等同的，人民法院应当认定其没有落入专利权的保护范围。</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原告认为，被诉侵权产品的技术方案与涉案专利权利要求1相比，被诉侵权产品底座的连接边与钩部属于“一体化连接”，和涉案专利底座与其他物品通过连接孔连接，属于等同的技术特征。被诉侵权产品的其他技术特征与涉案专利权利要求1的其他技术特征属于相同技术特征。因此，被诉侵权技术方案落入涉案专利权的保护范围。被告认为，被诉侵权产品的技术方案与涉案专利</w:t>
      </w:r>
      <w:bookmarkStart w:id="7" w:name="WKJC_2c999e10939c50a30193b4552833047e"/>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至少具有以下</w:t>
      </w:r>
      <w:bookmarkEnd w:id="7"/>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不同之处：1.被诉侵权产品是衣钩。涉案专利是线性连接装置。2.被诉侵权产品的底座上不具有连接孔。涉案专利的底座上具有连接孔。本院认为，关于被诉侵权产品是否具有与涉案专利所述的底座上的“连接孔”技术特征相同或等同的技术特征。首先，关于是否构成相同特征。涉案专利权利要求1明确记载了“连接孔”，而被诉侵权产品显然没有与连接孔相同的技术特征。其次，关于是否构成等同特征。《最高人民法院关于审理侵犯专利权纠纷案件应用法律若干问题的解释》第五条规定，对于仅在说明书或者附图中描述而在权利要求中未记载的技术方案，权利人在侵犯专利权纠纷案件中将其纳入专利权保护范围的，人民法院不予支持。涉案专利说明书</w:t>
      </w:r>
      <w:r>
        <w:rPr>
          <w:rFonts w:hint="default"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[0006]</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段记载：矩形体的边上有连接孔（根据需要，也可为其他联接方式）。其作用是与需要转动的物体提供联接。说明书</w:t>
      </w:r>
      <w:r>
        <w:rPr>
          <w:rFonts w:hint="default"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[000</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8</w:t>
      </w:r>
      <w:r>
        <w:rPr>
          <w:rFonts w:hint="default"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段记载：本发明可以作为单独的合页来连接物体；也可以把底座作为门框或者窗框的一部分，把扣件作为门扇或者窗扇的一部分，作为型材进行联接，从而形成一种新的门窗联接结构。虽然采用连接孔或者一体成型的钩部，亦或是原告在本案中主张的一体化连接方式，都可以实现与需要转动的物体的联接，但联接手段并不相同。对本领域普通技术人员而言，无论以连接孔还是以焊接、粘连以及一体化连接等方式，均属于本专利申请时常见的联接手段。在此基础上，专利权人仅将以连接孔</w:t>
      </w:r>
      <w:bookmarkStart w:id="8" w:name="WKJC_2c999e10939c50a30193b45528330494"/>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联接的</w:t>
      </w:r>
      <w:bookmarkEnd w:id="8"/>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方式写入权利要求1,而未将其他联接方式纳入保护范围，表明专利权人已在提出专利申请时排除、放弃采取其他联接方式的技术方案。因此，被诉侵权产品不具有与涉案专利底座上的</w:t>
      </w: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连接孔相同或等同的技术特征，不落入涉案专利权的保护范围。原告要求被告停止侵权、赔偿经济损失及维权合理费用等诉讼请求，均缺乏事实和法律依据，本院不予支持。</w:t>
      </w:r>
    </w:p>
    <w:p w14:paraId="3CB92B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综上，依照</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《中华人民共和国专利法》第六十四条第一款，《最高人民法院关于审理侵犯专利权纠纷案件应用法律若干问题的解释》</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第五条、</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第七条，《中华人民共和国民事诉讼法》第六十七条第一款的规定，判决如下：</w:t>
      </w:r>
    </w:p>
    <w:p w14:paraId="122F0F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right="0" w:rightChars="0" w:firstLine="640" w:firstLineChars="200"/>
        <w:jc w:val="both"/>
        <w:textAlignment w:val="auto"/>
        <w:outlineLvl w:val="9"/>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驳回原告</w:t>
      </w: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严某进</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的</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全部</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诉讼请求。</w:t>
      </w:r>
    </w:p>
    <w:p w14:paraId="316D95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案件受理费</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675</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元，由原告</w:t>
      </w:r>
      <w:r>
        <w:rPr>
          <w:rFonts w:hint="eastAsia" w:ascii="仿宋_GB2312" w:hAnsi="宋体" w:cs="Times New Roman"/>
          <w:b w:val="0"/>
          <w:i w:val="0"/>
          <w:caps w:val="0"/>
          <w:smallCaps w:val="0"/>
          <w:strike w:val="0"/>
          <w:dstrike w:val="0"/>
          <w:snapToGrid/>
          <w:vanish w:val="0"/>
          <w:spacing w:val="0"/>
          <w:w w:val="100"/>
          <w:kern w:val="0"/>
          <w:position w:val="0"/>
          <w:sz w:val="32"/>
          <w:highlight w:val="none"/>
          <w:u w:val="none"/>
          <w:shd w:val="clear" w:color="auto" w:fill="auto"/>
          <w:lang w:val="en-US" w:eastAsia="zh-CN"/>
        </w:rPr>
        <w:t>严某进</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负担。</w:t>
      </w:r>
    </w:p>
    <w:p w14:paraId="32011B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Autospacing="0" w:afterAutospacing="0" w:line="680" w:lineRule="exact"/>
        <w:ind w:left="0" w:leftChars="0" w:right="0" w:rightChars="0" w:firstLine="640" w:firstLineChars="200"/>
        <w:jc w:val="both"/>
        <w:textAlignment w:val="auto"/>
        <w:outlineLvl w:val="9"/>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如不服本判决，可在判决书送达之日起十五日内，向本院递交上诉状，并按对方当事人的人数提出副本，上诉于</w:t>
      </w:r>
      <w:r>
        <w:rPr>
          <w:rFonts w:hint="eastAsia" w:ascii="仿宋_GB2312" w:hAnsi="宋体"/>
          <w:b w:val="0"/>
          <w:i w:val="0"/>
          <w:caps w:val="0"/>
          <w:smallCaps w:val="0"/>
          <w:strike w:val="0"/>
          <w:dstrike w:val="0"/>
          <w:snapToGrid/>
          <w:vanish w:val="0"/>
          <w:spacing w:val="0"/>
          <w:w w:val="100"/>
          <w:kern w:val="0"/>
          <w:position w:val="0"/>
          <w:sz w:val="32"/>
          <w:highlight w:val="none"/>
          <w:u w:val="none"/>
          <w:shd w:val="clear" w:color="auto" w:fill="auto"/>
          <w:lang w:val="en-US" w:eastAsia="zh-CN"/>
        </w:rPr>
        <w:t>最高</w:t>
      </w:r>
      <w:r>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t>人民法院。</w:t>
      </w:r>
    </w:p>
    <w:p w14:paraId="7007716A">
      <w:pPr>
        <w:pStyle w:val="2"/>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p>
    <w:p w14:paraId="53A7D4F3">
      <w:pPr>
        <w:pStyle w:val="2"/>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p>
    <w:p w14:paraId="25606DC7">
      <w:pPr>
        <w:pStyle w:val="2"/>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p>
    <w:p w14:paraId="703A11AC">
      <w:pPr>
        <w:pStyle w:val="2"/>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p>
    <w:p w14:paraId="53AE64A0">
      <w:pPr>
        <w:pStyle w:val="2"/>
        <w:rPr>
          <w:rFonts w:hint="eastAsia" w:ascii="仿宋_GB2312" w:hAnsi="宋体" w:eastAsia="仿宋_GB2312"/>
          <w:b w:val="0"/>
          <w:i w:val="0"/>
          <w:caps w:val="0"/>
          <w:smallCaps w:val="0"/>
          <w:strike w:val="0"/>
          <w:dstrike w:val="0"/>
          <w:snapToGrid/>
          <w:vanish w:val="0"/>
          <w:spacing w:val="0"/>
          <w:w w:val="100"/>
          <w:kern w:val="0"/>
          <w:position w:val="0"/>
          <w:sz w:val="32"/>
          <w:highlight w:val="none"/>
          <w:u w:val="none"/>
          <w:shd w:val="clear" w:color="auto" w:fill="auto"/>
          <w:lang w:val="en-US" w:eastAsia="zh-CN"/>
        </w:rPr>
      </w:pPr>
    </w:p>
    <w:p w14:paraId="3E45FC44">
      <w:pPr>
        <w:keepNext w:val="0"/>
        <w:keepLines w:val="0"/>
        <w:pageBreakBefore w:val="0"/>
        <w:widowControl w:val="0"/>
        <w:kinsoku/>
        <w:overflowPunct/>
        <w:topLinePunct w:val="0"/>
        <w:autoSpaceDE/>
        <w:autoSpaceDN/>
        <w:bidi w:val="0"/>
        <w:adjustRightInd/>
        <w:snapToGrid/>
        <w:spacing w:before="960" w:beforeLines="400" w:line="620" w:lineRule="exact"/>
        <w:ind w:right="960" w:rightChars="300"/>
        <w:jc w:val="right"/>
        <w:textAlignment w:val="auto"/>
        <w:rPr>
          <w:rFonts w:hint="eastAsia" w:eastAsia="仿宋_GB2312"/>
          <w:color w:val="auto"/>
          <w:kern w:val="0"/>
          <w:lang w:eastAsia="zh-CN"/>
        </w:rPr>
      </w:pPr>
      <w:r>
        <w:rPr>
          <w:rFonts w:hint="eastAsia" w:ascii="仿宋_GB2312" w:hAnsi="宋体"/>
          <w:color w:val="auto"/>
          <w:kern w:val="0"/>
        </w:rPr>
        <w:t xml:space="preserve"> 审　　判　　长　　　</w:t>
      </w:r>
      <w:r>
        <w:rPr>
          <w:rFonts w:hint="eastAsia" w:ascii="仿宋_GB2312" w:hAnsi="宋体"/>
          <w:color w:val="auto"/>
          <w:kern w:val="0"/>
          <w:lang w:eastAsia="zh-CN"/>
        </w:rPr>
        <w:t>叶挺舟</w:t>
      </w:r>
      <w:r>
        <w:rPr>
          <w:rFonts w:ascii="仿宋_GB2312" w:hAnsi="宋体"/>
          <w:color w:val="auto"/>
          <w:kern w:val="0"/>
        </w:rPr>
        <w:br w:type="textWrapping"/>
      </w:r>
      <w:r>
        <w:rPr>
          <w:rFonts w:ascii="仿宋_GB2312" w:hAnsi="宋体"/>
          <w:color w:val="auto"/>
          <w:kern w:val="0"/>
        </w:rPr>
        <w:t>人 民 陪 审 员　</w:t>
      </w:r>
      <w:r>
        <w:rPr>
          <w:rFonts w:hint="eastAsia" w:ascii="仿宋_GB2312" w:hAnsi="宋体"/>
          <w:color w:val="auto"/>
          <w:kern w:val="0"/>
        </w:rPr>
        <w:t xml:space="preserve">  </w:t>
      </w:r>
      <w:r>
        <w:rPr>
          <w:rFonts w:ascii="仿宋_GB2312" w:hAnsi="宋体"/>
          <w:color w:val="auto"/>
          <w:kern w:val="0"/>
        </w:rPr>
        <w:t>　</w:t>
      </w:r>
      <w:r>
        <w:rPr>
          <w:rFonts w:hint="eastAsia" w:ascii="仿宋_GB2312" w:hAnsi="宋体"/>
          <w:color w:val="auto"/>
          <w:kern w:val="0"/>
          <w:lang w:eastAsia="zh-CN"/>
        </w:rPr>
        <w:t>孙克森</w:t>
      </w:r>
      <w:r>
        <w:rPr>
          <w:rFonts w:ascii="仿宋_GB2312" w:hAnsi="宋体"/>
          <w:color w:val="auto"/>
          <w:kern w:val="0"/>
        </w:rPr>
        <w:br w:type="textWrapping"/>
      </w:r>
      <w:r>
        <w:rPr>
          <w:rFonts w:ascii="仿宋_GB2312" w:hAnsi="宋体"/>
          <w:color w:val="auto"/>
          <w:kern w:val="0"/>
        </w:rPr>
        <w:t>人 民 陪 审 员　</w:t>
      </w:r>
      <w:r>
        <w:rPr>
          <w:rFonts w:hint="eastAsia" w:ascii="仿宋_GB2312" w:hAnsi="宋体"/>
          <w:color w:val="auto"/>
          <w:kern w:val="0"/>
        </w:rPr>
        <w:t xml:space="preserve">    </w:t>
      </w:r>
      <w:r>
        <w:rPr>
          <w:rFonts w:hint="eastAsia" w:ascii="仿宋_GB2312" w:hAnsi="宋体"/>
          <w:color w:val="auto"/>
          <w:kern w:val="0"/>
          <w:lang w:eastAsia="zh-CN"/>
        </w:rPr>
        <w:t>胡庆钢</w:t>
      </w:r>
    </w:p>
    <w:p w14:paraId="1503BF05">
      <w:pPr>
        <w:keepNext w:val="0"/>
        <w:keepLines w:val="0"/>
        <w:pageBreakBefore w:val="0"/>
        <w:widowControl w:val="0"/>
        <w:kinsoku/>
        <w:overflowPunct/>
        <w:topLinePunct w:val="0"/>
        <w:autoSpaceDE/>
        <w:autoSpaceDN/>
        <w:bidi w:val="0"/>
        <w:adjustRightInd/>
        <w:snapToGrid/>
        <w:spacing w:before="960" w:beforeLines="400" w:line="620" w:lineRule="exact"/>
        <w:ind w:right="960" w:rightChars="300"/>
        <w:jc w:val="right"/>
        <w:textAlignment w:val="auto"/>
        <w:rPr>
          <w:rFonts w:ascii="仿宋_GB2312" w:hAnsi="宋体"/>
          <w:color w:val="auto"/>
          <w:kern w:val="0"/>
        </w:rPr>
      </w:pPr>
      <w:bookmarkStart w:id="9" w:name="WKJC_2c999e10939c50a30193b4552833049c"/>
      <w:r>
        <w:rPr>
          <w:rFonts w:hint="eastAsia" w:ascii="仿宋_GB2312" w:hAnsi="宋体"/>
          <w:color w:val="auto"/>
          <w:kern w:val="0"/>
          <w:lang w:eastAsia="zh-CN"/>
        </w:rPr>
        <w:t>二〇二四年</w:t>
      </w:r>
      <w:bookmarkEnd w:id="9"/>
      <w:r>
        <w:rPr>
          <w:rFonts w:hint="eastAsia" w:ascii="仿宋_GB2312" w:hAnsi="宋体"/>
          <w:color w:val="auto"/>
          <w:kern w:val="0"/>
          <w:lang w:eastAsia="zh-CN"/>
        </w:rPr>
        <w:t>十二</w:t>
      </w:r>
      <w:r>
        <w:rPr>
          <w:rFonts w:hint="eastAsia" w:ascii="仿宋_GB2312" w:hAnsi="宋体"/>
          <w:color w:val="auto"/>
          <w:kern w:val="0"/>
        </w:rPr>
        <w:t>月</w:t>
      </w:r>
      <w:r>
        <w:rPr>
          <w:rFonts w:hint="eastAsia" w:ascii="仿宋_GB2312" w:hAnsi="宋体"/>
          <w:color w:val="auto"/>
          <w:kern w:val="0"/>
          <w:lang w:eastAsia="zh-CN"/>
        </w:rPr>
        <w:t>十</w:t>
      </w:r>
      <w:r>
        <w:rPr>
          <w:rFonts w:hint="eastAsia" w:ascii="仿宋_GB2312" w:hAnsi="宋体"/>
          <w:color w:val="auto"/>
          <w:kern w:val="0"/>
          <w:lang w:eastAsia="zh"/>
        </w:rPr>
        <w:t>三</w:t>
      </w:r>
      <w:r>
        <w:rPr>
          <w:rFonts w:hint="eastAsia" w:ascii="仿宋_GB2312" w:hAnsi="宋体"/>
          <w:color w:val="auto"/>
          <w:kern w:val="0"/>
        </w:rPr>
        <w:t>日</w:t>
      </w:r>
    </w:p>
    <w:p w14:paraId="4E7F1B45">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ascii="仿宋_GB2312" w:hAnsi="宋体"/>
          <w:color w:val="auto"/>
          <w:kern w:val="0"/>
        </w:rPr>
      </w:pPr>
      <w:r>
        <w:rPr>
          <w:rFonts w:hint="eastAsia" w:ascii="仿宋_GB2312" w:hAnsi="宋体"/>
          <w:color w:val="auto"/>
          <w:kern w:val="0"/>
        </w:rPr>
        <w:t>本件与原本核对无异</w:t>
      </w:r>
    </w:p>
    <w:p w14:paraId="744E2BBA">
      <w:pPr>
        <w:keepNext w:val="0"/>
        <w:keepLines w:val="0"/>
        <w:pageBreakBefore w:val="0"/>
        <w:widowControl w:val="0"/>
        <w:kinsoku/>
        <w:overflowPunct/>
        <w:topLinePunct w:val="0"/>
        <w:autoSpaceDE/>
        <w:autoSpaceDN/>
        <w:bidi w:val="0"/>
        <w:adjustRightInd/>
        <w:snapToGrid/>
        <w:spacing w:line="620" w:lineRule="exact"/>
        <w:ind w:firstLine="640" w:firstLineChars="200"/>
        <w:jc w:val="both"/>
        <w:textAlignment w:val="auto"/>
        <w:rPr>
          <w:rFonts w:hint="eastAsia" w:ascii="仿宋_GB2312" w:hAnsi="宋体" w:eastAsia="仿宋_GB2312"/>
          <w:color w:val="auto"/>
          <w:kern w:val="0"/>
          <w:lang w:val="en-US" w:eastAsia="zh-CN"/>
        </w:rPr>
      </w:pPr>
      <w:r>
        <w:rPr>
          <w:rFonts w:hint="eastAsia" w:ascii="仿宋_GB2312" w:hAnsi="宋体"/>
          <w:color w:val="auto"/>
          <w:kern w:val="0"/>
          <w:lang w:val="en-US" w:eastAsia="zh-CN"/>
        </w:rPr>
        <w:t xml:space="preserve">                   </w:t>
      </w:r>
    </w:p>
    <w:p w14:paraId="648FF250">
      <w:pPr>
        <w:keepNext w:val="0"/>
        <w:keepLines w:val="0"/>
        <w:pageBreakBefore w:val="0"/>
        <w:widowControl w:val="0"/>
        <w:kinsoku/>
        <w:overflowPunct/>
        <w:topLinePunct w:val="0"/>
        <w:autoSpaceDE/>
        <w:autoSpaceDN/>
        <w:bidi w:val="0"/>
        <w:adjustRightInd/>
        <w:snapToGrid/>
        <w:spacing w:line="620" w:lineRule="exact"/>
        <w:ind w:firstLine="640" w:firstLineChars="200"/>
        <w:jc w:val="center"/>
        <w:textAlignment w:val="auto"/>
        <w:rPr>
          <w:rFonts w:hint="eastAsia" w:ascii="仿宋_GB2312" w:hAnsi="宋体"/>
          <w:color w:val="auto"/>
          <w:kern w:val="0"/>
        </w:rPr>
      </w:pPr>
      <w:r>
        <w:rPr>
          <w:rFonts w:hint="eastAsia" w:ascii="仿宋_GB2312" w:hAnsi="宋体"/>
          <w:color w:val="auto"/>
          <w:kern w:val="0"/>
          <w:lang w:val="en-US" w:eastAsia="zh-CN"/>
        </w:rPr>
        <w:t xml:space="preserve">               </w:t>
      </w:r>
      <w:r>
        <w:rPr>
          <w:rFonts w:hint="eastAsia" w:ascii="仿宋_GB2312" w:hAnsi="宋体"/>
          <w:color w:val="auto"/>
          <w:kern w:val="0"/>
        </w:rPr>
        <w:t>代　书　记　员</w:t>
      </w:r>
      <w:r>
        <w:rPr>
          <w:rFonts w:ascii="仿宋_GB2312" w:hAnsi="宋体"/>
          <w:color w:val="auto"/>
          <w:kern w:val="0"/>
        </w:rPr>
        <w:t>　</w:t>
      </w:r>
      <w:r>
        <w:rPr>
          <w:rFonts w:hint="eastAsia" w:ascii="仿宋_GB2312" w:hAnsi="宋体"/>
          <w:color w:val="auto"/>
          <w:kern w:val="0"/>
        </w:rPr>
        <w:t xml:space="preserve">    </w:t>
      </w:r>
      <w:r>
        <w:rPr>
          <w:rFonts w:hint="eastAsia" w:ascii="仿宋_GB2312" w:hAnsi="宋体"/>
          <w:color w:val="auto"/>
          <w:kern w:val="0"/>
          <w:lang w:eastAsia="zh-CN"/>
        </w:rPr>
        <w:t>潘心丽</w:t>
      </w:r>
      <w:r>
        <w:rPr>
          <w:rFonts w:hint="eastAsia" w:ascii="仿宋_GB2312" w:hAnsi="宋体"/>
          <w:color w:val="auto"/>
          <w:kern w:val="0"/>
        </w:rPr>
        <w:t>　</w:t>
      </w:r>
    </w:p>
    <w:p w14:paraId="0C9FCDF4">
      <w:pPr>
        <w:pStyle w:val="2"/>
        <w:rPr>
          <w:rFonts w:hint="eastAsia"/>
        </w:rPr>
      </w:pPr>
    </w:p>
    <w:p w14:paraId="352F26AA">
      <w:pPr>
        <w:pStyle w:val="2"/>
        <w:rPr>
          <w:rFonts w:hint="eastAsia"/>
        </w:rPr>
      </w:pPr>
    </w:p>
    <w:p w14:paraId="60D8C2D8">
      <w:pPr>
        <w:pStyle w:val="2"/>
        <w:rPr>
          <w:rFonts w:hint="eastAsia"/>
        </w:rPr>
      </w:pPr>
    </w:p>
    <w:p w14:paraId="04CE6A6E">
      <w:pPr>
        <w:pStyle w:val="2"/>
        <w:rPr>
          <w:rFonts w:hint="eastAsia"/>
        </w:rPr>
      </w:pPr>
    </w:p>
    <w:p w14:paraId="5F01D77B">
      <w:pPr>
        <w:pStyle w:val="2"/>
        <w:rPr>
          <w:rFonts w:hint="eastAsia"/>
        </w:rPr>
      </w:pPr>
    </w:p>
    <w:p w14:paraId="026F6B9D">
      <w:pPr>
        <w:pStyle w:val="2"/>
        <w:rPr>
          <w:rFonts w:hint="eastAsia" w:ascii="仿宋_GB2312" w:hAnsi="宋体"/>
          <w:color w:val="auto"/>
          <w:kern w:val="0"/>
        </w:rPr>
      </w:pPr>
    </w:p>
    <w:p w14:paraId="1BCE53D9">
      <w:pPr>
        <w:autoSpaceDE w:val="0"/>
        <w:autoSpaceDN w:val="0"/>
        <w:adjustRightInd w:val="0"/>
        <w:spacing w:line="600" w:lineRule="exact"/>
        <w:rPr>
          <w:rFonts w:ascii="黑体" w:hAnsi="黑体" w:eastAsia="黑体"/>
          <w:szCs w:val="32"/>
        </w:rPr>
      </w:pPr>
      <w:r>
        <w:rPr>
          <w:rFonts w:hint="eastAsia" w:ascii="黑体" w:hAnsi="黑体" w:eastAsia="黑体"/>
          <w:szCs w:val="32"/>
        </w:rPr>
        <w:t>附文：</w:t>
      </w:r>
    </w:p>
    <w:p w14:paraId="123161EB">
      <w:pPr>
        <w:autoSpaceDE w:val="0"/>
        <w:autoSpaceDN w:val="0"/>
        <w:adjustRightInd w:val="0"/>
        <w:spacing w:line="600" w:lineRule="exact"/>
        <w:jc w:val="center"/>
        <w:rPr>
          <w:rFonts w:ascii="华文中宋" w:hAnsi="华文中宋" w:eastAsia="华文中宋"/>
          <w:sz w:val="36"/>
          <w:szCs w:val="36"/>
        </w:rPr>
      </w:pPr>
      <w:r>
        <w:rPr>
          <w:rFonts w:hint="eastAsia" w:ascii="华文中宋" w:hAnsi="华文中宋" w:eastAsia="华文中宋"/>
          <w:sz w:val="36"/>
          <w:szCs w:val="36"/>
        </w:rPr>
        <w:t>一、不履行裁判惩戒后果警示</w:t>
      </w:r>
    </w:p>
    <w:p w14:paraId="6B330354">
      <w:pPr>
        <w:autoSpaceDE w:val="0"/>
        <w:autoSpaceDN w:val="0"/>
        <w:adjustRightInd w:val="0"/>
        <w:spacing w:line="600" w:lineRule="exact"/>
        <w:ind w:firstLine="640" w:firstLineChars="200"/>
        <w:jc w:val="left"/>
        <w:rPr>
          <w:rFonts w:ascii="仿宋_GB2312" w:hAnsi="黑体"/>
          <w:szCs w:val="32"/>
        </w:rPr>
      </w:pPr>
    </w:p>
    <w:p w14:paraId="4C9974D7">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1.【追究刑事责任告知】义务人拒不报告财产、虚假报告财产、违反限制消费令，义务人或其他相关人员拒不腾退涉案房屋、土地，或具有非法处置查封、扣押、冻结的财产、虚假诉讼、拒不交出执行标的或财产等抗拒执行行为的，法院将视情予以罚款、拘留；情节严重的，移送公安机关追究刑事责任。权利人在一定条件下，可以自诉追究行为人的刑事责任。</w:t>
      </w:r>
    </w:p>
    <w:p w14:paraId="7CC3C528">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2．【报告财产义务、拒不履行后果告知】执行期间，义务人必须向执行法院如实报告财产，拒不报告又不履行的，法院将视情节轻重采取纳入失信名单、限制出入境、罚款、拘留等措施；义务人报告财产不实的，法院将予以罚款、拘留；单位为被执行人，可视情同时对该单位的法定代表人、主要负责人、影响债务履行的直接责任人员、实际控制人予以罚款、拘留。</w:t>
      </w:r>
      <w:r>
        <w:rPr>
          <w:rFonts w:ascii="仿宋_GB2312" w:hAnsi="黑体"/>
          <w:szCs w:val="32"/>
        </w:rPr>
        <w:t xml:space="preserve"> </w:t>
      </w:r>
    </w:p>
    <w:p w14:paraId="473CFCBE">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3.【交付车辆义务告知】义务人应当将名下的车辆等动产移交执行法院。拒不移交的，法院将予以罚款、拘留；确有正当理由无法移交的，义务人应当向执行法院书面报告车辆等动产的权属和占有、使用等情况。</w:t>
      </w:r>
    </w:p>
    <w:p w14:paraId="22EE5DEA">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4．【限制消费、强制执行措施告知】案件立案执行后，人民法院将对义务人采取限制高消费及非生活或者经营必需的有关消费措施（含禁止乘坐飞机、G字头高铁、在星级以上酒店消费、旅游度假、子女就读高收费私立学校等），并有权对义务人的财产采取查封、扣押、冻结、拍卖、变卖等强制性措施。</w:t>
      </w:r>
    </w:p>
    <w:p w14:paraId="481B296D">
      <w:pPr>
        <w:autoSpaceDE w:val="0"/>
        <w:autoSpaceDN w:val="0"/>
        <w:adjustRightInd w:val="0"/>
        <w:spacing w:line="600" w:lineRule="exact"/>
        <w:ind w:firstLine="640" w:firstLineChars="200"/>
        <w:jc w:val="left"/>
        <w:rPr>
          <w:rFonts w:ascii="仿宋_GB2312"/>
          <w:szCs w:val="32"/>
        </w:rPr>
      </w:pPr>
      <w:r>
        <w:rPr>
          <w:rFonts w:hint="eastAsia" w:ascii="仿宋_GB2312" w:hAnsi="黑体"/>
          <w:szCs w:val="32"/>
        </w:rPr>
        <w:t>5．【特殊身份执行措施告知】义务人具有中共党员、人大代表、政协委员、公职人员等特殊身份，执行立案后拒不履行义务的，人民法院将向其所在单位及纪律监察部门、组织人事部门通报失信行为，并严格采取惩戒、制裁措施。</w:t>
      </w:r>
    </w:p>
    <w:p w14:paraId="6E977D9C">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6．【迟延履行债务利息、执行费用告知】案件立案执行后，义务人除应当履行生效法律文书确定的债务外，还需加倍支付迟延履行期间的债务利息或迟延履行金，直至债务清偿完毕之日止，并应承担执行费和因执行程序产生的申请执行费、评估费、保管费等。</w:t>
      </w:r>
    </w:p>
    <w:p w14:paraId="5FA72EC7">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7．【强制执行信用污点告知】义务人未在法律文书确定的期限内自动履行，一旦案件立案执行，义务人的被执行信息将成为信用污点，并被人民银行征信系统、各级信用信息平台记录在案。</w:t>
      </w:r>
    </w:p>
    <w:p w14:paraId="6697DA85">
      <w:pPr>
        <w:autoSpaceDE w:val="0"/>
        <w:autoSpaceDN w:val="0"/>
        <w:adjustRightInd w:val="0"/>
        <w:spacing w:line="600" w:lineRule="exact"/>
        <w:ind w:firstLine="640" w:firstLineChars="200"/>
        <w:jc w:val="left"/>
        <w:rPr>
          <w:rFonts w:ascii="仿宋_GB2312" w:hAnsi="黑体"/>
          <w:szCs w:val="32"/>
        </w:rPr>
      </w:pPr>
    </w:p>
    <w:p w14:paraId="61B1E426">
      <w:pPr>
        <w:autoSpaceDE w:val="0"/>
        <w:autoSpaceDN w:val="0"/>
        <w:adjustRightInd w:val="0"/>
        <w:spacing w:line="600" w:lineRule="exact"/>
        <w:jc w:val="center"/>
        <w:rPr>
          <w:rFonts w:ascii="华文中宋" w:hAnsi="华文中宋" w:eastAsia="华文中宋"/>
          <w:sz w:val="36"/>
          <w:szCs w:val="36"/>
        </w:rPr>
      </w:pPr>
      <w:r>
        <w:rPr>
          <w:rFonts w:hint="eastAsia" w:ascii="华文中宋" w:hAnsi="华文中宋" w:eastAsia="华文中宋"/>
          <w:sz w:val="36"/>
          <w:szCs w:val="36"/>
        </w:rPr>
        <w:t>二、执行风险告知</w:t>
      </w:r>
    </w:p>
    <w:p w14:paraId="44E7866B">
      <w:pPr>
        <w:autoSpaceDE w:val="0"/>
        <w:autoSpaceDN w:val="0"/>
        <w:adjustRightInd w:val="0"/>
        <w:spacing w:line="600" w:lineRule="exact"/>
        <w:ind w:firstLine="640" w:firstLineChars="200"/>
        <w:jc w:val="left"/>
        <w:rPr>
          <w:rFonts w:ascii="仿宋_GB2312" w:hAnsi="黑体"/>
          <w:szCs w:val="32"/>
        </w:rPr>
      </w:pPr>
    </w:p>
    <w:p w14:paraId="176416B6">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1．【申请保全、提供线索告知】权利人在诉讼过程中可以申请对义务人的财产采取保全措施，并尽可能地调查了解义务人的财产状况以及下落情况，积极向法院提供义务人的财产、下落线索，以提高财产保全和送达效率，提升生效法律文书的实际执行效果。</w:t>
      </w:r>
    </w:p>
    <w:p w14:paraId="0EA9B902">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2．【申请破产权利告知】权利人发现</w:t>
      </w:r>
      <w:r>
        <w:rPr>
          <w:rFonts w:ascii="仿宋_GB2312" w:hAnsi="黑体"/>
          <w:szCs w:val="32"/>
        </w:rPr>
        <w:t>企业法人不能清偿到期债务</w:t>
      </w:r>
      <w:r>
        <w:rPr>
          <w:rFonts w:hint="eastAsia" w:ascii="仿宋_GB2312" w:hAnsi="黑体"/>
          <w:szCs w:val="32"/>
        </w:rPr>
        <w:t>，</w:t>
      </w:r>
      <w:r>
        <w:rPr>
          <w:rFonts w:ascii="仿宋_GB2312" w:hAnsi="黑体"/>
          <w:szCs w:val="32"/>
        </w:rPr>
        <w:t>且资产不足以清偿全部债务或者明显缺乏清偿能力的，可以直接向</w:t>
      </w:r>
      <w:r>
        <w:rPr>
          <w:rFonts w:hint="eastAsia" w:ascii="仿宋_GB2312" w:hAnsi="黑体"/>
          <w:szCs w:val="32"/>
        </w:rPr>
        <w:t>企业</w:t>
      </w:r>
      <w:r>
        <w:rPr>
          <w:rFonts w:ascii="仿宋_GB2312" w:hAnsi="黑体"/>
          <w:szCs w:val="32"/>
        </w:rPr>
        <w:t>住所地法院提出</w:t>
      </w:r>
      <w:r>
        <w:rPr>
          <w:rFonts w:hint="eastAsia" w:ascii="仿宋_GB2312" w:hAnsi="黑体"/>
          <w:szCs w:val="32"/>
        </w:rPr>
        <w:t>破产</w:t>
      </w:r>
      <w:r>
        <w:rPr>
          <w:rFonts w:ascii="仿宋_GB2312" w:hAnsi="黑体"/>
          <w:szCs w:val="32"/>
        </w:rPr>
        <w:t>重整或者破产清算的申请。</w:t>
      </w:r>
    </w:p>
    <w:p w14:paraId="7804D83A">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3．【权利人申请执行期限告知】义务人未按期履行生效法律文书确定内容的，权利人应在法律文书生效之日或法律文书确定的履行期限届满之日起两年内向人民法院申请执行。</w:t>
      </w:r>
    </w:p>
    <w:p w14:paraId="690A8C84">
      <w:pPr>
        <w:autoSpaceDE w:val="0"/>
        <w:autoSpaceDN w:val="0"/>
        <w:adjustRightInd w:val="0"/>
        <w:spacing w:line="600" w:lineRule="exact"/>
        <w:ind w:firstLine="640" w:firstLineChars="200"/>
        <w:jc w:val="left"/>
        <w:rPr>
          <w:rFonts w:ascii="仿宋_GB2312" w:hAnsi="黑体"/>
          <w:szCs w:val="32"/>
        </w:rPr>
      </w:pPr>
      <w:r>
        <w:rPr>
          <w:rFonts w:hint="eastAsia" w:ascii="仿宋_GB2312" w:hAnsi="黑体"/>
          <w:szCs w:val="32"/>
        </w:rPr>
        <w:t>4．【执行不能风险告知】申请执行具有执行风险，权利人应当有执行风险意识。人民法院依照法定程序执行，如义务人已丧失履行法律文书确定义务的能力，且权利人又无法对义务人进行财产举证，将可能导致案件无法执行到位。这种后果是法院与权利人都不愿意发生的，但这是当事人商业风险、交易风险在执行阶段的继续，权利人应知悉并理解此类执行不能的风险。</w:t>
      </w:r>
    </w:p>
    <w:p w14:paraId="3CE996BD">
      <w:pPr>
        <w:autoSpaceDE w:val="0"/>
        <w:autoSpaceDN w:val="0"/>
        <w:adjustRightInd w:val="0"/>
        <w:spacing w:line="600" w:lineRule="exact"/>
        <w:ind w:firstLine="640" w:firstLineChars="200"/>
        <w:jc w:val="left"/>
        <w:rPr>
          <w:rFonts w:ascii="仿宋_GB2312" w:hAnsi="黑体"/>
          <w:szCs w:val="32"/>
        </w:rPr>
      </w:pPr>
    </w:p>
    <w:p w14:paraId="008D0A95">
      <w:pPr>
        <w:autoSpaceDE w:val="0"/>
        <w:autoSpaceDN w:val="0"/>
        <w:adjustRightInd w:val="0"/>
        <w:spacing w:line="600" w:lineRule="exact"/>
        <w:ind w:firstLine="640" w:firstLineChars="200"/>
        <w:jc w:val="left"/>
        <w:rPr>
          <w:rFonts w:ascii="仿宋_GB2312" w:hAnsi="黑体"/>
          <w:szCs w:val="32"/>
        </w:rPr>
      </w:pPr>
    </w:p>
    <w:p w14:paraId="7B718085">
      <w:pPr>
        <w:autoSpaceDE w:val="0"/>
        <w:autoSpaceDN w:val="0"/>
        <w:adjustRightInd w:val="0"/>
        <w:spacing w:line="600" w:lineRule="exact"/>
        <w:ind w:firstLine="640" w:firstLineChars="200"/>
        <w:jc w:val="left"/>
        <w:rPr>
          <w:rFonts w:ascii="仿宋_GB2312" w:hAnsi="黑体"/>
          <w:szCs w:val="32"/>
        </w:rPr>
      </w:pPr>
    </w:p>
    <w:p w14:paraId="27F7AA83">
      <w:pPr>
        <w:autoSpaceDE w:val="0"/>
        <w:autoSpaceDN w:val="0"/>
        <w:adjustRightInd w:val="0"/>
        <w:spacing w:line="600" w:lineRule="exact"/>
        <w:ind w:firstLine="640" w:firstLineChars="200"/>
        <w:jc w:val="left"/>
      </w:pPr>
      <w:r>
        <w:rPr>
          <w:rFonts w:hint="eastAsia" w:ascii="黑体" w:hAnsi="黑体" w:eastAsia="黑体"/>
          <w:szCs w:val="32"/>
        </w:rPr>
        <w:t>注</w:t>
      </w:r>
      <w:r>
        <w:rPr>
          <w:rFonts w:hint="eastAsia" w:ascii="仿宋_GB2312" w:hAnsi="黑体"/>
          <w:szCs w:val="32"/>
        </w:rPr>
        <w:t>：义务人是指应当履行生效法律文书内容的债务人、被执行人；权利人是指享有生效法律文书赋予权利的债权人、申请执行人</w:t>
      </w:r>
      <w:bookmarkStart w:id="10" w:name="WKJC_2c999e10939c50a30193b4552833049e"/>
      <w:r>
        <w:rPr>
          <w:rFonts w:hint="eastAsia" w:ascii="仿宋_GB2312" w:hAnsi="黑体"/>
          <w:szCs w:val="32"/>
        </w:rPr>
        <w:t>。</w:t>
      </w:r>
      <w:bookmarkEnd w:id="10"/>
    </w:p>
    <w:sectPr>
      <w:footerReference r:id="rId4" w:type="default"/>
      <w:headerReference r:id="rId3" w:type="even"/>
      <w:footerReference r:id="rId5" w:type="even"/>
      <w:pgSz w:w="11907" w:h="16839"/>
      <w:pgMar w:top="2041" w:right="1134" w:bottom="2041" w:left="1701" w:header="1361" w:footer="1361" w:gutter="0"/>
      <w:pgNumType w:fmt="decimal"/>
      <w:cols w:space="425" w:num="1"/>
      <w:docGrid w:linePitch="531" w:charSpace="5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A39B">
    <w:pPr>
      <w:pStyle w:val="6"/>
      <w:ind w:right="640" w:rightChars="20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2EA90">
                          <w:pPr>
                            <w:pStyle w:val="6"/>
                            <w:ind w:right="640" w:rightChars="200"/>
                            <w:jc w:val="right"/>
                          </w:pPr>
                          <w:r>
                            <w:rPr>
                              <w:rStyle w:val="11"/>
                              <w:rFonts w:ascii="宋体" w:hAnsi="宋体" w:eastAsia="宋体"/>
                              <w:sz w:val="28"/>
                              <w:szCs w:val="28"/>
                            </w:rPr>
                            <w:fldChar w:fldCharType="begin"/>
                          </w:r>
                          <w:r>
                            <w:rPr>
                              <w:rStyle w:val="11"/>
                              <w:rFonts w:ascii="宋体" w:hAnsi="宋体" w:eastAsia="宋体"/>
                              <w:sz w:val="28"/>
                              <w:szCs w:val="28"/>
                            </w:rPr>
                            <w:instrText xml:space="preserve"> PAGE  \* ArabicDash </w:instrText>
                          </w:r>
                          <w:r>
                            <w:rPr>
                              <w:rStyle w:val="11"/>
                              <w:rFonts w:ascii="宋体" w:hAnsi="宋体" w:eastAsia="宋体"/>
                              <w:sz w:val="28"/>
                              <w:szCs w:val="28"/>
                            </w:rPr>
                            <w:fldChar w:fldCharType="separate"/>
                          </w:r>
                          <w:r>
                            <w:rPr>
                              <w:rStyle w:val="11"/>
                              <w:rFonts w:ascii="宋体" w:hAnsi="宋体" w:eastAsia="宋体"/>
                              <w:sz w:val="28"/>
                              <w:szCs w:val="28"/>
                            </w:rPr>
                            <w:t>- 2 -</w:t>
                          </w:r>
                          <w:r>
                            <w:rPr>
                              <w:rStyle w:val="11"/>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52EA90">
                    <w:pPr>
                      <w:pStyle w:val="6"/>
                      <w:ind w:right="640" w:rightChars="200"/>
                      <w:jc w:val="right"/>
                    </w:pPr>
                    <w:r>
                      <w:rPr>
                        <w:rStyle w:val="11"/>
                        <w:rFonts w:ascii="宋体" w:hAnsi="宋体" w:eastAsia="宋体"/>
                        <w:sz w:val="28"/>
                        <w:szCs w:val="28"/>
                      </w:rPr>
                      <w:fldChar w:fldCharType="begin"/>
                    </w:r>
                    <w:r>
                      <w:rPr>
                        <w:rStyle w:val="11"/>
                        <w:rFonts w:ascii="宋体" w:hAnsi="宋体" w:eastAsia="宋体"/>
                        <w:sz w:val="28"/>
                        <w:szCs w:val="28"/>
                      </w:rPr>
                      <w:instrText xml:space="preserve"> PAGE  \* ArabicDash </w:instrText>
                    </w:r>
                    <w:r>
                      <w:rPr>
                        <w:rStyle w:val="11"/>
                        <w:rFonts w:ascii="宋体" w:hAnsi="宋体" w:eastAsia="宋体"/>
                        <w:sz w:val="28"/>
                        <w:szCs w:val="28"/>
                      </w:rPr>
                      <w:fldChar w:fldCharType="separate"/>
                    </w:r>
                    <w:r>
                      <w:rPr>
                        <w:rStyle w:val="11"/>
                        <w:rFonts w:ascii="宋体" w:hAnsi="宋体" w:eastAsia="宋体"/>
                        <w:sz w:val="28"/>
                        <w:szCs w:val="28"/>
                      </w:rPr>
                      <w:t>- 2 -</w:t>
                    </w:r>
                    <w:r>
                      <w:rPr>
                        <w:rStyle w:val="11"/>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94EB">
    <w:pPr>
      <w:pStyle w:val="6"/>
      <w:ind w:left="640" w:leftChars="200"/>
      <w:rPr>
        <w:rFonts w:ascii="宋体" w:hAnsi="宋体" w:eastAsia="宋体"/>
        <w:sz w:val="28"/>
        <w:szCs w:val="28"/>
      </w:rPr>
    </w:pPr>
    <w:r>
      <w:rPr>
        <w:rStyle w:val="11"/>
        <w:rFonts w:ascii="宋体" w:hAnsi="宋体" w:eastAsia="宋体"/>
        <w:sz w:val="28"/>
        <w:szCs w:val="28"/>
      </w:rPr>
      <w:fldChar w:fldCharType="begin"/>
    </w:r>
    <w:r>
      <w:rPr>
        <w:rStyle w:val="11"/>
        <w:rFonts w:ascii="宋体" w:hAnsi="宋体" w:eastAsia="宋体"/>
        <w:sz w:val="28"/>
        <w:szCs w:val="28"/>
      </w:rPr>
      <w:instrText xml:space="preserve"> PAGE  \* ArabicDash </w:instrText>
    </w:r>
    <w:r>
      <w:rPr>
        <w:rStyle w:val="11"/>
        <w:rFonts w:ascii="宋体" w:hAnsi="宋体" w:eastAsia="宋体"/>
        <w:sz w:val="28"/>
        <w:szCs w:val="28"/>
      </w:rPr>
      <w:fldChar w:fldCharType="separate"/>
    </w:r>
    <w:r>
      <w:rPr>
        <w:rStyle w:val="11"/>
        <w:rFonts w:ascii="宋体" w:hAnsi="宋体" w:eastAsia="宋体"/>
        <w:sz w:val="28"/>
        <w:szCs w:val="28"/>
      </w:rPr>
      <w:t>- 12 -</w:t>
    </w:r>
    <w:r>
      <w:rPr>
        <w:rStyle w:val="11"/>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D057">
    <w:pPr>
      <w:pStyle w:val="7"/>
      <w:pBdr>
        <w:bottom w:val="none" w:color="auto" w:sz="0" w:space="0"/>
      </w:pBdr>
      <w:rPr>
        <w:rFonts w:ascii="Calibri" w:hAnsi="Calibri"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MTA3NmIwYmQyMDdmYTliYjg3NDBiYzcxN2JiMTgifQ=="/>
  </w:docVars>
  <w:rsids>
    <w:rsidRoot w:val="00000000"/>
    <w:rsid w:val="05AEB19F"/>
    <w:rsid w:val="05FF7701"/>
    <w:rsid w:val="127F55D1"/>
    <w:rsid w:val="12D8791E"/>
    <w:rsid w:val="17FFA6B3"/>
    <w:rsid w:val="19DF07B0"/>
    <w:rsid w:val="1A357E20"/>
    <w:rsid w:val="1BBF229D"/>
    <w:rsid w:val="1BFF3B00"/>
    <w:rsid w:val="1DBF54CE"/>
    <w:rsid w:val="1EB98171"/>
    <w:rsid w:val="1FB3A807"/>
    <w:rsid w:val="1FFD20A4"/>
    <w:rsid w:val="1FFF77E3"/>
    <w:rsid w:val="214E5A6A"/>
    <w:rsid w:val="23DDEB6B"/>
    <w:rsid w:val="23EF5320"/>
    <w:rsid w:val="2BEBA423"/>
    <w:rsid w:val="2DEFBBDB"/>
    <w:rsid w:val="2ED23E43"/>
    <w:rsid w:val="2EFF1902"/>
    <w:rsid w:val="2F4F7449"/>
    <w:rsid w:val="2F77DC03"/>
    <w:rsid w:val="2FAF243F"/>
    <w:rsid w:val="2FAFF8C4"/>
    <w:rsid w:val="2FDCFC04"/>
    <w:rsid w:val="30EE8874"/>
    <w:rsid w:val="34DF43F2"/>
    <w:rsid w:val="3575871C"/>
    <w:rsid w:val="35D43C2F"/>
    <w:rsid w:val="35F75398"/>
    <w:rsid w:val="35FD6E71"/>
    <w:rsid w:val="36AF4E02"/>
    <w:rsid w:val="36E4EE39"/>
    <w:rsid w:val="379BD33D"/>
    <w:rsid w:val="37EABD77"/>
    <w:rsid w:val="37EE9A8F"/>
    <w:rsid w:val="39EB5170"/>
    <w:rsid w:val="3B6F34D4"/>
    <w:rsid w:val="3BB60C09"/>
    <w:rsid w:val="3BB9BE27"/>
    <w:rsid w:val="3C3FBBD5"/>
    <w:rsid w:val="3C6BB8A4"/>
    <w:rsid w:val="3D3F730F"/>
    <w:rsid w:val="3D77E8AE"/>
    <w:rsid w:val="3DAF637E"/>
    <w:rsid w:val="3DDC3B09"/>
    <w:rsid w:val="3E7BF6BB"/>
    <w:rsid w:val="3EDE5037"/>
    <w:rsid w:val="3EFF0B82"/>
    <w:rsid w:val="3F7BBC1F"/>
    <w:rsid w:val="3F7F9840"/>
    <w:rsid w:val="3FAFC7AA"/>
    <w:rsid w:val="3FB43027"/>
    <w:rsid w:val="3FDCF38E"/>
    <w:rsid w:val="3FF7BC2D"/>
    <w:rsid w:val="3FFD0288"/>
    <w:rsid w:val="45FB214F"/>
    <w:rsid w:val="46136EA3"/>
    <w:rsid w:val="46F2686C"/>
    <w:rsid w:val="473FCC68"/>
    <w:rsid w:val="47FFAE09"/>
    <w:rsid w:val="4CB606A1"/>
    <w:rsid w:val="4E047438"/>
    <w:rsid w:val="4EE9E1C7"/>
    <w:rsid w:val="4F7F8827"/>
    <w:rsid w:val="4FFC8635"/>
    <w:rsid w:val="53FCC1D6"/>
    <w:rsid w:val="545C1D7C"/>
    <w:rsid w:val="56AD2648"/>
    <w:rsid w:val="56AD4B11"/>
    <w:rsid w:val="57ED3A02"/>
    <w:rsid w:val="57FF16C2"/>
    <w:rsid w:val="59BB1640"/>
    <w:rsid w:val="59F31C32"/>
    <w:rsid w:val="5A3F70CC"/>
    <w:rsid w:val="5A7FD7A9"/>
    <w:rsid w:val="5AD84F3A"/>
    <w:rsid w:val="5B770640"/>
    <w:rsid w:val="5B7DEB5B"/>
    <w:rsid w:val="5B7F7C9C"/>
    <w:rsid w:val="5BBDBC1E"/>
    <w:rsid w:val="5BFF627C"/>
    <w:rsid w:val="5C559D7E"/>
    <w:rsid w:val="5CF75904"/>
    <w:rsid w:val="5D371F33"/>
    <w:rsid w:val="5DBF909A"/>
    <w:rsid w:val="5DCFA2AB"/>
    <w:rsid w:val="5DF3230D"/>
    <w:rsid w:val="5DF7C0A5"/>
    <w:rsid w:val="5E7FD3AB"/>
    <w:rsid w:val="5EDE7170"/>
    <w:rsid w:val="5EF54CCE"/>
    <w:rsid w:val="5EFC4435"/>
    <w:rsid w:val="5EFF42B8"/>
    <w:rsid w:val="5EFFE913"/>
    <w:rsid w:val="5F3A89EC"/>
    <w:rsid w:val="5F4F1956"/>
    <w:rsid w:val="5F584535"/>
    <w:rsid w:val="5F77A39C"/>
    <w:rsid w:val="5FBD362C"/>
    <w:rsid w:val="5FDFCC9B"/>
    <w:rsid w:val="5FEF2261"/>
    <w:rsid w:val="5FFF33E0"/>
    <w:rsid w:val="5FFF4E98"/>
    <w:rsid w:val="60FF594A"/>
    <w:rsid w:val="63391592"/>
    <w:rsid w:val="63BFD95A"/>
    <w:rsid w:val="65DF4460"/>
    <w:rsid w:val="65F4C6E8"/>
    <w:rsid w:val="677FC794"/>
    <w:rsid w:val="67BF1552"/>
    <w:rsid w:val="6AF80F5D"/>
    <w:rsid w:val="6BFF3EF8"/>
    <w:rsid w:val="6CBF1A5D"/>
    <w:rsid w:val="6CFF7387"/>
    <w:rsid w:val="6D7F3A92"/>
    <w:rsid w:val="6D7FCCFF"/>
    <w:rsid w:val="6DBFCA20"/>
    <w:rsid w:val="6DF571F2"/>
    <w:rsid w:val="6DFF2C1C"/>
    <w:rsid w:val="6DFF70C3"/>
    <w:rsid w:val="6DFFF9FA"/>
    <w:rsid w:val="6E4DC56F"/>
    <w:rsid w:val="6EDE34BE"/>
    <w:rsid w:val="6EFF73D7"/>
    <w:rsid w:val="6EFFA789"/>
    <w:rsid w:val="6F1FFAC9"/>
    <w:rsid w:val="6F67879B"/>
    <w:rsid w:val="6F6B68AC"/>
    <w:rsid w:val="6F74D7F9"/>
    <w:rsid w:val="6FBDBBD4"/>
    <w:rsid w:val="6FD1A314"/>
    <w:rsid w:val="6FDDA848"/>
    <w:rsid w:val="6FDF2A37"/>
    <w:rsid w:val="6FE3FD05"/>
    <w:rsid w:val="6FF5A144"/>
    <w:rsid w:val="6FFA06BB"/>
    <w:rsid w:val="6FFD3802"/>
    <w:rsid w:val="6FFE2304"/>
    <w:rsid w:val="6FFE8275"/>
    <w:rsid w:val="6FFFD335"/>
    <w:rsid w:val="71FAA8BD"/>
    <w:rsid w:val="727D1FC2"/>
    <w:rsid w:val="72FFB115"/>
    <w:rsid w:val="735D8FEC"/>
    <w:rsid w:val="73DDD196"/>
    <w:rsid w:val="73DE1AE4"/>
    <w:rsid w:val="73F9E47B"/>
    <w:rsid w:val="74FBBB43"/>
    <w:rsid w:val="7576B30B"/>
    <w:rsid w:val="75ED5D32"/>
    <w:rsid w:val="75F55BE0"/>
    <w:rsid w:val="75FE03F6"/>
    <w:rsid w:val="76F7A915"/>
    <w:rsid w:val="76FED57B"/>
    <w:rsid w:val="776EFB8C"/>
    <w:rsid w:val="777C2A13"/>
    <w:rsid w:val="779D7D2B"/>
    <w:rsid w:val="77B74131"/>
    <w:rsid w:val="77B94078"/>
    <w:rsid w:val="77B9F744"/>
    <w:rsid w:val="77D77F75"/>
    <w:rsid w:val="77DBD3D1"/>
    <w:rsid w:val="77DF7AF8"/>
    <w:rsid w:val="77FC277A"/>
    <w:rsid w:val="77FF9A5F"/>
    <w:rsid w:val="77FFD0F7"/>
    <w:rsid w:val="79F3A4D0"/>
    <w:rsid w:val="79F67DC5"/>
    <w:rsid w:val="7AA11CD2"/>
    <w:rsid w:val="7AB7C916"/>
    <w:rsid w:val="7B256056"/>
    <w:rsid w:val="7B37F9B7"/>
    <w:rsid w:val="7B4FA2D7"/>
    <w:rsid w:val="7B59B16D"/>
    <w:rsid w:val="7B6A582D"/>
    <w:rsid w:val="7B6F5FF0"/>
    <w:rsid w:val="7B770674"/>
    <w:rsid w:val="7B77AA06"/>
    <w:rsid w:val="7B7BDC02"/>
    <w:rsid w:val="7B7FCFFD"/>
    <w:rsid w:val="7BBC7620"/>
    <w:rsid w:val="7BBE8123"/>
    <w:rsid w:val="7BD69CA8"/>
    <w:rsid w:val="7BFF9882"/>
    <w:rsid w:val="7BFFA2C4"/>
    <w:rsid w:val="7CF70E73"/>
    <w:rsid w:val="7CF7F2E0"/>
    <w:rsid w:val="7D7FDD69"/>
    <w:rsid w:val="7DBAE2A9"/>
    <w:rsid w:val="7DBFA94A"/>
    <w:rsid w:val="7DDC8BD8"/>
    <w:rsid w:val="7DDF4577"/>
    <w:rsid w:val="7DFF0766"/>
    <w:rsid w:val="7E1F9B5E"/>
    <w:rsid w:val="7E5F7DEC"/>
    <w:rsid w:val="7E5FC21D"/>
    <w:rsid w:val="7E67FAA1"/>
    <w:rsid w:val="7E949B2B"/>
    <w:rsid w:val="7EB3C27E"/>
    <w:rsid w:val="7EBD43C5"/>
    <w:rsid w:val="7EE7104A"/>
    <w:rsid w:val="7EEBA858"/>
    <w:rsid w:val="7EF4E0B1"/>
    <w:rsid w:val="7EF71E33"/>
    <w:rsid w:val="7EFA042D"/>
    <w:rsid w:val="7EFE597F"/>
    <w:rsid w:val="7F3EB4C5"/>
    <w:rsid w:val="7F4A55CB"/>
    <w:rsid w:val="7F5BFDE7"/>
    <w:rsid w:val="7F66FC24"/>
    <w:rsid w:val="7F671823"/>
    <w:rsid w:val="7F7568FD"/>
    <w:rsid w:val="7F7D58EC"/>
    <w:rsid w:val="7F7DE077"/>
    <w:rsid w:val="7FAA6846"/>
    <w:rsid w:val="7FACD141"/>
    <w:rsid w:val="7FAD6F39"/>
    <w:rsid w:val="7FB31B88"/>
    <w:rsid w:val="7FB698DF"/>
    <w:rsid w:val="7FB9073A"/>
    <w:rsid w:val="7FBED90B"/>
    <w:rsid w:val="7FBFDBB6"/>
    <w:rsid w:val="7FC3F85D"/>
    <w:rsid w:val="7FC64B6F"/>
    <w:rsid w:val="7FCE8F37"/>
    <w:rsid w:val="7FCF4846"/>
    <w:rsid w:val="7FDE7234"/>
    <w:rsid w:val="7FE7A0B5"/>
    <w:rsid w:val="7FEB5A97"/>
    <w:rsid w:val="7FEF57B1"/>
    <w:rsid w:val="7FEFC4F7"/>
    <w:rsid w:val="7FF7A0BA"/>
    <w:rsid w:val="7FF7CA74"/>
    <w:rsid w:val="7FF86ACA"/>
    <w:rsid w:val="7FFCC7B4"/>
    <w:rsid w:val="7FFEB7A8"/>
    <w:rsid w:val="7FFEE4E5"/>
    <w:rsid w:val="7FFF1509"/>
    <w:rsid w:val="7FFF4CB4"/>
    <w:rsid w:val="7FFF594B"/>
    <w:rsid w:val="7FFF9A8E"/>
    <w:rsid w:val="7FFFB7EE"/>
    <w:rsid w:val="857EC5D0"/>
    <w:rsid w:val="85DC7E43"/>
    <w:rsid w:val="873F2367"/>
    <w:rsid w:val="8EAF7FAE"/>
    <w:rsid w:val="8FDFF42B"/>
    <w:rsid w:val="8FFFDDBF"/>
    <w:rsid w:val="957BC989"/>
    <w:rsid w:val="95EA8B84"/>
    <w:rsid w:val="97BF086D"/>
    <w:rsid w:val="9CFF74D7"/>
    <w:rsid w:val="9CFFBBE5"/>
    <w:rsid w:val="9D4B5CFF"/>
    <w:rsid w:val="9DD9583C"/>
    <w:rsid w:val="9EADB8E6"/>
    <w:rsid w:val="9EBFD1F8"/>
    <w:rsid w:val="9F963F0A"/>
    <w:rsid w:val="9FD7CA77"/>
    <w:rsid w:val="9FEBBC16"/>
    <w:rsid w:val="9FEF6AB3"/>
    <w:rsid w:val="9FF6A6F0"/>
    <w:rsid w:val="9FF85F4D"/>
    <w:rsid w:val="9FFFA982"/>
    <w:rsid w:val="A3D7AE3F"/>
    <w:rsid w:val="A3FF31A8"/>
    <w:rsid w:val="A746CE4B"/>
    <w:rsid w:val="A7BF084B"/>
    <w:rsid w:val="AB2F59C6"/>
    <w:rsid w:val="AB3F7257"/>
    <w:rsid w:val="ACEE4F04"/>
    <w:rsid w:val="ADF7630F"/>
    <w:rsid w:val="AEFE9AAE"/>
    <w:rsid w:val="AF6DB22F"/>
    <w:rsid w:val="AF9DBC08"/>
    <w:rsid w:val="AFE57B3B"/>
    <w:rsid w:val="AFF7D420"/>
    <w:rsid w:val="AFFCB1AB"/>
    <w:rsid w:val="AFFF64EA"/>
    <w:rsid w:val="B2AEA0FB"/>
    <w:rsid w:val="B2F19758"/>
    <w:rsid w:val="B35FAC1E"/>
    <w:rsid w:val="B3FC5A77"/>
    <w:rsid w:val="B4FF6FAA"/>
    <w:rsid w:val="B5EF08CD"/>
    <w:rsid w:val="B77793E4"/>
    <w:rsid w:val="B7DE282C"/>
    <w:rsid w:val="B7EF85FB"/>
    <w:rsid w:val="B9D75F96"/>
    <w:rsid w:val="BA7B23C6"/>
    <w:rsid w:val="BAE463A4"/>
    <w:rsid w:val="BB051554"/>
    <w:rsid w:val="BB3C13CE"/>
    <w:rsid w:val="BB3FE931"/>
    <w:rsid w:val="BB93A6BA"/>
    <w:rsid w:val="BBAF9A4E"/>
    <w:rsid w:val="BBBCAADB"/>
    <w:rsid w:val="BCA76E75"/>
    <w:rsid w:val="BD7ABCC1"/>
    <w:rsid w:val="BDBD4362"/>
    <w:rsid w:val="BDEF1A9C"/>
    <w:rsid w:val="BE3BFF63"/>
    <w:rsid w:val="BE6E008B"/>
    <w:rsid w:val="BE85FC10"/>
    <w:rsid w:val="BEABE011"/>
    <w:rsid w:val="BEB7F3FF"/>
    <w:rsid w:val="BF1B8B69"/>
    <w:rsid w:val="BF57D165"/>
    <w:rsid w:val="BF5FCF31"/>
    <w:rsid w:val="BF5FE9F9"/>
    <w:rsid w:val="BFABAD41"/>
    <w:rsid w:val="BFD5611C"/>
    <w:rsid w:val="BFDB5111"/>
    <w:rsid w:val="BFDF2DD9"/>
    <w:rsid w:val="BFEF37D0"/>
    <w:rsid w:val="BFF233C5"/>
    <w:rsid w:val="BFF34109"/>
    <w:rsid w:val="BFF7554A"/>
    <w:rsid w:val="BFFB4051"/>
    <w:rsid w:val="BFFB40E4"/>
    <w:rsid w:val="BFFF6A68"/>
    <w:rsid w:val="C3DE5771"/>
    <w:rsid w:val="C5A93E15"/>
    <w:rsid w:val="CBAAEF23"/>
    <w:rsid w:val="CBFEEA7B"/>
    <w:rsid w:val="CBFF0038"/>
    <w:rsid w:val="CD3EDDE9"/>
    <w:rsid w:val="CE9C11F1"/>
    <w:rsid w:val="CFFFD288"/>
    <w:rsid w:val="D27B9233"/>
    <w:rsid w:val="D3FBCBDE"/>
    <w:rsid w:val="D7FD7CC4"/>
    <w:rsid w:val="D93A91CF"/>
    <w:rsid w:val="D97B4FC9"/>
    <w:rsid w:val="D99D2454"/>
    <w:rsid w:val="D9F7A540"/>
    <w:rsid w:val="D9FA320F"/>
    <w:rsid w:val="DA66B425"/>
    <w:rsid w:val="DA9FC0BD"/>
    <w:rsid w:val="DABFF718"/>
    <w:rsid w:val="DAE19B79"/>
    <w:rsid w:val="DAECB8E0"/>
    <w:rsid w:val="DBF8B1D1"/>
    <w:rsid w:val="DDD7F7A9"/>
    <w:rsid w:val="DDFBAD77"/>
    <w:rsid w:val="DDFFBDCF"/>
    <w:rsid w:val="DE6F93D8"/>
    <w:rsid w:val="DE7DCCA7"/>
    <w:rsid w:val="DE7F4839"/>
    <w:rsid w:val="DE994200"/>
    <w:rsid w:val="DEA5A348"/>
    <w:rsid w:val="DEBF646C"/>
    <w:rsid w:val="DF77D9B6"/>
    <w:rsid w:val="DFA6BB0E"/>
    <w:rsid w:val="DFAA26FA"/>
    <w:rsid w:val="DFB1B9F0"/>
    <w:rsid w:val="DFB26AE8"/>
    <w:rsid w:val="DFBF2929"/>
    <w:rsid w:val="DFBF823C"/>
    <w:rsid w:val="DFCF0943"/>
    <w:rsid w:val="DFD3B853"/>
    <w:rsid w:val="DFEF6E21"/>
    <w:rsid w:val="DFFD2A12"/>
    <w:rsid w:val="DFFF083A"/>
    <w:rsid w:val="E2F7B076"/>
    <w:rsid w:val="E3A8F58C"/>
    <w:rsid w:val="E3BFE9F5"/>
    <w:rsid w:val="E4DFFE83"/>
    <w:rsid w:val="E67E8234"/>
    <w:rsid w:val="E6F63E76"/>
    <w:rsid w:val="E6FDB312"/>
    <w:rsid w:val="E7FFF992"/>
    <w:rsid w:val="EB6AF577"/>
    <w:rsid w:val="EB7F5DE9"/>
    <w:rsid w:val="EBB2D5BC"/>
    <w:rsid w:val="EBBC1555"/>
    <w:rsid w:val="EBE8FCB0"/>
    <w:rsid w:val="ECBD3DE6"/>
    <w:rsid w:val="ED1D61CF"/>
    <w:rsid w:val="EDEEDB63"/>
    <w:rsid w:val="EDF6DEE2"/>
    <w:rsid w:val="EDFD944D"/>
    <w:rsid w:val="EDFFB218"/>
    <w:rsid w:val="EDFFFE27"/>
    <w:rsid w:val="EE375310"/>
    <w:rsid w:val="EE777175"/>
    <w:rsid w:val="EE8F5B20"/>
    <w:rsid w:val="EEF1E17D"/>
    <w:rsid w:val="EEFDBE71"/>
    <w:rsid w:val="EF3F1016"/>
    <w:rsid w:val="EF5BC5F2"/>
    <w:rsid w:val="EF7EC4A3"/>
    <w:rsid w:val="EFA64B70"/>
    <w:rsid w:val="EFAFA66A"/>
    <w:rsid w:val="EFCC6A7C"/>
    <w:rsid w:val="EFD79BC4"/>
    <w:rsid w:val="EFE7D2ED"/>
    <w:rsid w:val="EFEBFEF9"/>
    <w:rsid w:val="EFEF233D"/>
    <w:rsid w:val="EFEF9967"/>
    <w:rsid w:val="EFF3102D"/>
    <w:rsid w:val="EFF7AE90"/>
    <w:rsid w:val="EFFE4C51"/>
    <w:rsid w:val="EFFF382B"/>
    <w:rsid w:val="F1CC7B6E"/>
    <w:rsid w:val="F27BAF2F"/>
    <w:rsid w:val="F3174115"/>
    <w:rsid w:val="F3BCF201"/>
    <w:rsid w:val="F3F72845"/>
    <w:rsid w:val="F3FDE8CD"/>
    <w:rsid w:val="F4DE9460"/>
    <w:rsid w:val="F56BDE0B"/>
    <w:rsid w:val="F59EE87E"/>
    <w:rsid w:val="F5B3BA24"/>
    <w:rsid w:val="F61CDF01"/>
    <w:rsid w:val="F67FA2D1"/>
    <w:rsid w:val="F6DCAD7D"/>
    <w:rsid w:val="F6EE312A"/>
    <w:rsid w:val="F6FDAA2A"/>
    <w:rsid w:val="F77CA909"/>
    <w:rsid w:val="F7D3105A"/>
    <w:rsid w:val="F7FB4CC6"/>
    <w:rsid w:val="F7FDFCC2"/>
    <w:rsid w:val="F8970B89"/>
    <w:rsid w:val="F9DFCF6C"/>
    <w:rsid w:val="F9EF12EE"/>
    <w:rsid w:val="F9FB487F"/>
    <w:rsid w:val="F9FBC241"/>
    <w:rsid w:val="F9FE4F2F"/>
    <w:rsid w:val="F9FE5E06"/>
    <w:rsid w:val="FA3949FB"/>
    <w:rsid w:val="FAF7D69A"/>
    <w:rsid w:val="FAFF7FF9"/>
    <w:rsid w:val="FB5FB356"/>
    <w:rsid w:val="FB7C031B"/>
    <w:rsid w:val="FBAECB33"/>
    <w:rsid w:val="FBBD393E"/>
    <w:rsid w:val="FBDDD1E5"/>
    <w:rsid w:val="FBDF900F"/>
    <w:rsid w:val="FBDFBDE3"/>
    <w:rsid w:val="FBF851ED"/>
    <w:rsid w:val="FBF9F648"/>
    <w:rsid w:val="FBFBA339"/>
    <w:rsid w:val="FBFF74A8"/>
    <w:rsid w:val="FC3BD78F"/>
    <w:rsid w:val="FC3F970F"/>
    <w:rsid w:val="FC3FB693"/>
    <w:rsid w:val="FC5E2F94"/>
    <w:rsid w:val="FC7F8465"/>
    <w:rsid w:val="FCFB7786"/>
    <w:rsid w:val="FD1D9DEB"/>
    <w:rsid w:val="FD338641"/>
    <w:rsid w:val="FD4E378F"/>
    <w:rsid w:val="FD7B30A3"/>
    <w:rsid w:val="FD99D1BF"/>
    <w:rsid w:val="FDDBDE1C"/>
    <w:rsid w:val="FDEBA54B"/>
    <w:rsid w:val="FDFF3D16"/>
    <w:rsid w:val="FDFF5EA6"/>
    <w:rsid w:val="FDFF838F"/>
    <w:rsid w:val="FDFFC706"/>
    <w:rsid w:val="FE5B6D82"/>
    <w:rsid w:val="FE5FA87D"/>
    <w:rsid w:val="FE734873"/>
    <w:rsid w:val="FE736891"/>
    <w:rsid w:val="FEBE0B79"/>
    <w:rsid w:val="FEE62BEE"/>
    <w:rsid w:val="FEF57A52"/>
    <w:rsid w:val="FEFB92C1"/>
    <w:rsid w:val="FEFDD27F"/>
    <w:rsid w:val="FEFFC2A2"/>
    <w:rsid w:val="FEFFDE5F"/>
    <w:rsid w:val="FF178FB2"/>
    <w:rsid w:val="FF2A5B36"/>
    <w:rsid w:val="FF46A45C"/>
    <w:rsid w:val="FF6B55EC"/>
    <w:rsid w:val="FF6EA058"/>
    <w:rsid w:val="FF6F8DD8"/>
    <w:rsid w:val="FF7DBA31"/>
    <w:rsid w:val="FF7F609A"/>
    <w:rsid w:val="FF7F9C8A"/>
    <w:rsid w:val="FF8C18F7"/>
    <w:rsid w:val="FF9F3EAE"/>
    <w:rsid w:val="FFAE8DD4"/>
    <w:rsid w:val="FFB55D1D"/>
    <w:rsid w:val="FFB711B9"/>
    <w:rsid w:val="FFBD9140"/>
    <w:rsid w:val="FFBF1901"/>
    <w:rsid w:val="FFCECAC0"/>
    <w:rsid w:val="FFD778FE"/>
    <w:rsid w:val="FFDFA4D6"/>
    <w:rsid w:val="FFDFFDC8"/>
    <w:rsid w:val="FFEDDA11"/>
    <w:rsid w:val="FFF955A8"/>
    <w:rsid w:val="FFF9E050"/>
    <w:rsid w:val="FFFB58C3"/>
    <w:rsid w:val="FFFC70D0"/>
    <w:rsid w:val="FFFF2BD9"/>
    <w:rsid w:val="FFFFDD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b/>
      <w:bCs/>
      <w:kern w:val="0"/>
      <w:sz w:val="36"/>
      <w:szCs w:val="36"/>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overflowPunct w:val="0"/>
      <w:spacing w:before="0" w:line="540" w:lineRule="exact"/>
      <w:ind w:firstLine="880" w:firstLineChars="200"/>
    </w:pPr>
    <w:rPr>
      <w:rFonts w:eastAsia="仿宋"/>
      <w:sz w:val="32"/>
    </w:rPr>
  </w:style>
  <w:style w:type="paragraph" w:styleId="4">
    <w:name w:val="Body Text Indent"/>
    <w:basedOn w:val="1"/>
    <w:qFormat/>
    <w:uiPriority w:val="0"/>
    <w:pPr>
      <w:ind w:right="26" w:firstLine="540"/>
    </w:pPr>
  </w:style>
  <w:style w:type="paragraph" w:styleId="5">
    <w:name w:val="Balloon Text"/>
    <w:basedOn w:val="1"/>
    <w:link w:val="1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semiHidden/>
    <w:unhideWhenUsed/>
    <w:qFormat/>
    <w:uiPriority w:val="99"/>
  </w:style>
  <w:style w:type="character" w:customStyle="1" w:styleId="12">
    <w:name w:val="批注框文本 Char"/>
    <w:basedOn w:val="10"/>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温州市中级人民法院</Company>
  <Pages>11</Pages>
  <Words>4494</Words>
  <Characters>4711</Characters>
  <Lines>6</Lines>
  <Paragraphs>18</Paragraphs>
  <TotalTime>18</TotalTime>
  <ScaleCrop>false</ScaleCrop>
  <LinksUpToDate>false</LinksUpToDate>
  <CharactersWithSpaces>4780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2022-10-18T08:41:00Z</dcterms:created>
  <dc:creator>LION COOKIE</dc:creator>
  <cp:lastModifiedBy>钱程</cp:lastModifiedBy>
  <cp:lastPrinted>2024-02-05T00:49:00Z</cp:lastPrinted>
  <dcterms:modified xsi:type="dcterms:W3CDTF">2026-04-13T06:42:29Z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9B044D371BA3DE1B9A77D769D3EDF507</vt:lpwstr>
  </property>
  <property fmtid="{D5CDD505-2E9C-101B-9397-08002B2CF9AE}" pid="4" name="KSOTemplateDocerSaveRecord">
    <vt:lpwstr>eyJoZGlkIjoiOTE5YjdiODg1NTY2ZDFiNmYzMjZiZjRmMWUwN2M5ODkiLCJ1c2VySWQiOiIxNDg1MjM4OTI5In0=</vt:lpwstr>
  </property>
</Properties>
</file>