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324DF">
      <w:pPr>
        <w:spacing w:after="624" w:afterLines="200" w:line="600" w:lineRule="exact"/>
        <w:jc w:val="center"/>
        <w:rPr>
          <w:rFonts w:ascii="宋体" w:hAnsi="宋体"/>
          <w:color w:val="auto"/>
          <w:sz w:val="44"/>
        </w:rPr>
      </w:pPr>
      <w:r>
        <w:rPr>
          <w:rFonts w:hint="eastAsia" w:ascii="宋体" w:hAnsi="宋体"/>
          <w:color w:val="auto"/>
          <w:sz w:val="44"/>
        </w:rPr>
        <w:t>湖北省南漳县人民法院</w:t>
      </w:r>
    </w:p>
    <w:p w14:paraId="0DE4663D">
      <w:pPr>
        <w:spacing w:after="312" w:afterLines="100" w:line="600" w:lineRule="exact"/>
        <w:jc w:val="center"/>
        <w:rPr>
          <w:b/>
          <w:color w:val="auto"/>
          <w:kern w:val="0"/>
          <w:sz w:val="52"/>
        </w:rPr>
      </w:pPr>
      <w:r>
        <w:rPr>
          <w:rFonts w:hint="eastAsia"/>
          <w:b/>
          <w:color w:val="auto"/>
          <w:kern w:val="0"/>
          <w:sz w:val="52"/>
        </w:rPr>
        <w:t>民事判决书</w:t>
      </w:r>
    </w:p>
    <w:p w14:paraId="2CDB9429">
      <w:pPr>
        <w:wordWrap w:val="0"/>
        <w:spacing w:after="312" w:afterLines="100" w:line="600" w:lineRule="exact"/>
        <w:ind w:right="420" w:rightChars="200"/>
        <w:jc w:val="right"/>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（2025）鄂0624知民初1148号 </w:t>
      </w:r>
    </w:p>
    <w:p w14:paraId="6C914631">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原告：湖北</w:t>
      </w:r>
      <w:r>
        <w:rPr>
          <w:rFonts w:hint="eastAsia" w:ascii="仿宋_GB2312" w:hAnsi="仿宋" w:eastAsia="仿宋_GB2312"/>
          <w:color w:val="auto"/>
          <w:sz w:val="32"/>
          <w:szCs w:val="32"/>
          <w:lang w:eastAsia="zh-CN"/>
        </w:rPr>
        <w:t>某某某</w:t>
      </w:r>
      <w:r>
        <w:rPr>
          <w:rFonts w:hint="eastAsia" w:ascii="仿宋_GB2312" w:hAnsi="仿宋" w:eastAsia="仿宋_GB2312"/>
          <w:color w:val="auto"/>
          <w:sz w:val="32"/>
          <w:szCs w:val="32"/>
        </w:rPr>
        <w:t>酒业股份有限公司，住所地：湖北省松滋市。</w:t>
      </w:r>
    </w:p>
    <w:p w14:paraId="68E198EF">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ascii="仿宋_GB2312" w:hAnsi="仿宋" w:eastAsia="仿宋_GB2312"/>
          <w:color w:val="auto"/>
          <w:sz w:val="32"/>
          <w:szCs w:val="32"/>
        </w:rPr>
      </w:pPr>
      <w:r>
        <w:rPr>
          <w:rFonts w:hint="eastAsia" w:ascii="仿宋_GB2312" w:hAnsi="仿宋" w:eastAsia="仿宋_GB2312"/>
          <w:color w:val="auto"/>
          <w:sz w:val="32"/>
          <w:szCs w:val="32"/>
        </w:rPr>
        <w:t>法定代表人：梅</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，该公司董事长。</w:t>
      </w:r>
    </w:p>
    <w:p w14:paraId="24E62E7E">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ascii="仿宋_GB2312" w:hAnsi="仿宋" w:eastAsia="仿宋_GB2312"/>
          <w:color w:val="auto"/>
          <w:sz w:val="32"/>
          <w:szCs w:val="32"/>
        </w:rPr>
      </w:pPr>
      <w:r>
        <w:rPr>
          <w:rFonts w:hint="eastAsia" w:ascii="仿宋_GB2312" w:hAnsi="仿宋" w:eastAsia="仿宋_GB2312"/>
          <w:color w:val="auto"/>
          <w:sz w:val="32"/>
          <w:szCs w:val="32"/>
        </w:rPr>
        <w:t>委托诉讼代理人：钱冠宇、李星，河南英基律师事务所律师。</w:t>
      </w:r>
    </w:p>
    <w:p w14:paraId="01F6A342">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被告：</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，男，汉族，1979年10月6日出生，住湖北省谷城县石花镇。</w:t>
      </w:r>
    </w:p>
    <w:p w14:paraId="37CD7E29">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ascii="仿宋_GB2312" w:hAnsi="仿宋" w:eastAsia="仿宋_GB2312"/>
          <w:color w:val="FF0000"/>
          <w:sz w:val="32"/>
          <w:szCs w:val="32"/>
        </w:rPr>
      </w:pPr>
      <w:r>
        <w:rPr>
          <w:rFonts w:hint="eastAsia" w:ascii="仿宋_GB2312" w:hAnsi="仿宋" w:eastAsia="仿宋_GB2312"/>
          <w:color w:val="auto"/>
          <w:sz w:val="32"/>
          <w:szCs w:val="32"/>
        </w:rPr>
        <w:t>原告湖北</w:t>
      </w:r>
      <w:r>
        <w:rPr>
          <w:rFonts w:hint="eastAsia" w:ascii="仿宋_GB2312" w:hAnsi="仿宋" w:eastAsia="仿宋_GB2312"/>
          <w:color w:val="auto"/>
          <w:sz w:val="32"/>
          <w:szCs w:val="32"/>
          <w:lang w:eastAsia="zh-CN"/>
        </w:rPr>
        <w:t>某某某</w:t>
      </w:r>
      <w:r>
        <w:rPr>
          <w:rFonts w:hint="eastAsia" w:ascii="仿宋_GB2312" w:hAnsi="仿宋" w:eastAsia="仿宋_GB2312"/>
          <w:color w:val="auto"/>
          <w:sz w:val="32"/>
          <w:szCs w:val="32"/>
        </w:rPr>
        <w:t>酒业股份有限公司（以下简称白</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边公司）与</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侵害商标权纠纷一案，本院于2025年9月1日立案后，依法适用简易程序于2025年10月15日公开开庭审理了本案。</w:t>
      </w:r>
      <w:r>
        <w:rPr>
          <w:rFonts w:hint="eastAsia" w:ascii="仿宋_GB2312" w:hAnsi="仿宋" w:eastAsia="仿宋_GB2312"/>
          <w:bCs/>
          <w:color w:val="auto"/>
          <w:sz w:val="32"/>
          <w:szCs w:val="32"/>
        </w:rPr>
        <w:t>经审理发现有不宜适用简易程序的情形，裁定转为普通程序，</w:t>
      </w:r>
      <w:r>
        <w:rPr>
          <w:rFonts w:hint="eastAsia" w:ascii="仿宋_GB2312" w:hAnsi="仿宋" w:eastAsia="仿宋_GB2312"/>
          <w:color w:val="auto"/>
          <w:sz w:val="32"/>
        </w:rPr>
        <w:t>于2025年12月22日再次公开开庭审理了本案。</w:t>
      </w:r>
      <w:r>
        <w:rPr>
          <w:rFonts w:hint="eastAsia" w:ascii="仿宋_GB2312" w:hAnsi="仿宋" w:eastAsia="仿宋_GB2312"/>
          <w:color w:val="auto"/>
          <w:sz w:val="32"/>
          <w:lang w:eastAsia="zh-CN"/>
        </w:rPr>
        <w:t>原告</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公司的委托诉讼代理人钱冠宇、</w:t>
      </w:r>
      <w:r>
        <w:rPr>
          <w:rFonts w:hint="eastAsia" w:ascii="仿宋_GB2312" w:hAnsi="仿宋" w:eastAsia="仿宋_GB2312"/>
          <w:color w:val="auto"/>
          <w:sz w:val="32"/>
          <w:szCs w:val="32"/>
          <w:lang w:eastAsia="zh-CN"/>
        </w:rPr>
        <w:t>被告李某甲</w:t>
      </w:r>
      <w:r>
        <w:rPr>
          <w:rFonts w:hint="eastAsia" w:ascii="仿宋_GB2312" w:hAnsi="仿宋" w:eastAsia="仿宋_GB2312" w:cs="仿宋_GB2312"/>
          <w:color w:val="auto"/>
          <w:sz w:val="32"/>
          <w:szCs w:val="32"/>
        </w:rPr>
        <w:t>到庭</w:t>
      </w:r>
      <w:r>
        <w:rPr>
          <w:rFonts w:hint="eastAsia" w:ascii="仿宋_GB2312" w:eastAsia="仿宋_GB2312"/>
          <w:color w:val="auto"/>
          <w:sz w:val="32"/>
          <w:szCs w:val="32"/>
        </w:rPr>
        <w:t>参加诉讼。本案现已审理终结。</w:t>
      </w:r>
    </w:p>
    <w:p w14:paraId="7D22AE47">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向本院提出诉讼请求：1.判令被告立即停止侵害原告第5576721号注册商标专用权的行为；2.判令被告赔偿原告经济损失及合理开支共计150000元；3.本案的全部诉讼费用由被告承担。事实与理由：2009年6月28日，</w:t>
      </w:r>
      <w:r>
        <w:rPr>
          <w:rFonts w:hint="eastAsia" w:ascii="仿宋_GB2312" w:hAnsi="仿宋" w:eastAsia="仿宋_GB2312"/>
          <w:color w:val="auto"/>
          <w:sz w:val="32"/>
          <w:szCs w:val="32"/>
          <w:lang w:eastAsia="zh-CN"/>
        </w:rPr>
        <w:t>松滋市某有限公司</w:t>
      </w:r>
      <w:r>
        <w:rPr>
          <w:rFonts w:hint="eastAsia" w:ascii="仿宋_GB2312" w:hAnsi="仿宋" w:eastAsia="仿宋_GB2312"/>
          <w:color w:val="auto"/>
          <w:sz w:val="32"/>
          <w:szCs w:val="32"/>
        </w:rPr>
        <w:t>申请注册第5576721号商标，该商标核定使用商品为第33类：酒（饮料）；酒精饮料（啤酒除外）。经续展，上述商标现在有效期内。经</w:t>
      </w:r>
      <w:r>
        <w:rPr>
          <w:rFonts w:hint="eastAsia" w:ascii="仿宋_GB2312" w:hAnsi="仿宋" w:eastAsia="仿宋_GB2312"/>
          <w:color w:val="auto"/>
          <w:sz w:val="32"/>
          <w:szCs w:val="32"/>
          <w:lang w:eastAsia="zh-CN"/>
        </w:rPr>
        <w:t>松滋市某有限公司</w:t>
      </w:r>
      <w:r>
        <w:rPr>
          <w:rFonts w:hint="eastAsia" w:ascii="仿宋_GB2312" w:hAnsi="仿宋" w:eastAsia="仿宋_GB2312"/>
          <w:color w:val="auto"/>
          <w:sz w:val="32"/>
          <w:szCs w:val="32"/>
        </w:rPr>
        <w:t>授权，原告有权合法使用第5576721号注册商标，并有权以自己的名义对侵害该注册商标的行为向人民法院提起民事诉讼。“</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”品牌白酒拥有较高的知名度和美誉度，早在1979年、1984年、1989年就连续蝉联全国白酒质量评比银质奖。1991年10月，</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酒以其“芳香优雅，酱浓协调，绵厚甜爽，圆润怡长”的独特风格被轻工部确定为全国浓酱兼香型白酒的典型代表。2019年，“</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”酿造地湖北松滋被中国</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协会授予“世界美酒特色产区”称号。2020年，</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品牌价值入选“中国500最具价值品牌”榜单。根据生效刑事判决书查明的事实：2021年3月至2023年3月，</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低价购进价值161750元的假冒注册商标白酒并对外销售。2024年12月5日，襄阳高新技术产业开发区人民法院作出（2023）鄂0691刑初299号刑事判决书，认定</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犯销售假冒注册商标的商品罪，对其宣告缓刑。被告长期销售假冒</w:t>
      </w:r>
      <w:r>
        <w:rPr>
          <w:rFonts w:hint="eastAsia" w:ascii="仿宋_GB2312" w:hAnsi="仿宋" w:eastAsia="仿宋_GB2312"/>
          <w:color w:val="auto"/>
          <w:sz w:val="32"/>
          <w:szCs w:val="32"/>
          <w:lang w:eastAsia="zh-CN"/>
        </w:rPr>
        <w:t>白某边系列酒</w:t>
      </w:r>
      <w:r>
        <w:rPr>
          <w:rFonts w:hint="eastAsia" w:ascii="仿宋_GB2312" w:hAnsi="仿宋" w:eastAsia="仿宋_GB2312"/>
          <w:color w:val="auto"/>
          <w:sz w:val="32"/>
          <w:szCs w:val="32"/>
        </w:rPr>
        <w:t>的行为，不仅触犯了我国刑法的相关规定，同时也严重侵害了原告的注册商标专用权，给原告造成了极大的损失，请求适用惩罚性赔偿，判令被告承担民事责任。</w:t>
      </w:r>
    </w:p>
    <w:p w14:paraId="49278F33">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ascii="仿宋_GB2312" w:hAnsi="仿宋" w:eastAsia="仿宋_GB2312"/>
          <w:color w:val="auto"/>
          <w:sz w:val="32"/>
          <w:szCs w:val="32"/>
        </w:rPr>
      </w:pP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辩称</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1.本人因侵权已受到刑事处罚，公安机关也进行了罚款；2.原告诉请赔偿15万元金额过高，目前本人没有工作，无力赔偿；3.2021年开始从</w:t>
      </w:r>
      <w:r>
        <w:rPr>
          <w:rFonts w:hint="eastAsia" w:ascii="仿宋_GB2312" w:hAnsi="仿宋" w:eastAsia="仿宋_GB2312"/>
          <w:color w:val="auto"/>
          <w:sz w:val="32"/>
          <w:szCs w:val="32"/>
          <w:lang w:eastAsia="zh-CN"/>
        </w:rPr>
        <w:t>谭某某</w:t>
      </w:r>
      <w:r>
        <w:rPr>
          <w:rFonts w:hint="eastAsia" w:ascii="仿宋_GB2312" w:hAnsi="仿宋" w:eastAsia="仿宋_GB2312"/>
          <w:color w:val="auto"/>
          <w:sz w:val="32"/>
          <w:szCs w:val="32"/>
        </w:rPr>
        <w:t>处进酒，</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12年系列酒进价300元</w:t>
      </w:r>
      <w:r>
        <w:rPr>
          <w:rFonts w:hint="eastAsia" w:ascii="仿宋_GB2312" w:hAnsi="仿宋" w:eastAsia="仿宋_GB2312"/>
          <w:color w:val="auto"/>
          <w:sz w:val="32"/>
          <w:szCs w:val="32"/>
          <w:lang w:eastAsia="zh-CN"/>
        </w:rPr>
        <w:t>一</w:t>
      </w:r>
      <w:r>
        <w:rPr>
          <w:rFonts w:hint="eastAsia" w:ascii="仿宋_GB2312" w:hAnsi="仿宋" w:eastAsia="仿宋_GB2312"/>
          <w:color w:val="auto"/>
          <w:sz w:val="32"/>
          <w:szCs w:val="32"/>
        </w:rPr>
        <w:t>箱，售价480元</w:t>
      </w:r>
      <w:r>
        <w:rPr>
          <w:rFonts w:hint="eastAsia" w:ascii="仿宋_GB2312" w:hAnsi="仿宋" w:eastAsia="仿宋_GB2312"/>
          <w:color w:val="auto"/>
          <w:sz w:val="32"/>
          <w:szCs w:val="32"/>
          <w:lang w:eastAsia="zh-CN"/>
        </w:rPr>
        <w:t>一</w:t>
      </w:r>
      <w:r>
        <w:rPr>
          <w:rFonts w:hint="eastAsia" w:ascii="仿宋_GB2312" w:hAnsi="仿宋" w:eastAsia="仿宋_GB2312"/>
          <w:color w:val="auto"/>
          <w:sz w:val="32"/>
          <w:szCs w:val="32"/>
        </w:rPr>
        <w:t>箱。</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15年系列酒进价400元</w:t>
      </w:r>
      <w:r>
        <w:rPr>
          <w:rFonts w:hint="eastAsia" w:ascii="仿宋_GB2312" w:hAnsi="仿宋" w:eastAsia="仿宋_GB2312"/>
          <w:color w:val="auto"/>
          <w:sz w:val="32"/>
          <w:szCs w:val="32"/>
          <w:lang w:eastAsia="zh-CN"/>
        </w:rPr>
        <w:t>一</w:t>
      </w:r>
      <w:r>
        <w:rPr>
          <w:rFonts w:hint="eastAsia" w:ascii="仿宋_GB2312" w:hAnsi="仿宋" w:eastAsia="仿宋_GB2312"/>
          <w:color w:val="auto"/>
          <w:sz w:val="32"/>
          <w:szCs w:val="32"/>
        </w:rPr>
        <w:t>箱，售价700元</w:t>
      </w:r>
      <w:r>
        <w:rPr>
          <w:rFonts w:hint="eastAsia" w:ascii="仿宋_GB2312" w:hAnsi="仿宋" w:eastAsia="仿宋_GB2312"/>
          <w:color w:val="auto"/>
          <w:sz w:val="32"/>
          <w:szCs w:val="32"/>
          <w:lang w:eastAsia="zh-CN"/>
        </w:rPr>
        <w:t>一</w:t>
      </w:r>
      <w:r>
        <w:rPr>
          <w:rFonts w:hint="eastAsia" w:ascii="仿宋_GB2312" w:hAnsi="仿宋" w:eastAsia="仿宋_GB2312"/>
          <w:color w:val="auto"/>
          <w:sz w:val="32"/>
          <w:szCs w:val="32"/>
        </w:rPr>
        <w:t>箱。截</w:t>
      </w:r>
      <w:r>
        <w:rPr>
          <w:rFonts w:hint="eastAsia" w:ascii="仿宋_GB2312" w:hAnsi="仿宋" w:eastAsia="仿宋_GB2312"/>
          <w:color w:val="auto"/>
          <w:sz w:val="32"/>
          <w:szCs w:val="32"/>
          <w:lang w:eastAsia="zh-CN"/>
        </w:rPr>
        <w:t>止至</w:t>
      </w:r>
      <w:r>
        <w:rPr>
          <w:rFonts w:hint="eastAsia" w:ascii="仿宋_GB2312" w:hAnsi="仿宋" w:eastAsia="仿宋_GB2312"/>
          <w:color w:val="auto"/>
          <w:sz w:val="32"/>
          <w:szCs w:val="32"/>
        </w:rPr>
        <w:t>2023年，</w:t>
      </w:r>
      <w:r>
        <w:rPr>
          <w:rFonts w:hint="eastAsia" w:ascii="仿宋_GB2312" w:hAnsi="仿宋" w:eastAsia="仿宋_GB2312"/>
          <w:color w:val="auto"/>
          <w:sz w:val="32"/>
          <w:szCs w:val="32"/>
          <w:lang w:eastAsia="zh-CN"/>
        </w:rPr>
        <w:t>售卖白某边酒</w:t>
      </w:r>
      <w:r>
        <w:rPr>
          <w:rFonts w:hint="eastAsia" w:ascii="仿宋_GB2312" w:hAnsi="仿宋" w:eastAsia="仿宋_GB2312"/>
          <w:color w:val="auto"/>
          <w:sz w:val="32"/>
          <w:szCs w:val="32"/>
        </w:rPr>
        <w:t>真正获利</w:t>
      </w:r>
      <w:r>
        <w:rPr>
          <w:rFonts w:hint="eastAsia" w:ascii="仿宋_GB2312" w:hAnsi="仿宋" w:eastAsia="仿宋_GB2312"/>
          <w:color w:val="auto"/>
          <w:sz w:val="32"/>
          <w:szCs w:val="32"/>
          <w:lang w:eastAsia="zh-CN"/>
        </w:rPr>
        <w:t>只有</w:t>
      </w:r>
      <w:r>
        <w:rPr>
          <w:rFonts w:hint="eastAsia" w:ascii="仿宋_GB2312" w:hAnsi="仿宋" w:eastAsia="仿宋_GB2312"/>
          <w:color w:val="auto"/>
          <w:sz w:val="32"/>
          <w:szCs w:val="32"/>
        </w:rPr>
        <w:t>38箱，剩余酒都是在自己家过事和家人亲戚朋友过事时饮用，给亲戚朋友是按成本价，并未获利；4.2021年行政处罚没收的石花假酒系从</w:t>
      </w:r>
      <w:r>
        <w:rPr>
          <w:rFonts w:hint="eastAsia" w:ascii="仿宋_GB2312" w:hAnsi="仿宋" w:eastAsia="仿宋_GB2312"/>
          <w:color w:val="auto"/>
          <w:sz w:val="32"/>
          <w:szCs w:val="32"/>
          <w:lang w:eastAsia="zh-CN"/>
        </w:rPr>
        <w:t>谭某某</w:t>
      </w:r>
      <w:r>
        <w:rPr>
          <w:rFonts w:hint="eastAsia" w:ascii="仿宋_GB2312" w:hAnsi="仿宋" w:eastAsia="仿宋_GB2312"/>
          <w:color w:val="auto"/>
          <w:sz w:val="32"/>
          <w:szCs w:val="32"/>
        </w:rPr>
        <w:t>处购得，此次罚款最后是由</w:t>
      </w:r>
      <w:r>
        <w:rPr>
          <w:rFonts w:hint="eastAsia" w:ascii="仿宋_GB2312" w:hAnsi="仿宋" w:eastAsia="仿宋_GB2312"/>
          <w:color w:val="auto"/>
          <w:sz w:val="32"/>
          <w:szCs w:val="32"/>
          <w:lang w:eastAsia="zh-CN"/>
        </w:rPr>
        <w:t>谭某某</w:t>
      </w:r>
      <w:r>
        <w:rPr>
          <w:rFonts w:hint="eastAsia" w:ascii="仿宋_GB2312" w:hAnsi="仿宋" w:eastAsia="仿宋_GB2312"/>
          <w:color w:val="auto"/>
          <w:sz w:val="32"/>
          <w:szCs w:val="32"/>
        </w:rPr>
        <w:t>负担的。</w:t>
      </w:r>
    </w:p>
    <w:p w14:paraId="5CE054BC">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ascii="仿宋_GB2312" w:hAnsi="仿宋" w:eastAsia="仿宋_GB2312"/>
          <w:color w:val="auto"/>
          <w:sz w:val="32"/>
          <w:szCs w:val="32"/>
        </w:rPr>
      </w:pPr>
      <w:r>
        <w:rPr>
          <w:rFonts w:hint="eastAsia" w:ascii="仿宋_GB2312" w:hAnsi="仿宋" w:eastAsia="仿宋_GB2312"/>
          <w:color w:val="auto"/>
          <w:sz w:val="32"/>
          <w:szCs w:val="32"/>
        </w:rPr>
        <w:t>本院</w:t>
      </w:r>
      <w:r>
        <w:rPr>
          <w:rFonts w:hint="eastAsia" w:ascii="仿宋_GB2312" w:hAnsi="仿宋_GB2312" w:eastAsia="仿宋_GB2312" w:cs="仿宋_GB2312"/>
          <w:color w:val="auto"/>
          <w:sz w:val="32"/>
          <w:szCs w:val="32"/>
        </w:rPr>
        <w:t>经审理</w:t>
      </w:r>
      <w:r>
        <w:rPr>
          <w:rFonts w:hint="eastAsia" w:ascii="仿宋_GB2312" w:hAnsi="仿宋" w:eastAsia="仿宋_GB2312"/>
          <w:color w:val="auto"/>
          <w:sz w:val="32"/>
          <w:szCs w:val="32"/>
        </w:rPr>
        <w:t>认定事实如下：</w:t>
      </w:r>
    </w:p>
    <w:p w14:paraId="76A81A79">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（一）商标权属情况</w:t>
      </w:r>
    </w:p>
    <w:p w14:paraId="29E73EDF">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eastAsia="仿宋_GB2312"/>
          <w:color w:val="auto"/>
          <w:sz w:val="32"/>
          <w:szCs w:val="32"/>
        </w:rPr>
        <w:t xml:space="preserve"> 2009年6月28日，</w:t>
      </w:r>
      <w:r>
        <w:rPr>
          <w:rFonts w:hint="eastAsia" w:ascii="仿宋_GB2312" w:hAnsi="仿宋" w:eastAsia="仿宋_GB2312"/>
          <w:color w:val="auto"/>
          <w:sz w:val="32"/>
          <w:szCs w:val="32"/>
        </w:rPr>
        <w:t>松滋市</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有限公司经核准取得第5576721号商标，核定使用商品第33类：酒（饮料）、酒精饮料（啤酒除外），有效期限经续展至2029年6月27日。</w:t>
      </w:r>
    </w:p>
    <w:p w14:paraId="70CF90C5">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color w:val="auto"/>
          <w:sz w:val="32"/>
        </w:rPr>
      </w:pPr>
      <w:r>
        <w:rPr>
          <w:rFonts w:hint="eastAsia" w:ascii="仿宋_GB2312" w:hAnsi="仿宋" w:eastAsia="仿宋_GB2312"/>
          <w:color w:val="auto"/>
          <w:sz w:val="32"/>
          <w:szCs w:val="32"/>
        </w:rPr>
        <w:t>2022年2月1日，松滋市</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有限公司出具《授权书》，授权</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普通许可使用第5576721号注册商标，许可期间自2019年6月28日至2029年6月27日，并</w:t>
      </w:r>
      <w:r>
        <w:rPr>
          <w:rFonts w:hint="eastAsia" w:ascii="仿宋_GB2312" w:hAnsi="仿宋_GB2312" w:eastAsia="仿宋_GB2312" w:cs="仿宋_GB2312"/>
          <w:color w:val="auto"/>
          <w:sz w:val="32"/>
        </w:rPr>
        <w:t>委托</w:t>
      </w:r>
      <w:r>
        <w:rPr>
          <w:rFonts w:hint="eastAsia" w:ascii="仿宋_GB2312" w:hAnsi="仿宋_GB2312" w:eastAsia="仿宋_GB2312" w:cs="仿宋_GB2312"/>
          <w:color w:val="auto"/>
          <w:sz w:val="32"/>
          <w:lang w:eastAsia="zh-CN"/>
        </w:rPr>
        <w:t>白某边公司</w:t>
      </w:r>
      <w:r>
        <w:rPr>
          <w:rFonts w:hint="eastAsia" w:ascii="仿宋_GB2312" w:hAnsi="仿宋_GB2312" w:eastAsia="仿宋_GB2312" w:cs="仿宋_GB2312"/>
          <w:color w:val="auto"/>
          <w:sz w:val="32"/>
        </w:rPr>
        <w:t>以自己的名义，对全国各地市场上侵害委托人第5576721号注册商标专用权的违法行为向法院提起民事诉讼、收取案件的赔偿款、和解款、执行款、申请强制执行、向公证机关申请证据保全等。</w:t>
      </w:r>
    </w:p>
    <w:p w14:paraId="403D53AC">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color w:val="auto"/>
          <w:sz w:val="32"/>
        </w:rPr>
      </w:pPr>
      <w:r>
        <w:rPr>
          <w:rFonts w:hint="eastAsia" w:ascii="仿宋_GB2312" w:hAnsi="仿宋_GB2312" w:eastAsia="仿宋_GB2312" w:cs="仿宋_GB2312"/>
          <w:color w:val="auto"/>
          <w:sz w:val="32"/>
        </w:rPr>
        <w:t>经过多年的宣传与使用，案涉商标获得较高的知名度和美誉度。2006年4月29日，“</w:t>
      </w:r>
      <w:r>
        <w:rPr>
          <w:rFonts w:hint="eastAsia" w:ascii="仿宋_GB2312" w:hAnsi="仿宋_GB2312" w:eastAsia="仿宋_GB2312" w:cs="仿宋_GB2312"/>
          <w:color w:val="auto"/>
          <w:sz w:val="32"/>
          <w:lang w:eastAsia="zh-CN"/>
        </w:rPr>
        <w:t>白某边</w:t>
      </w:r>
      <w:r>
        <w:rPr>
          <w:rFonts w:hint="eastAsia" w:ascii="仿宋_GB2312" w:hAnsi="仿宋_GB2312" w:eastAsia="仿宋_GB2312" w:cs="仿宋_GB2312"/>
          <w:color w:val="auto"/>
          <w:sz w:val="32"/>
        </w:rPr>
        <w:t>酒”被授予“中国白酒工业十大竞争力品牌”荣誉称号；2006年10月，</w:t>
      </w:r>
      <w:r>
        <w:rPr>
          <w:rFonts w:hint="eastAsia" w:ascii="仿宋_GB2312" w:hAnsi="仿宋_GB2312" w:eastAsia="仿宋_GB2312" w:cs="仿宋_GB2312"/>
          <w:color w:val="auto"/>
          <w:sz w:val="32"/>
          <w:lang w:eastAsia="zh-CN"/>
        </w:rPr>
        <w:t>白某边公司</w:t>
      </w:r>
      <w:r>
        <w:rPr>
          <w:rFonts w:hint="eastAsia" w:ascii="仿宋_GB2312" w:hAnsi="仿宋_GB2312" w:eastAsia="仿宋_GB2312" w:cs="仿宋_GB2312"/>
          <w:color w:val="auto"/>
          <w:sz w:val="32"/>
        </w:rPr>
        <w:t>生产的兼香型</w:t>
      </w:r>
      <w:r>
        <w:rPr>
          <w:rFonts w:hint="eastAsia" w:ascii="仿宋_GB2312" w:hAnsi="仿宋_GB2312" w:eastAsia="仿宋_GB2312" w:cs="仿宋_GB2312"/>
          <w:color w:val="auto"/>
          <w:sz w:val="32"/>
          <w:lang w:eastAsia="zh-CN"/>
        </w:rPr>
        <w:t>白某边</w:t>
      </w:r>
      <w:r>
        <w:rPr>
          <w:rFonts w:hint="eastAsia" w:ascii="仿宋_GB2312" w:hAnsi="仿宋_GB2312" w:eastAsia="仿宋_GB2312" w:cs="仿宋_GB2312"/>
          <w:color w:val="auto"/>
          <w:sz w:val="32"/>
        </w:rPr>
        <w:t>酒被认定为中国白酒兼香型代表</w:t>
      </w:r>
      <w:r>
        <w:rPr>
          <w:rFonts w:hint="eastAsia" w:ascii="仿宋_GB2312" w:hAnsi="仿宋_GB2312" w:eastAsia="仿宋_GB2312" w:cs="仿宋_GB2312"/>
          <w:color w:val="auto"/>
          <w:sz w:val="32"/>
          <w:lang w:val="en-US" w:eastAsia="zh-CN"/>
        </w:rPr>
        <w:t>;2013年12月，白某边公司生产的白某边牌白酒被认定为湖北名牌产品。</w:t>
      </w:r>
      <w:r>
        <w:rPr>
          <w:rFonts w:hint="eastAsia" w:ascii="仿宋_GB2312" w:hAnsi="仿宋_GB2312" w:eastAsia="仿宋_GB2312" w:cs="仿宋_GB2312"/>
          <w:color w:val="auto"/>
          <w:sz w:val="32"/>
        </w:rPr>
        <w:t xml:space="preserve"> </w:t>
      </w:r>
    </w:p>
    <w:p w14:paraId="655A9F26">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（二）被诉侵权行为</w:t>
      </w:r>
    </w:p>
    <w:p w14:paraId="54B9087A">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襄阳高新技术产业开发区人民法院（2023）鄂0691刑初299号刑事判决书认定：</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在谷城县石花镇经营</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酒店，明知</w:t>
      </w:r>
      <w:r>
        <w:rPr>
          <w:rFonts w:hint="eastAsia" w:ascii="仿宋_GB2312" w:hAnsi="仿宋" w:eastAsia="仿宋_GB2312"/>
          <w:color w:val="auto"/>
          <w:sz w:val="32"/>
          <w:szCs w:val="32"/>
          <w:lang w:eastAsia="zh-CN"/>
        </w:rPr>
        <w:t>谭某某</w:t>
      </w:r>
      <w:r>
        <w:rPr>
          <w:rFonts w:hint="eastAsia" w:ascii="仿宋_GB2312" w:hAnsi="仿宋" w:eastAsia="仿宋_GB2312"/>
          <w:color w:val="auto"/>
          <w:sz w:val="32"/>
          <w:szCs w:val="32"/>
        </w:rPr>
        <w:t>售卖的白酒为假冒注册商标的商品，为获取高额利润，于2021年3月至2023年3月期间，以低价从</w:t>
      </w:r>
      <w:r>
        <w:rPr>
          <w:rFonts w:hint="eastAsia" w:ascii="仿宋_GB2312" w:hAnsi="仿宋" w:eastAsia="仿宋_GB2312"/>
          <w:color w:val="auto"/>
          <w:sz w:val="32"/>
          <w:szCs w:val="32"/>
          <w:lang w:eastAsia="zh-CN"/>
        </w:rPr>
        <w:t>谭某某</w:t>
      </w:r>
      <w:r>
        <w:rPr>
          <w:rFonts w:hint="eastAsia" w:ascii="仿宋_GB2312" w:hAnsi="仿宋" w:eastAsia="仿宋_GB2312"/>
          <w:color w:val="auto"/>
          <w:sz w:val="32"/>
          <w:szCs w:val="32"/>
        </w:rPr>
        <w:t>手中购进161750元的假冒</w:t>
      </w:r>
      <w:r>
        <w:rPr>
          <w:rFonts w:hint="eastAsia" w:ascii="仿宋_GB2312" w:hAnsi="仿宋" w:eastAsia="仿宋_GB2312"/>
          <w:color w:val="auto"/>
          <w:sz w:val="32"/>
          <w:szCs w:val="32"/>
          <w:lang w:eastAsia="zh-CN"/>
        </w:rPr>
        <w:t>白某边、石花等</w:t>
      </w:r>
      <w:r>
        <w:rPr>
          <w:rFonts w:hint="eastAsia" w:ascii="仿宋_GB2312" w:hAnsi="仿宋" w:eastAsia="仿宋_GB2312"/>
          <w:color w:val="auto"/>
          <w:sz w:val="32"/>
          <w:szCs w:val="32"/>
        </w:rPr>
        <w:t>注册商标的白酒，销售给</w:t>
      </w:r>
      <w:bookmarkStart w:id="0" w:name="_GoBack"/>
      <w:bookmarkEnd w:id="0"/>
      <w:r>
        <w:rPr>
          <w:rFonts w:hint="eastAsia" w:ascii="仿宋_GB2312" w:hAnsi="仿宋" w:eastAsia="仿宋_GB2312"/>
          <w:color w:val="auto"/>
          <w:sz w:val="32"/>
          <w:szCs w:val="32"/>
          <w:lang w:eastAsia="zh-CN"/>
        </w:rPr>
        <w:t>李某乙</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邹某甲</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杨某甲</w:t>
      </w:r>
      <w:r>
        <w:rPr>
          <w:rFonts w:hint="eastAsia" w:ascii="仿宋_GB2312" w:hAnsi="仿宋" w:eastAsia="仿宋_GB2312"/>
          <w:color w:val="auto"/>
          <w:sz w:val="32"/>
          <w:szCs w:val="32"/>
        </w:rPr>
        <w:t>、张</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王某某</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杨某乙</w:t>
      </w:r>
      <w:r>
        <w:rPr>
          <w:rFonts w:hint="eastAsia" w:ascii="仿宋_GB2312" w:hAnsi="仿宋" w:eastAsia="仿宋_GB2312"/>
          <w:color w:val="auto"/>
          <w:sz w:val="32"/>
          <w:szCs w:val="32"/>
        </w:rPr>
        <w:t>等人，销售金额共计50500元，从中获利20800元。公安机关在石花镇</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酒店查获尚未销售的假冒</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系列酒43盒。该院经审理认为，</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明知是假冒注册商标的商品而销售，销售数额达到五万元，其行为已构成销售假冒注册商标的商品罪。2024年12月5日，该院以销售假冒注册商标的商品罪判处</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有期徒刑一年六个月，缓刑二年，并处罚金五万元。</w:t>
      </w:r>
    </w:p>
    <w:p w14:paraId="4DE0835D">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_GB2312" w:eastAsia="仿宋_GB2312" w:cs="仿宋_GB2312"/>
          <w:color w:val="auto"/>
          <w:sz w:val="32"/>
          <w:szCs w:val="32"/>
        </w:rPr>
        <w:t>根据</w:t>
      </w:r>
      <w:r>
        <w:rPr>
          <w:rFonts w:hint="eastAsia" w:ascii="仿宋_GB2312" w:hAnsi="仿宋_GB2312" w:eastAsia="仿宋_GB2312" w:cs="仿宋_GB2312"/>
          <w:color w:val="auto"/>
          <w:sz w:val="32"/>
          <w:szCs w:val="32"/>
          <w:lang w:eastAsia="zh-CN"/>
        </w:rPr>
        <w:t>李某甲</w:t>
      </w:r>
      <w:r>
        <w:rPr>
          <w:rFonts w:hint="eastAsia" w:ascii="仿宋_GB2312" w:hAnsi="仿宋_GB2312" w:eastAsia="仿宋_GB2312" w:cs="仿宋_GB2312"/>
          <w:color w:val="auto"/>
          <w:sz w:val="32"/>
          <w:szCs w:val="32"/>
        </w:rPr>
        <w:t>刑事案件卷宗证据反映，</w:t>
      </w:r>
      <w:r>
        <w:rPr>
          <w:rFonts w:hint="eastAsia" w:ascii="仿宋_GB2312" w:hAnsi="仿宋_GB2312" w:eastAsia="仿宋_GB2312" w:cs="仿宋_GB2312"/>
          <w:color w:val="auto"/>
          <w:sz w:val="32"/>
          <w:szCs w:val="32"/>
          <w:lang w:eastAsia="zh-CN"/>
        </w:rPr>
        <w:t>李某甲</w:t>
      </w:r>
      <w:r>
        <w:rPr>
          <w:rFonts w:hint="eastAsia" w:ascii="仿宋_GB2312" w:hAnsi="仿宋_GB2312" w:eastAsia="仿宋_GB2312" w:cs="仿宋_GB2312"/>
          <w:color w:val="auto"/>
          <w:sz w:val="32"/>
          <w:szCs w:val="32"/>
        </w:rPr>
        <w:t>从</w:t>
      </w:r>
      <w:r>
        <w:rPr>
          <w:rFonts w:hint="eastAsia" w:ascii="仿宋_GB2312" w:hAnsi="仿宋_GB2312" w:eastAsia="仿宋_GB2312" w:cs="仿宋_GB2312"/>
          <w:color w:val="auto"/>
          <w:sz w:val="32"/>
          <w:szCs w:val="32"/>
          <w:lang w:eastAsia="zh-CN"/>
        </w:rPr>
        <w:t>谭某某</w:t>
      </w:r>
      <w:r>
        <w:rPr>
          <w:rFonts w:hint="eastAsia" w:ascii="仿宋_GB2312" w:hAnsi="仿宋_GB2312" w:eastAsia="仿宋_GB2312" w:cs="仿宋_GB2312"/>
          <w:color w:val="auto"/>
          <w:sz w:val="32"/>
          <w:szCs w:val="32"/>
        </w:rPr>
        <w:t>处共购进418箱131600元</w:t>
      </w:r>
      <w:r>
        <w:rPr>
          <w:rFonts w:hint="eastAsia" w:ascii="仿宋_GB2312" w:hAnsi="仿宋_GB2312" w:eastAsia="仿宋_GB2312" w:cs="仿宋_GB2312"/>
          <w:color w:val="auto"/>
          <w:sz w:val="32"/>
          <w:szCs w:val="32"/>
          <w:lang w:eastAsia="zh-CN"/>
        </w:rPr>
        <w:t>白某边</w:t>
      </w:r>
      <w:r>
        <w:rPr>
          <w:rFonts w:hint="eastAsia" w:ascii="仿宋_GB2312" w:hAnsi="仿宋_GB2312" w:eastAsia="仿宋_GB2312" w:cs="仿宋_GB2312"/>
          <w:color w:val="auto"/>
          <w:sz w:val="32"/>
          <w:szCs w:val="32"/>
        </w:rPr>
        <w:t>系列酒，其中</w:t>
      </w:r>
      <w:r>
        <w:rPr>
          <w:rFonts w:hint="eastAsia" w:ascii="仿宋_GB2312" w:hAnsi="仿宋" w:eastAsia="仿宋_GB2312"/>
          <w:color w:val="auto"/>
          <w:sz w:val="32"/>
          <w:szCs w:val="32"/>
        </w:rPr>
        <w:t>以进价300元/箱购进</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12年</w:t>
      </w:r>
      <w:r>
        <w:rPr>
          <w:rFonts w:hint="eastAsia" w:ascii="仿宋_GB2312" w:hAnsi="仿宋" w:eastAsia="仿宋_GB2312"/>
          <w:color w:val="auto"/>
          <w:sz w:val="32"/>
          <w:szCs w:val="32"/>
          <w:lang w:eastAsia="zh-CN"/>
        </w:rPr>
        <w:t>系列酒</w:t>
      </w:r>
      <w:r>
        <w:rPr>
          <w:rFonts w:hint="eastAsia" w:ascii="仿宋_GB2312" w:hAnsi="仿宋" w:eastAsia="仿宋_GB2312"/>
          <w:color w:val="auto"/>
          <w:sz w:val="32"/>
          <w:szCs w:val="32"/>
        </w:rPr>
        <w:t>356箱，以售价480元/箱销售10箱</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12年</w:t>
      </w:r>
      <w:r>
        <w:rPr>
          <w:rFonts w:hint="eastAsia" w:ascii="仿宋_GB2312" w:hAnsi="仿宋" w:eastAsia="仿宋_GB2312"/>
          <w:color w:val="auto"/>
          <w:sz w:val="32"/>
          <w:szCs w:val="32"/>
          <w:lang w:eastAsia="zh-CN"/>
        </w:rPr>
        <w:t>系列酒。</w:t>
      </w:r>
      <w:r>
        <w:rPr>
          <w:rFonts w:hint="eastAsia" w:ascii="仿宋_GB2312" w:hAnsi="仿宋" w:eastAsia="仿宋_GB2312"/>
          <w:color w:val="auto"/>
          <w:sz w:val="32"/>
          <w:szCs w:val="32"/>
        </w:rPr>
        <w:t>以进价400元/箱购进</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15年</w:t>
      </w:r>
      <w:r>
        <w:rPr>
          <w:rFonts w:hint="eastAsia" w:ascii="仿宋_GB2312" w:hAnsi="仿宋" w:eastAsia="仿宋_GB2312"/>
          <w:color w:val="auto"/>
          <w:sz w:val="32"/>
          <w:szCs w:val="32"/>
          <w:lang w:eastAsia="zh-CN"/>
        </w:rPr>
        <w:t>系列酒</w:t>
      </w:r>
      <w:r>
        <w:rPr>
          <w:rFonts w:hint="eastAsia" w:ascii="仿宋_GB2312" w:hAnsi="仿宋" w:eastAsia="仿宋_GB2312"/>
          <w:color w:val="auto"/>
          <w:sz w:val="32"/>
          <w:szCs w:val="32"/>
        </w:rPr>
        <w:t>62箱，以售价700元/箱销售28箱</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15年</w:t>
      </w:r>
      <w:r>
        <w:rPr>
          <w:rFonts w:hint="eastAsia" w:ascii="仿宋_GB2312" w:hAnsi="仿宋" w:eastAsia="仿宋_GB2312"/>
          <w:color w:val="auto"/>
          <w:sz w:val="32"/>
          <w:szCs w:val="32"/>
          <w:lang w:eastAsia="zh-CN"/>
        </w:rPr>
        <w:t>系列酒，上述销售数量系依据公安机关已查实的销售去向认定。对于所销售侵权商品的数量及去向，李某甲在</w:t>
      </w:r>
      <w:r>
        <w:rPr>
          <w:rFonts w:hint="eastAsia" w:ascii="仿宋_GB2312" w:hAnsi="仿宋" w:eastAsia="仿宋_GB2312"/>
          <w:color w:val="auto"/>
          <w:sz w:val="32"/>
          <w:szCs w:val="32"/>
        </w:rPr>
        <w:t>公安机关讯问</w:t>
      </w:r>
      <w:r>
        <w:rPr>
          <w:rFonts w:hint="eastAsia" w:ascii="仿宋_GB2312" w:hAnsi="仿宋" w:eastAsia="仿宋_GB2312"/>
          <w:color w:val="auto"/>
          <w:sz w:val="32"/>
          <w:szCs w:val="32"/>
          <w:lang w:eastAsia="zh-CN"/>
        </w:rPr>
        <w:t>中先后做过六次供述，其中</w:t>
      </w:r>
      <w:r>
        <w:rPr>
          <w:rFonts w:hint="eastAsia" w:ascii="仿宋_GB2312" w:hAnsi="仿宋" w:eastAsia="仿宋_GB2312"/>
          <w:color w:val="auto"/>
          <w:sz w:val="32"/>
          <w:szCs w:val="32"/>
        </w:rPr>
        <w:t>四次</w:t>
      </w:r>
      <w:r>
        <w:rPr>
          <w:rFonts w:hint="eastAsia" w:ascii="仿宋_GB2312" w:hAnsi="仿宋" w:eastAsia="仿宋_GB2312"/>
          <w:color w:val="auto"/>
          <w:sz w:val="32"/>
          <w:szCs w:val="32"/>
          <w:lang w:eastAsia="zh-CN"/>
        </w:rPr>
        <w:t>供述涉及相关事实</w:t>
      </w:r>
      <w:r>
        <w:rPr>
          <w:rFonts w:hint="eastAsia" w:ascii="仿宋_GB2312" w:hAnsi="仿宋" w:eastAsia="仿宋_GB2312"/>
          <w:color w:val="auto"/>
          <w:sz w:val="32"/>
          <w:szCs w:val="32"/>
        </w:rPr>
        <w:t>：</w:t>
      </w:r>
      <w:r>
        <w:rPr>
          <w:rFonts w:hint="eastAsia" w:ascii="仿宋_GB2312" w:hAnsi="仿宋" w:eastAsia="仿宋_GB2312"/>
          <w:color w:val="auto"/>
          <w:sz w:val="32"/>
          <w:szCs w:val="32"/>
          <w:lang w:val="en-US" w:eastAsia="zh-CN"/>
        </w:rPr>
        <w:t>1.</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在2023年3月16日公安机关</w:t>
      </w:r>
      <w:r>
        <w:rPr>
          <w:rFonts w:hint="eastAsia" w:ascii="仿宋_GB2312" w:hAnsi="仿宋" w:eastAsia="仿宋_GB2312"/>
          <w:color w:val="auto"/>
          <w:sz w:val="32"/>
          <w:szCs w:val="32"/>
          <w:lang w:eastAsia="zh-CN"/>
        </w:rPr>
        <w:t>第一次</w:t>
      </w:r>
      <w:r>
        <w:rPr>
          <w:rFonts w:hint="eastAsia" w:ascii="仿宋_GB2312" w:hAnsi="仿宋" w:eastAsia="仿宋_GB2312"/>
          <w:color w:val="auto"/>
          <w:sz w:val="32"/>
          <w:szCs w:val="32"/>
        </w:rPr>
        <w:t>讯问中供述，其自用</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15年系列</w:t>
      </w:r>
      <w:r>
        <w:rPr>
          <w:rFonts w:hint="eastAsia" w:ascii="仿宋_GB2312" w:hAnsi="仿宋" w:eastAsia="仿宋_GB2312"/>
          <w:color w:val="auto"/>
          <w:sz w:val="32"/>
          <w:szCs w:val="32"/>
          <w:lang w:eastAsia="zh-CN"/>
        </w:rPr>
        <w:t>酒</w:t>
      </w:r>
      <w:r>
        <w:rPr>
          <w:rFonts w:hint="eastAsia" w:ascii="仿宋_GB2312" w:hAnsi="仿宋" w:eastAsia="仿宋_GB2312"/>
          <w:color w:val="auto"/>
          <w:sz w:val="32"/>
          <w:szCs w:val="32"/>
          <w:lang w:val="en-US" w:eastAsia="zh-CN"/>
        </w:rPr>
        <w:t>33</w:t>
      </w:r>
      <w:r>
        <w:rPr>
          <w:rFonts w:hint="eastAsia" w:ascii="仿宋_GB2312" w:hAnsi="仿宋" w:eastAsia="仿宋_GB2312"/>
          <w:color w:val="auto"/>
          <w:sz w:val="32"/>
          <w:szCs w:val="32"/>
        </w:rPr>
        <w:t>箱，将</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系列酒销售给</w:t>
      </w:r>
      <w:r>
        <w:rPr>
          <w:rFonts w:hint="eastAsia" w:ascii="仿宋_GB2312" w:hAnsi="仿宋" w:eastAsia="仿宋_GB2312"/>
          <w:color w:val="auto"/>
          <w:sz w:val="32"/>
          <w:szCs w:val="32"/>
          <w:lang w:eastAsia="zh-CN"/>
        </w:rPr>
        <w:t>邹某甲</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李某乙</w:t>
      </w:r>
      <w:r>
        <w:rPr>
          <w:rFonts w:hint="eastAsia" w:ascii="仿宋_GB2312" w:hAnsi="仿宋" w:eastAsia="仿宋_GB2312"/>
          <w:color w:val="auto"/>
          <w:sz w:val="32"/>
          <w:szCs w:val="32"/>
        </w:rPr>
        <w:t>、张</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、杨</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邹某乙</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李某丙</w:t>
      </w:r>
      <w:r>
        <w:rPr>
          <w:rFonts w:hint="eastAsia" w:ascii="仿宋_GB2312" w:hAnsi="仿宋" w:eastAsia="仿宋_GB2312"/>
          <w:color w:val="auto"/>
          <w:sz w:val="32"/>
          <w:szCs w:val="32"/>
        </w:rPr>
        <w:t>，共销售</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12年系列酒29箱，</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15年系列酒</w:t>
      </w:r>
      <w:r>
        <w:rPr>
          <w:rFonts w:hint="eastAsia" w:ascii="仿宋_GB2312" w:hAnsi="仿宋" w:eastAsia="仿宋_GB2312"/>
          <w:color w:val="auto"/>
          <w:sz w:val="32"/>
          <w:szCs w:val="32"/>
          <w:lang w:val="en-US" w:eastAsia="zh-CN"/>
        </w:rPr>
        <w:t>50</w:t>
      </w:r>
      <w:r>
        <w:rPr>
          <w:rFonts w:hint="eastAsia" w:ascii="仿宋_GB2312" w:hAnsi="仿宋" w:eastAsia="仿宋_GB2312"/>
          <w:color w:val="auto"/>
          <w:sz w:val="32"/>
          <w:szCs w:val="32"/>
        </w:rPr>
        <w:t>箱</w:t>
      </w:r>
      <w:r>
        <w:rPr>
          <w:rFonts w:hint="eastAsia" w:ascii="仿宋_GB2312" w:hAnsi="仿宋" w:eastAsia="仿宋_GB2312"/>
          <w:color w:val="auto"/>
          <w:sz w:val="32"/>
          <w:szCs w:val="32"/>
          <w:lang w:eastAsia="zh-CN"/>
        </w:rPr>
        <w:t>，此外还售卖</w:t>
      </w:r>
      <w:r>
        <w:rPr>
          <w:rFonts w:hint="default" w:ascii="仿宋_GB2312" w:hAnsi="仿宋" w:eastAsia="仿宋_GB2312"/>
          <w:color w:val="auto"/>
          <w:sz w:val="32"/>
          <w:szCs w:val="32"/>
          <w:lang w:val="en-US" w:eastAsia="zh-CN"/>
        </w:rPr>
        <w:t>给一些</w:t>
      </w:r>
      <w:r>
        <w:rPr>
          <w:rFonts w:hint="eastAsia" w:ascii="仿宋_GB2312" w:hAnsi="仿宋" w:eastAsia="仿宋_GB2312"/>
          <w:color w:val="auto"/>
          <w:sz w:val="32"/>
          <w:szCs w:val="32"/>
          <w:lang w:val="en-US" w:eastAsia="zh-CN"/>
        </w:rPr>
        <w:t>散</w:t>
      </w:r>
      <w:r>
        <w:rPr>
          <w:rFonts w:hint="default" w:ascii="仿宋_GB2312" w:hAnsi="仿宋" w:eastAsia="仿宋_GB2312"/>
          <w:color w:val="auto"/>
          <w:sz w:val="32"/>
          <w:szCs w:val="32"/>
          <w:lang w:val="en-US" w:eastAsia="zh-CN"/>
        </w:rPr>
        <w:t>客</w:t>
      </w:r>
      <w:r>
        <w:rPr>
          <w:rFonts w:hint="eastAsia" w:ascii="仿宋_GB2312" w:hAnsi="仿宋" w:eastAsia="仿宋_GB2312"/>
          <w:color w:val="auto"/>
          <w:sz w:val="32"/>
          <w:szCs w:val="32"/>
          <w:lang w:val="en-US" w:eastAsia="zh-CN"/>
        </w:rPr>
        <w:t>白某边</w:t>
      </w:r>
      <w:r>
        <w:rPr>
          <w:rFonts w:hint="default" w:ascii="仿宋_GB2312" w:hAnsi="仿宋" w:eastAsia="仿宋_GB2312"/>
          <w:color w:val="auto"/>
          <w:sz w:val="32"/>
          <w:szCs w:val="32"/>
          <w:lang w:val="en-US" w:eastAsia="zh-CN"/>
        </w:rPr>
        <w:t>12年和15年系列白酒，</w:t>
      </w:r>
      <w:r>
        <w:rPr>
          <w:rFonts w:hint="eastAsia" w:ascii="仿宋_GB2312" w:hAnsi="仿宋" w:eastAsia="仿宋_GB2312"/>
          <w:color w:val="auto"/>
          <w:sz w:val="32"/>
          <w:szCs w:val="32"/>
          <w:lang w:val="en-US" w:eastAsia="zh-CN"/>
        </w:rPr>
        <w:t>数量</w:t>
      </w:r>
      <w:r>
        <w:rPr>
          <w:rFonts w:hint="default" w:ascii="仿宋_GB2312" w:hAnsi="仿宋" w:eastAsia="仿宋_GB2312"/>
          <w:color w:val="auto"/>
          <w:sz w:val="32"/>
          <w:szCs w:val="32"/>
          <w:lang w:val="en-US" w:eastAsia="zh-CN"/>
        </w:rPr>
        <w:t>不超过五箱</w:t>
      </w:r>
      <w:r>
        <w:rPr>
          <w:rFonts w:hint="eastAsia" w:ascii="仿宋_GB2312" w:hAnsi="仿宋" w:eastAsia="仿宋_GB2312"/>
          <w:color w:val="auto"/>
          <w:sz w:val="32"/>
          <w:szCs w:val="32"/>
          <w:lang w:val="en-US" w:eastAsia="zh-CN"/>
        </w:rPr>
        <w:t>；2.</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在2023年3月16日公安机关</w:t>
      </w:r>
      <w:r>
        <w:rPr>
          <w:rFonts w:hint="eastAsia" w:ascii="仿宋_GB2312" w:hAnsi="仿宋" w:eastAsia="仿宋_GB2312"/>
          <w:color w:val="auto"/>
          <w:sz w:val="32"/>
          <w:szCs w:val="32"/>
          <w:lang w:eastAsia="zh-CN"/>
        </w:rPr>
        <w:t>第二次</w:t>
      </w:r>
      <w:r>
        <w:rPr>
          <w:rFonts w:hint="eastAsia" w:ascii="仿宋_GB2312" w:hAnsi="仿宋" w:eastAsia="仿宋_GB2312"/>
          <w:color w:val="auto"/>
          <w:sz w:val="32"/>
          <w:szCs w:val="32"/>
        </w:rPr>
        <w:t>讯问中供述，其自用</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12年系列酒</w:t>
      </w:r>
      <w:r>
        <w:rPr>
          <w:rFonts w:hint="eastAsia" w:ascii="仿宋_GB2312" w:hAnsi="仿宋" w:eastAsia="仿宋_GB2312"/>
          <w:color w:val="auto"/>
          <w:sz w:val="32"/>
          <w:szCs w:val="32"/>
          <w:lang w:val="en-US" w:eastAsia="zh-CN"/>
        </w:rPr>
        <w:t>220箱</w:t>
      </w:r>
      <w:r>
        <w:rPr>
          <w:rFonts w:hint="eastAsia" w:ascii="仿宋_GB2312" w:hAnsi="仿宋" w:eastAsia="仿宋_GB2312"/>
          <w:color w:val="auto"/>
          <w:sz w:val="32"/>
          <w:szCs w:val="32"/>
        </w:rPr>
        <w:t>和</w:t>
      </w:r>
      <w:r>
        <w:rPr>
          <w:rFonts w:hint="eastAsia" w:ascii="仿宋_GB2312" w:hAnsi="仿宋" w:eastAsia="仿宋_GB2312"/>
          <w:color w:val="auto"/>
          <w:sz w:val="32"/>
          <w:szCs w:val="32"/>
          <w:lang w:eastAsia="zh-CN"/>
        </w:rPr>
        <w:t>白某某</w:t>
      </w:r>
      <w:r>
        <w:rPr>
          <w:rFonts w:hint="eastAsia" w:ascii="仿宋_GB2312" w:hAnsi="仿宋" w:eastAsia="仿宋_GB2312"/>
          <w:color w:val="auto"/>
          <w:sz w:val="32"/>
          <w:szCs w:val="32"/>
        </w:rPr>
        <w:t>15年系列酒</w:t>
      </w:r>
      <w:r>
        <w:rPr>
          <w:rFonts w:hint="eastAsia" w:ascii="仿宋_GB2312" w:hAnsi="仿宋" w:eastAsia="仿宋_GB2312"/>
          <w:color w:val="auto"/>
          <w:sz w:val="32"/>
          <w:szCs w:val="32"/>
          <w:lang w:val="en-US" w:eastAsia="zh-CN"/>
        </w:rPr>
        <w:t>33</w:t>
      </w:r>
      <w:r>
        <w:rPr>
          <w:rFonts w:hint="eastAsia" w:ascii="仿宋_GB2312" w:hAnsi="仿宋" w:eastAsia="仿宋_GB2312"/>
          <w:color w:val="auto"/>
          <w:sz w:val="32"/>
          <w:szCs w:val="32"/>
        </w:rPr>
        <w:t>箱，剩余</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12年系列酒136箱和</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15年系列酒29箱售卖给亲戚朋友了</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lang w:val="en-US" w:eastAsia="zh-CN"/>
        </w:rPr>
        <w:t>3.</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在2023年3月17日公安机关讯问中供述其销售</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12年系列酒136箱和</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15年系列酒29箱</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lang w:val="en-US" w:eastAsia="zh-CN"/>
        </w:rPr>
        <w:t>4.</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在2023年9月8日公安机关讯问中供述，其将</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系列酒销售给</w:t>
      </w:r>
      <w:r>
        <w:rPr>
          <w:rFonts w:hint="eastAsia" w:ascii="仿宋_GB2312" w:hAnsi="仿宋" w:eastAsia="仿宋_GB2312"/>
          <w:color w:val="auto"/>
          <w:sz w:val="32"/>
          <w:szCs w:val="32"/>
          <w:lang w:eastAsia="zh-CN"/>
        </w:rPr>
        <w:t>李某乙</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杨某甲</w:t>
      </w:r>
      <w:r>
        <w:rPr>
          <w:rFonts w:hint="eastAsia" w:ascii="仿宋_GB2312" w:hAnsi="仿宋" w:eastAsia="仿宋_GB2312"/>
          <w:color w:val="auto"/>
          <w:sz w:val="32"/>
          <w:szCs w:val="32"/>
        </w:rPr>
        <w:t>、张</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李某丙</w:t>
      </w:r>
      <w:r>
        <w:rPr>
          <w:rFonts w:hint="eastAsia" w:ascii="仿宋_GB2312" w:hAnsi="仿宋" w:eastAsia="仿宋_GB2312"/>
          <w:color w:val="auto"/>
          <w:sz w:val="32"/>
          <w:szCs w:val="32"/>
        </w:rPr>
        <w:t>，共销售</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12年系列酒10箱，</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15年系列酒28箱。</w:t>
      </w:r>
    </w:p>
    <w:p w14:paraId="5CD8BD31">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ascii="仿宋_GB2312" w:hAnsi="仿宋" w:eastAsia="仿宋_GB2312"/>
          <w:color w:val="auto"/>
          <w:sz w:val="32"/>
          <w:szCs w:val="32"/>
        </w:rPr>
      </w:pPr>
      <w:r>
        <w:rPr>
          <w:rFonts w:hint="eastAsia" w:ascii="仿宋_GB2312" w:hAnsi="仿宋" w:eastAsia="仿宋_GB2312"/>
          <w:color w:val="auto"/>
          <w:sz w:val="32"/>
          <w:szCs w:val="32"/>
          <w:lang w:eastAsia="zh-CN"/>
        </w:rPr>
        <w:t>（三）</w:t>
      </w:r>
      <w:r>
        <w:rPr>
          <w:rFonts w:hint="eastAsia" w:ascii="仿宋_GB2312" w:hAnsi="仿宋" w:eastAsia="仿宋_GB2312"/>
          <w:color w:val="auto"/>
          <w:sz w:val="32"/>
          <w:szCs w:val="32"/>
        </w:rPr>
        <w:t>其他事实</w:t>
      </w:r>
    </w:p>
    <w:p w14:paraId="3A777E7D">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1.审理中，</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请求判令</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承担惩罚性赔偿责任，赔偿数额计算方式为：</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销售从</w:t>
      </w:r>
      <w:r>
        <w:rPr>
          <w:rFonts w:hint="eastAsia" w:ascii="仿宋_GB2312" w:hAnsi="仿宋" w:eastAsia="仿宋_GB2312"/>
          <w:color w:val="auto"/>
          <w:sz w:val="32"/>
          <w:szCs w:val="32"/>
          <w:lang w:eastAsia="zh-CN"/>
        </w:rPr>
        <w:t>谭某某</w:t>
      </w:r>
      <w:r>
        <w:rPr>
          <w:rFonts w:hint="eastAsia" w:ascii="仿宋_GB2312" w:hAnsi="仿宋" w:eastAsia="仿宋_GB2312"/>
          <w:color w:val="auto"/>
          <w:sz w:val="32"/>
          <w:szCs w:val="32"/>
        </w:rPr>
        <w:t>处购进的假酒</w:t>
      </w:r>
      <w:r>
        <w:rPr>
          <w:rFonts w:ascii="仿宋_GB2312" w:hAnsi="仿宋" w:eastAsia="仿宋_GB2312"/>
          <w:color w:val="auto"/>
          <w:sz w:val="32"/>
          <w:szCs w:val="32"/>
        </w:rPr>
        <w:t>“</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系列酒</w:t>
      </w:r>
      <w:r>
        <w:rPr>
          <w:rFonts w:ascii="仿宋_GB2312" w:hAnsi="仿宋" w:eastAsia="仿宋_GB2312"/>
          <w:color w:val="auto"/>
          <w:sz w:val="32"/>
          <w:szCs w:val="32"/>
        </w:rPr>
        <w:t>”</w:t>
      </w:r>
      <w:r>
        <w:rPr>
          <w:rFonts w:hint="eastAsia" w:ascii="仿宋_GB2312" w:hAnsi="仿宋" w:eastAsia="仿宋_GB2312"/>
          <w:color w:val="auto"/>
          <w:sz w:val="32"/>
          <w:szCs w:val="32"/>
        </w:rPr>
        <w:t>410箱（侵权商品销售量）×180元（单位利润）×2（基数+1倍惩罚性赔偿）</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147600元，外加合理开支，共计主张150000元。合理开支主张包括律师费、差旅费等。</w:t>
      </w:r>
    </w:p>
    <w:p w14:paraId="6C74B64E">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2.谷城县市场监管局2021年11月10日作出谷市监处字</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2021</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78号行政处罚决定书，因</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经营的谷城县</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酒店购进</w:t>
      </w:r>
      <w:r>
        <w:rPr>
          <w:rFonts w:hint="eastAsia" w:ascii="仿宋_GB2312" w:hAnsi="仿宋" w:eastAsia="仿宋_GB2312"/>
          <w:color w:val="auto"/>
          <w:sz w:val="32"/>
          <w:szCs w:val="32"/>
          <w:lang w:eastAsia="zh-CN"/>
        </w:rPr>
        <w:t>的</w:t>
      </w:r>
      <w:r>
        <w:rPr>
          <w:rFonts w:hint="eastAsia" w:ascii="仿宋_GB2312" w:hAnsi="仿宋" w:eastAsia="仿宋_GB2312"/>
          <w:color w:val="auto"/>
          <w:sz w:val="32"/>
          <w:szCs w:val="32"/>
        </w:rPr>
        <w:t>8件石花15酒系假冒湖北省</w:t>
      </w:r>
      <w:r>
        <w:rPr>
          <w:rFonts w:hint="eastAsia" w:ascii="仿宋_GB2312" w:hAnsi="仿宋" w:eastAsia="仿宋_GB2312"/>
          <w:color w:val="auto"/>
          <w:sz w:val="32"/>
          <w:szCs w:val="32"/>
          <w:lang w:eastAsia="zh-CN"/>
        </w:rPr>
        <w:t>某酿酒</w:t>
      </w:r>
      <w:r>
        <w:rPr>
          <w:rFonts w:hint="eastAsia" w:ascii="仿宋_GB2312" w:hAnsi="仿宋" w:eastAsia="仿宋_GB2312"/>
          <w:color w:val="auto"/>
          <w:sz w:val="32"/>
          <w:szCs w:val="32"/>
        </w:rPr>
        <w:t>股份有限公司注册商标的产品，谷城县市场监管局处以罚款12000元并没收8件石花15酒。</w:t>
      </w:r>
    </w:p>
    <w:p w14:paraId="3ED85BA7">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本院认为，本案系侵害商标权纠纷。</w:t>
      </w:r>
      <w:r>
        <w:rPr>
          <w:rFonts w:hint="eastAsia" w:ascii="仿宋_GB2312" w:hAnsi="仿宋_GB2312" w:eastAsia="仿宋_GB2312" w:cs="仿宋_GB2312"/>
          <w:color w:val="auto"/>
          <w:sz w:val="32"/>
          <w:lang w:eastAsia="zh-CN"/>
        </w:rPr>
        <w:t>白某边公司</w:t>
      </w:r>
      <w:r>
        <w:rPr>
          <w:rFonts w:hint="eastAsia" w:ascii="仿宋_GB2312" w:hAnsi="仿宋_GB2312" w:eastAsia="仿宋_GB2312" w:cs="仿宋_GB2312"/>
          <w:color w:val="auto"/>
          <w:sz w:val="32"/>
        </w:rPr>
        <w:t>是案涉第5576721号注册商标的被许可使用人，经上述商标的注册人</w:t>
      </w:r>
      <w:r>
        <w:rPr>
          <w:rFonts w:hint="eastAsia" w:ascii="仿宋_GB2312" w:hAnsi="仿宋_GB2312" w:eastAsia="仿宋_GB2312" w:cs="仿宋_GB2312"/>
          <w:color w:val="auto"/>
          <w:sz w:val="32"/>
          <w:lang w:eastAsia="zh-CN"/>
        </w:rPr>
        <w:t>松滋市某有限公司</w:t>
      </w:r>
      <w:r>
        <w:rPr>
          <w:rFonts w:hint="eastAsia" w:ascii="仿宋_GB2312" w:hAnsi="仿宋_GB2312" w:eastAsia="仿宋_GB2312" w:cs="仿宋_GB2312"/>
          <w:color w:val="auto"/>
          <w:sz w:val="32"/>
        </w:rPr>
        <w:t>授权，有权对侵害上述商标专用权的行为以自己的名义提起诉讼，上述注册商标在注册有效期限内，其权利应受法律保护。</w:t>
      </w:r>
      <w:r>
        <w:rPr>
          <w:rFonts w:hint="eastAsia" w:ascii="仿宋_GB2312" w:hAnsi="仿宋" w:eastAsia="仿宋_GB2312"/>
          <w:color w:val="auto"/>
          <w:sz w:val="32"/>
          <w:szCs w:val="32"/>
          <w:lang w:eastAsia="zh-CN"/>
        </w:rPr>
        <w:t>综合双方当事人的诉辩意见</w:t>
      </w:r>
      <w:r>
        <w:rPr>
          <w:rFonts w:hint="eastAsia" w:ascii="仿宋_GB2312" w:hAnsi="仿宋" w:eastAsia="仿宋_GB2312"/>
          <w:color w:val="auto"/>
          <w:sz w:val="32"/>
          <w:szCs w:val="32"/>
        </w:rPr>
        <w:t>，双方的争议焦点为：</w:t>
      </w:r>
      <w:r>
        <w:rPr>
          <w:rFonts w:hint="eastAsia" w:ascii="仿宋_GB2312" w:hAnsi="仿宋" w:eastAsia="仿宋_GB2312"/>
          <w:color w:val="auto"/>
          <w:sz w:val="32"/>
          <w:szCs w:val="32"/>
          <w:lang w:eastAsia="zh-CN"/>
        </w:rPr>
        <w:t>（一）李某甲</w:t>
      </w:r>
      <w:r>
        <w:rPr>
          <w:rFonts w:hint="eastAsia" w:ascii="仿宋_GB2312" w:hAnsi="仿宋" w:eastAsia="仿宋_GB2312"/>
          <w:color w:val="auto"/>
          <w:sz w:val="32"/>
          <w:szCs w:val="32"/>
        </w:rPr>
        <w:t>已就案涉侵权行为承担刑事责任，是否还应承担民事责任；</w:t>
      </w:r>
      <w:r>
        <w:rPr>
          <w:rFonts w:hint="eastAsia" w:ascii="仿宋_GB2312" w:hAnsi="仿宋" w:eastAsia="仿宋_GB2312"/>
          <w:color w:val="auto"/>
          <w:sz w:val="32"/>
          <w:szCs w:val="32"/>
          <w:lang w:eastAsia="zh-CN"/>
        </w:rPr>
        <w:t>（二）</w:t>
      </w:r>
      <w:r>
        <w:rPr>
          <w:rFonts w:hint="eastAsia" w:ascii="仿宋_GB2312" w:hAnsi="仿宋" w:eastAsia="仿宋_GB2312"/>
          <w:color w:val="auto"/>
          <w:sz w:val="32"/>
          <w:szCs w:val="32"/>
        </w:rPr>
        <w:t>本案是否应适用惩罚性赔偿；</w:t>
      </w:r>
      <w:r>
        <w:rPr>
          <w:rFonts w:hint="eastAsia" w:ascii="仿宋_GB2312" w:hAnsi="仿宋" w:eastAsia="仿宋_GB2312"/>
          <w:color w:val="auto"/>
          <w:sz w:val="32"/>
          <w:szCs w:val="32"/>
          <w:lang w:eastAsia="zh-CN"/>
        </w:rPr>
        <w:t>（三）</w:t>
      </w:r>
      <w:r>
        <w:rPr>
          <w:rFonts w:hint="eastAsia" w:ascii="仿宋_GB2312" w:hAnsi="仿宋" w:eastAsia="仿宋_GB2312"/>
          <w:color w:val="auto"/>
          <w:sz w:val="32"/>
          <w:szCs w:val="32"/>
        </w:rPr>
        <w:t>如果适用惩罚性赔偿，如何确定惩罚性赔偿数额。现如下：</w:t>
      </w:r>
    </w:p>
    <w:p w14:paraId="61C55B61">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（一）</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已就案涉侵权行为承担刑事责任，是否还应承担民事责任</w:t>
      </w:r>
    </w:p>
    <w:p w14:paraId="2493C455">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中华人民共和国商标法</w:t>
      </w:r>
      <w:r>
        <w:rPr>
          <w:rFonts w:hint="eastAsia" w:ascii="仿宋_GB2312" w:hAnsi="仿宋" w:eastAsia="仿宋_GB2312"/>
          <w:color w:val="auto"/>
          <w:sz w:val="32"/>
          <w:szCs w:val="32"/>
        </w:rPr>
        <w:t>》第五十七条规定：“有下列行为之一的，均属侵犯注册商标专用权</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一</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未经商标注册人的许可，在同一种商品上使用与其注册商标相同的商标的</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三</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销售侵犯注册商标专用权的商品的......”《中华人民共和国民法典》第一百八十七条规定：“民事主体因同一行为应当承担民事责任、行政责任和刑事责任的，承担行政责任或者刑事责任不影响承担民事责任</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民事主体的财产不足以支付的，优先用于承担民事责任。”《中华人民共和国商标法》第六十七条第三款规定：“销售明知是假冒注册商标的商品，构成犯罪的，除赔偿被侵权人的损失外，依法追究刑事责任。”本案中，案涉商标核定使用商品</w:t>
      </w:r>
      <w:r>
        <w:rPr>
          <w:rFonts w:hint="eastAsia" w:ascii="仿宋_GB2312" w:hAnsi="仿宋" w:eastAsia="仿宋_GB2312"/>
          <w:color w:val="auto"/>
          <w:sz w:val="32"/>
          <w:szCs w:val="32"/>
          <w:lang w:eastAsia="zh-CN"/>
        </w:rPr>
        <w:t>类别</w:t>
      </w:r>
      <w:r>
        <w:rPr>
          <w:rFonts w:hint="eastAsia" w:ascii="仿宋_GB2312" w:hAnsi="仿宋" w:eastAsia="仿宋_GB2312"/>
          <w:color w:val="auto"/>
          <w:sz w:val="32"/>
          <w:szCs w:val="32"/>
        </w:rPr>
        <w:t>为酒</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饮料</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、酒精饮料</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啤酒除外</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销售的</w:t>
      </w:r>
      <w:r>
        <w:rPr>
          <w:rFonts w:hint="eastAsia" w:ascii="仿宋_GB2312" w:hAnsi="仿宋" w:eastAsia="仿宋_GB2312"/>
          <w:color w:val="auto"/>
          <w:sz w:val="32"/>
          <w:szCs w:val="32"/>
          <w:lang w:eastAsia="zh-CN"/>
        </w:rPr>
        <w:t>白酒包装及瓶身</w:t>
      </w:r>
      <w:r>
        <w:rPr>
          <w:rFonts w:hint="eastAsia" w:ascii="仿宋_GB2312" w:hAnsi="仿宋" w:eastAsia="仿宋_GB2312"/>
          <w:color w:val="auto"/>
          <w:sz w:val="32"/>
          <w:szCs w:val="32"/>
        </w:rPr>
        <w:t>上印有</w:t>
      </w:r>
      <w:r>
        <w:rPr>
          <w:rFonts w:hint="eastAsia" w:ascii="仿宋_GB2312" w:hAnsi="仿宋" w:eastAsia="仿宋_GB2312"/>
          <w:color w:val="auto"/>
          <w:sz w:val="32"/>
          <w:szCs w:val="32"/>
          <w:lang w:eastAsia="zh-CN"/>
        </w:rPr>
        <w:t>与</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注册商标相同的</w:t>
      </w:r>
      <w:r>
        <w:rPr>
          <w:rFonts w:hint="eastAsia" w:ascii="仿宋_GB2312" w:hAnsi="仿宋" w:eastAsia="仿宋_GB2312"/>
          <w:color w:val="auto"/>
          <w:sz w:val="32"/>
          <w:szCs w:val="32"/>
        </w:rPr>
        <w:t>图形及文字标识，</w:t>
      </w:r>
      <w:r>
        <w:rPr>
          <w:rFonts w:hint="eastAsia" w:ascii="仿宋_GB2312" w:hAnsi="仿宋" w:eastAsia="仿宋_GB2312"/>
          <w:color w:val="auto"/>
          <w:sz w:val="32"/>
          <w:szCs w:val="32"/>
          <w:lang w:eastAsia="zh-CN"/>
        </w:rPr>
        <w:t>属于侵权商品，其</w:t>
      </w:r>
      <w:r>
        <w:rPr>
          <w:rFonts w:hint="eastAsia" w:ascii="仿宋_GB2312" w:hAnsi="仿宋" w:eastAsia="仿宋_GB2312"/>
          <w:color w:val="auto"/>
          <w:sz w:val="32"/>
          <w:szCs w:val="32"/>
        </w:rPr>
        <w:t>销售行为已侵害案涉注册商标专用权</w:t>
      </w:r>
      <w:r>
        <w:rPr>
          <w:rFonts w:hint="eastAsia" w:ascii="仿宋_GB2312" w:hAnsi="仿宋" w:eastAsia="仿宋_GB2312"/>
          <w:color w:val="auto"/>
          <w:sz w:val="32"/>
          <w:szCs w:val="32"/>
          <w:lang w:eastAsia="zh-CN"/>
        </w:rPr>
        <w:t>，依据上述法律规定，虽然李某甲</w:t>
      </w:r>
      <w:r>
        <w:rPr>
          <w:rFonts w:hint="eastAsia" w:ascii="仿宋_GB2312" w:hAnsi="仿宋" w:eastAsia="仿宋_GB2312"/>
          <w:color w:val="auto"/>
          <w:sz w:val="32"/>
          <w:szCs w:val="32"/>
        </w:rPr>
        <w:t>就案涉侵权行为已被追究刑事责任，</w:t>
      </w:r>
      <w:r>
        <w:rPr>
          <w:rFonts w:hint="eastAsia" w:ascii="仿宋_GB2312" w:hAnsi="仿宋" w:eastAsia="仿宋_GB2312"/>
          <w:color w:val="auto"/>
          <w:sz w:val="32"/>
          <w:szCs w:val="32"/>
          <w:lang w:eastAsia="zh-CN"/>
        </w:rPr>
        <w:t>但并不影响其承担民事责任，白某边公司诉请其</w:t>
      </w:r>
      <w:r>
        <w:rPr>
          <w:rFonts w:hint="eastAsia" w:ascii="仿宋_GB2312" w:hAnsi="仿宋" w:eastAsia="仿宋_GB2312"/>
          <w:color w:val="auto"/>
          <w:sz w:val="32"/>
          <w:szCs w:val="32"/>
        </w:rPr>
        <w:t>停止侵害</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赔偿损失</w:t>
      </w:r>
      <w:r>
        <w:rPr>
          <w:rFonts w:hint="eastAsia" w:ascii="仿宋_GB2312" w:hAnsi="仿宋" w:eastAsia="仿宋_GB2312"/>
          <w:color w:val="auto"/>
          <w:sz w:val="32"/>
          <w:szCs w:val="32"/>
          <w:lang w:eastAsia="zh-CN"/>
        </w:rPr>
        <w:t>，具有充分的事实和法律依据，应予支持</w:t>
      </w:r>
      <w:r>
        <w:rPr>
          <w:rFonts w:hint="eastAsia" w:ascii="仿宋_GB2312" w:hAnsi="仿宋" w:eastAsia="仿宋_GB2312"/>
          <w:color w:val="auto"/>
          <w:sz w:val="32"/>
          <w:szCs w:val="32"/>
        </w:rPr>
        <w:t>。</w:t>
      </w:r>
    </w:p>
    <w:p w14:paraId="59BB2296">
      <w:pPr>
        <w:keepNext w:val="0"/>
        <w:keepLines w:val="0"/>
        <w:pageBreakBefore w:val="0"/>
        <w:numPr>
          <w:ilvl w:val="0"/>
          <w:numId w:val="1"/>
        </w:numPr>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_GB2312" w:eastAsia="仿宋_GB2312" w:cs="仿宋_GB2312"/>
          <w:color w:val="auto"/>
          <w:kern w:val="0"/>
          <w:sz w:val="32"/>
          <w:szCs w:val="32"/>
        </w:rPr>
      </w:pPr>
      <w:r>
        <w:rPr>
          <w:rFonts w:hint="eastAsia" w:ascii="仿宋_GB2312" w:hAnsi="仿宋" w:eastAsia="仿宋_GB2312"/>
          <w:color w:val="auto"/>
          <w:sz w:val="32"/>
          <w:szCs w:val="32"/>
        </w:rPr>
        <w:t>关于本案是否应适用惩罚性赔偿</w:t>
      </w:r>
    </w:p>
    <w:p w14:paraId="7512ABF4">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《最高人民法院关于审理侵害知识产权民事案件适用惩罚性赔偿的解释》第一条第一款规定</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w:t>
      </w:r>
      <w:r>
        <w:rPr>
          <w:rFonts w:hint="eastAsia" w:ascii="仿宋_GB2312" w:hAnsi="宋体" w:eastAsia="仿宋_GB2312"/>
          <w:color w:val="auto"/>
          <w:sz w:val="32"/>
        </w:rPr>
        <w:t>原告主张被告故意侵害其依法享有的知识产权且情节严重，请求判令被告承担惩罚性赔偿责任的，人民法院应当依法审查处理。</w:t>
      </w:r>
      <w:r>
        <w:rPr>
          <w:rFonts w:hint="eastAsia" w:ascii="仿宋_GB2312" w:hAnsi="仿宋_GB2312" w:eastAsia="仿宋_GB2312" w:cs="仿宋_GB2312"/>
          <w:color w:val="auto"/>
          <w:kern w:val="0"/>
          <w:sz w:val="32"/>
          <w:szCs w:val="32"/>
        </w:rPr>
        <w:t>”</w:t>
      </w:r>
      <w:r>
        <w:rPr>
          <w:rFonts w:hint="eastAsia" w:ascii="仿宋_GB2312" w:hAnsi="宋体" w:eastAsia="仿宋_GB2312"/>
          <w:color w:val="auto"/>
          <w:sz w:val="32"/>
        </w:rPr>
        <w:t>第三条第一款规定</w:t>
      </w:r>
      <w:r>
        <w:rPr>
          <w:rFonts w:hint="eastAsia" w:ascii="仿宋_GB2312" w:hAnsi="宋体" w:eastAsia="仿宋_GB2312"/>
          <w:color w:val="auto"/>
          <w:sz w:val="32"/>
          <w:lang w:eastAsia="zh-CN"/>
        </w:rPr>
        <w:t>：</w:t>
      </w:r>
      <w:r>
        <w:rPr>
          <w:rFonts w:hint="eastAsia" w:ascii="仿宋_GB2312" w:hAnsi="宋体" w:eastAsia="仿宋_GB2312"/>
          <w:color w:val="auto"/>
          <w:sz w:val="32"/>
        </w:rPr>
        <w:t>“对于侵害知识产权的故意的认定，人民法院应当综合考虑被侵害知识产权客体类型、权利状态和相关产品知名度、被告与原告或者利害关系人之间的关系等因素。”第四条规定</w:t>
      </w:r>
      <w:r>
        <w:rPr>
          <w:rFonts w:hint="eastAsia" w:ascii="仿宋_GB2312" w:hAnsi="宋体" w:eastAsia="仿宋_GB2312"/>
          <w:color w:val="auto"/>
          <w:sz w:val="32"/>
          <w:lang w:eastAsia="zh-CN"/>
        </w:rPr>
        <w:t>：</w:t>
      </w:r>
      <w:r>
        <w:rPr>
          <w:rFonts w:hint="eastAsia" w:ascii="仿宋_GB2312" w:hAnsi="宋体" w:eastAsia="仿宋_GB2312"/>
          <w:color w:val="auto"/>
          <w:sz w:val="32"/>
        </w:rPr>
        <w:t>“对于侵害知识产权情节严重的认定，人民法院应当综合考虑侵权手段、次数，侵权行为的持续时间、地域范围、规模、后果，侵权人在诉讼中的行为等因素。被告有下列情形的，人民法院可以认定为情节严重：（一）因侵权被行政处罚或者法院裁判承担责任后，再次实施相同或者类似侵权行为......”</w:t>
      </w:r>
      <w:r>
        <w:rPr>
          <w:rFonts w:hint="eastAsia" w:ascii="仿宋_GB2312" w:hAnsi="仿宋_GB2312" w:eastAsia="仿宋_GB2312" w:cs="仿宋_GB2312"/>
          <w:color w:val="auto"/>
          <w:kern w:val="0"/>
          <w:sz w:val="32"/>
          <w:szCs w:val="32"/>
        </w:rPr>
        <w:t>本案中，</w:t>
      </w:r>
      <w:r>
        <w:rPr>
          <w:rFonts w:hint="eastAsia" w:ascii="仿宋_GB2312" w:hAnsi="仿宋_GB2312" w:eastAsia="仿宋_GB2312" w:cs="仿宋_GB2312"/>
          <w:color w:val="auto"/>
          <w:kern w:val="0"/>
          <w:sz w:val="32"/>
          <w:szCs w:val="32"/>
          <w:lang w:eastAsia="zh-CN"/>
        </w:rPr>
        <w:t>白某边公司</w:t>
      </w:r>
      <w:r>
        <w:rPr>
          <w:rFonts w:hint="eastAsia" w:ascii="仿宋_GB2312" w:hAnsi="仿宋_GB2312" w:eastAsia="仿宋_GB2312" w:cs="仿宋_GB2312"/>
          <w:color w:val="auto"/>
          <w:kern w:val="0"/>
          <w:sz w:val="32"/>
          <w:szCs w:val="32"/>
        </w:rPr>
        <w:t>作为案涉商标权利人明确提出了适用惩罚性赔偿的诉讼请求。</w:t>
      </w:r>
      <w:r>
        <w:rPr>
          <w:rFonts w:hint="eastAsia" w:ascii="仿宋_GB2312" w:hAnsi="仿宋_GB2312" w:eastAsia="仿宋_GB2312" w:cs="仿宋_GB2312"/>
          <w:color w:val="auto"/>
          <w:kern w:val="0"/>
          <w:sz w:val="32"/>
          <w:szCs w:val="32"/>
          <w:lang w:eastAsia="zh-CN"/>
        </w:rPr>
        <w:t>李某甲</w:t>
      </w:r>
      <w:r>
        <w:rPr>
          <w:rFonts w:hint="eastAsia" w:ascii="仿宋_GB2312" w:hAnsi="仿宋_GB2312" w:eastAsia="仿宋_GB2312" w:cs="仿宋_GB2312"/>
          <w:color w:val="auto"/>
          <w:kern w:val="0"/>
          <w:sz w:val="32"/>
          <w:szCs w:val="32"/>
        </w:rPr>
        <w:t>作为</w:t>
      </w:r>
      <w:r>
        <w:rPr>
          <w:rFonts w:hint="eastAsia" w:ascii="仿宋_GB2312" w:hAnsi="仿宋_GB2312" w:eastAsia="仿宋_GB2312" w:cs="仿宋_GB2312"/>
          <w:color w:val="auto"/>
          <w:kern w:val="0"/>
          <w:sz w:val="32"/>
          <w:szCs w:val="32"/>
          <w:lang w:eastAsia="zh-CN"/>
        </w:rPr>
        <w:t>酒店经营者</w:t>
      </w:r>
      <w:r>
        <w:rPr>
          <w:rFonts w:hint="eastAsia" w:ascii="仿宋_GB2312" w:hAnsi="仿宋_GB2312" w:eastAsia="仿宋_GB2312" w:cs="仿宋_GB2312"/>
          <w:color w:val="auto"/>
          <w:kern w:val="0"/>
          <w:sz w:val="32"/>
          <w:szCs w:val="32"/>
        </w:rPr>
        <w:t>，明知</w:t>
      </w:r>
      <w:r>
        <w:rPr>
          <w:rFonts w:hint="eastAsia" w:ascii="仿宋_GB2312" w:hAnsi="仿宋_GB2312" w:eastAsia="仿宋_GB2312" w:cs="仿宋_GB2312"/>
          <w:color w:val="auto"/>
          <w:kern w:val="0"/>
          <w:sz w:val="32"/>
          <w:szCs w:val="32"/>
          <w:lang w:eastAsia="zh-CN"/>
        </w:rPr>
        <w:t>谭某某</w:t>
      </w:r>
      <w:r>
        <w:rPr>
          <w:rFonts w:hint="eastAsia" w:ascii="仿宋_GB2312" w:hAnsi="仿宋_GB2312" w:eastAsia="仿宋_GB2312" w:cs="仿宋_GB2312"/>
          <w:color w:val="auto"/>
          <w:kern w:val="0"/>
          <w:sz w:val="32"/>
          <w:szCs w:val="32"/>
        </w:rPr>
        <w:t>售卖的白酒系假冒注册商标的商品，且其本人曾因商标侵权行为受到行政处罚，为牟取高额利润，长期以低价从</w:t>
      </w:r>
      <w:r>
        <w:rPr>
          <w:rFonts w:hint="eastAsia" w:ascii="仿宋_GB2312" w:hAnsi="仿宋_GB2312" w:eastAsia="仿宋_GB2312" w:cs="仿宋_GB2312"/>
          <w:color w:val="auto"/>
          <w:kern w:val="0"/>
          <w:sz w:val="32"/>
          <w:szCs w:val="32"/>
          <w:lang w:eastAsia="zh-CN"/>
        </w:rPr>
        <w:t>谭某某</w:t>
      </w:r>
      <w:r>
        <w:rPr>
          <w:rFonts w:hint="eastAsia" w:ascii="仿宋_GB2312" w:hAnsi="仿宋_GB2312" w:eastAsia="仿宋_GB2312" w:cs="仿宋_GB2312"/>
          <w:color w:val="auto"/>
          <w:kern w:val="0"/>
          <w:sz w:val="32"/>
          <w:szCs w:val="32"/>
        </w:rPr>
        <w:t>处购进大量假冒“</w:t>
      </w:r>
      <w:r>
        <w:rPr>
          <w:rFonts w:hint="eastAsia" w:ascii="仿宋_GB2312" w:hAnsi="仿宋_GB2312" w:eastAsia="仿宋_GB2312" w:cs="仿宋_GB2312"/>
          <w:color w:val="auto"/>
          <w:kern w:val="0"/>
          <w:sz w:val="32"/>
          <w:szCs w:val="32"/>
          <w:lang w:eastAsia="zh-CN"/>
        </w:rPr>
        <w:t>白某边</w:t>
      </w:r>
      <w:r>
        <w:rPr>
          <w:rFonts w:hint="eastAsia" w:ascii="仿宋_GB2312" w:hAnsi="仿宋_GB2312" w:eastAsia="仿宋_GB2312" w:cs="仿宋_GB2312"/>
          <w:color w:val="auto"/>
          <w:kern w:val="0"/>
          <w:sz w:val="32"/>
          <w:szCs w:val="32"/>
        </w:rPr>
        <w:t>”注册商标的白酒对外销售，具有明显侵权主观故意</w:t>
      </w:r>
      <w:r>
        <w:rPr>
          <w:rFonts w:hint="eastAsia" w:ascii="仿宋_GB2312" w:hAnsi="仿宋_GB2312" w:eastAsia="仿宋_GB2312" w:cs="仿宋_GB2312"/>
          <w:color w:val="auto"/>
          <w:kern w:val="0"/>
          <w:sz w:val="32"/>
          <w:szCs w:val="32"/>
          <w:lang w:eastAsia="zh-CN"/>
        </w:rPr>
        <w:t>，</w:t>
      </w:r>
      <w:r>
        <w:rPr>
          <w:rFonts w:hint="eastAsia" w:ascii="仿宋_GB2312" w:hAnsi="宋体" w:eastAsia="仿宋_GB2312"/>
          <w:color w:val="auto"/>
          <w:sz w:val="32"/>
        </w:rPr>
        <w:t>其</w:t>
      </w:r>
      <w:r>
        <w:rPr>
          <w:rFonts w:hint="eastAsia" w:ascii="仿宋_GB2312" w:hAnsi="仿宋_GB2312" w:eastAsia="仿宋_GB2312" w:cs="仿宋_GB2312"/>
          <w:color w:val="auto"/>
          <w:kern w:val="0"/>
          <w:sz w:val="32"/>
          <w:szCs w:val="32"/>
        </w:rPr>
        <w:t>行为亦符合《最高人民法院关于审理侵害知识产权民事案件适用惩罚性赔偿的解释》第四条规定的情节严重的情形。故本案适用惩罚性赔偿的法定条件已具备，依法应当对</w:t>
      </w:r>
      <w:r>
        <w:rPr>
          <w:rFonts w:hint="eastAsia" w:ascii="仿宋_GB2312" w:hAnsi="仿宋_GB2312" w:eastAsia="仿宋_GB2312" w:cs="仿宋_GB2312"/>
          <w:color w:val="auto"/>
          <w:kern w:val="0"/>
          <w:sz w:val="32"/>
          <w:szCs w:val="32"/>
          <w:lang w:eastAsia="zh-CN"/>
        </w:rPr>
        <w:t>李某甲</w:t>
      </w:r>
      <w:r>
        <w:rPr>
          <w:rFonts w:hint="eastAsia" w:ascii="仿宋_GB2312" w:hAnsi="仿宋_GB2312" w:eastAsia="仿宋_GB2312" w:cs="仿宋_GB2312"/>
          <w:color w:val="auto"/>
          <w:kern w:val="0"/>
          <w:sz w:val="32"/>
          <w:szCs w:val="32"/>
        </w:rPr>
        <w:t>适用惩罚性赔偿。</w:t>
      </w:r>
    </w:p>
    <w:p w14:paraId="21685A7D">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（三）如何确定惩罚性赔偿数额</w:t>
      </w:r>
    </w:p>
    <w:p w14:paraId="3E32D24D">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最高人民法院关于审理侵害知识产权民事案件适用惩罚性赔偿的解释》第二条规定：“原告请求惩罚性赔偿的，应当在起诉时明确赔偿数额、计算方式以及所依据的事实和理由。”第五条规定：“人民法院确定惩罚性赔偿数额时，应当分别依照相关法律，以原告实际损失数额、被告违法所得数额或者因侵权所获得的利益作为计算基数。该基数不包括原告为制止侵权所支付的合理开支</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法律另有规定的，依照其</w:t>
      </w:r>
      <w:r>
        <w:rPr>
          <w:rFonts w:hint="eastAsia" w:ascii="仿宋_GB2312" w:hAnsi="仿宋_GB2312" w:eastAsia="仿宋_GB2312" w:cs="仿宋_GB2312"/>
          <w:color w:val="auto"/>
          <w:kern w:val="0"/>
          <w:sz w:val="32"/>
          <w:szCs w:val="32"/>
          <w:lang w:eastAsia="zh-CN"/>
        </w:rPr>
        <w:t>规定。”《最高人民法院关于审理商标民事纠纷案件适用法律若干问题的解释》第十三条规定：“人民法院依据商标法第六十三条</w:t>
      </w:r>
      <w:r>
        <w:rPr>
          <w:rFonts w:hint="eastAsia" w:ascii="仿宋_GB2312" w:hAnsi="仿宋_GB2312" w:eastAsia="仿宋_GB2312" w:cs="仿宋_GB2312"/>
          <w:color w:val="auto"/>
          <w:kern w:val="0"/>
          <w:sz w:val="32"/>
          <w:szCs w:val="32"/>
        </w:rPr>
        <w:t>第一款的规定确认侵权人的赔偿责任时，可以根据权利人选择的计算方法计算赔偿数额。”第十四条规定</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“商标法第六十三条第一款规定的侵权所获得的利益，可以根据侵权商品销售量与该商品单位利润乘积计算；该商品单位利润无法查明的，按照注册商标商品的单位利润计算。”</w:t>
      </w:r>
      <w:r>
        <w:rPr>
          <w:rFonts w:hint="eastAsia" w:ascii="仿宋_GB2312" w:hAnsi="仿宋" w:eastAsia="仿宋_GB2312"/>
          <w:color w:val="auto"/>
          <w:sz w:val="32"/>
          <w:szCs w:val="32"/>
        </w:rPr>
        <w:t>本案中，</w:t>
      </w:r>
      <w:r>
        <w:rPr>
          <w:rFonts w:hint="eastAsia" w:ascii="仿宋_GB2312" w:hAnsi="仿宋" w:eastAsia="仿宋_GB2312"/>
          <w:color w:val="auto"/>
          <w:sz w:val="32"/>
          <w:szCs w:val="32"/>
          <w:lang w:eastAsia="zh-CN"/>
        </w:rPr>
        <w:t>白某边公司</w:t>
      </w:r>
      <w:r>
        <w:rPr>
          <w:rFonts w:hint="eastAsia" w:ascii="仿宋_GB2312" w:hAnsi="仿宋_GB2312" w:eastAsia="仿宋_GB2312" w:cs="仿宋_GB2312"/>
          <w:color w:val="auto"/>
          <w:kern w:val="0"/>
          <w:sz w:val="32"/>
          <w:szCs w:val="32"/>
        </w:rPr>
        <w:t>选择</w:t>
      </w:r>
      <w:r>
        <w:rPr>
          <w:rFonts w:hint="eastAsia" w:ascii="仿宋_GB2312" w:hAnsi="仿宋_GB2312" w:eastAsia="仿宋_GB2312" w:cs="仿宋_GB2312"/>
          <w:color w:val="auto"/>
          <w:kern w:val="0"/>
          <w:sz w:val="32"/>
          <w:szCs w:val="32"/>
          <w:lang w:eastAsia="zh-CN"/>
        </w:rPr>
        <w:t>李某甲</w:t>
      </w:r>
      <w:r>
        <w:rPr>
          <w:rFonts w:hint="eastAsia" w:ascii="仿宋_GB2312" w:hAnsi="仿宋_GB2312" w:eastAsia="仿宋_GB2312" w:cs="仿宋_GB2312"/>
          <w:color w:val="auto"/>
          <w:kern w:val="0"/>
          <w:sz w:val="32"/>
          <w:szCs w:val="32"/>
        </w:rPr>
        <w:t>侵权获利作为赔偿数额的计算依据，以</w:t>
      </w:r>
      <w:r>
        <w:rPr>
          <w:rFonts w:hint="eastAsia" w:ascii="仿宋_GB2312" w:hAnsi="仿宋_GB2312" w:eastAsia="仿宋_GB2312" w:cs="仿宋_GB2312"/>
          <w:color w:val="auto"/>
          <w:kern w:val="0"/>
          <w:sz w:val="32"/>
          <w:szCs w:val="32"/>
          <w:lang w:eastAsia="zh-CN"/>
        </w:rPr>
        <w:t>李某甲</w:t>
      </w:r>
      <w:r>
        <w:rPr>
          <w:rFonts w:hint="eastAsia" w:ascii="仿宋_GB2312" w:hAnsi="仿宋_GB2312" w:eastAsia="仿宋_GB2312" w:cs="仿宋_GB2312"/>
          <w:color w:val="auto"/>
          <w:kern w:val="0"/>
          <w:sz w:val="32"/>
          <w:szCs w:val="32"/>
        </w:rPr>
        <w:t>销售从</w:t>
      </w:r>
      <w:r>
        <w:rPr>
          <w:rFonts w:hint="eastAsia" w:ascii="仿宋_GB2312" w:hAnsi="仿宋_GB2312" w:eastAsia="仿宋_GB2312" w:cs="仿宋_GB2312"/>
          <w:color w:val="auto"/>
          <w:kern w:val="0"/>
          <w:sz w:val="32"/>
          <w:szCs w:val="32"/>
          <w:lang w:eastAsia="zh-CN"/>
        </w:rPr>
        <w:t>谭某某</w:t>
      </w:r>
      <w:r>
        <w:rPr>
          <w:rFonts w:hint="eastAsia" w:ascii="仿宋_GB2312" w:hAnsi="仿宋_GB2312" w:eastAsia="仿宋_GB2312" w:cs="仿宋_GB2312"/>
          <w:color w:val="auto"/>
          <w:kern w:val="0"/>
          <w:sz w:val="32"/>
          <w:szCs w:val="32"/>
        </w:rPr>
        <w:t>处购进的“</w:t>
      </w:r>
      <w:r>
        <w:rPr>
          <w:rFonts w:hint="eastAsia" w:ascii="仿宋_GB2312" w:hAnsi="仿宋_GB2312" w:eastAsia="仿宋_GB2312" w:cs="仿宋_GB2312"/>
          <w:color w:val="auto"/>
          <w:kern w:val="0"/>
          <w:sz w:val="32"/>
          <w:szCs w:val="32"/>
          <w:lang w:eastAsia="zh-CN"/>
        </w:rPr>
        <w:t>白某边</w:t>
      </w:r>
      <w:r>
        <w:rPr>
          <w:rFonts w:hint="eastAsia" w:ascii="仿宋_GB2312" w:hAnsi="仿宋_GB2312" w:eastAsia="仿宋_GB2312" w:cs="仿宋_GB2312"/>
          <w:color w:val="auto"/>
          <w:kern w:val="0"/>
          <w:sz w:val="32"/>
          <w:szCs w:val="32"/>
        </w:rPr>
        <w:t>系列”假酒410箱为基数，按照每箱180元的单位利润主张侵权获利基数，并主张1倍惩罚性赔偿，合计主张侵权获利147600元。</w:t>
      </w:r>
    </w:p>
    <w:p w14:paraId="3E700433">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 w:eastAsia="仿宋_GB2312"/>
          <w:color w:val="auto"/>
          <w:sz w:val="32"/>
          <w:szCs w:val="32"/>
          <w:lang w:eastAsia="zh-CN"/>
        </w:rPr>
      </w:pPr>
      <w:r>
        <w:rPr>
          <w:rFonts w:hint="eastAsia" w:ascii="仿宋_GB2312" w:hAnsi="仿宋_GB2312" w:eastAsia="仿宋_GB2312" w:cs="仿宋_GB2312"/>
          <w:color w:val="auto"/>
          <w:kern w:val="0"/>
          <w:sz w:val="32"/>
          <w:szCs w:val="32"/>
        </w:rPr>
        <w:t>根据本案查明的事实及刑民案件的裁判规则，本案应在刑事判决书认定的</w:t>
      </w:r>
      <w:r>
        <w:rPr>
          <w:rFonts w:hint="eastAsia" w:ascii="仿宋_GB2312" w:hAnsi="仿宋_GB2312" w:eastAsia="仿宋_GB2312" w:cs="仿宋_GB2312"/>
          <w:color w:val="auto"/>
          <w:kern w:val="0"/>
          <w:sz w:val="32"/>
          <w:szCs w:val="32"/>
          <w:lang w:eastAsia="zh-CN"/>
        </w:rPr>
        <w:t>李某甲</w:t>
      </w:r>
      <w:r>
        <w:rPr>
          <w:rFonts w:hint="eastAsia" w:ascii="仿宋_GB2312" w:hAnsi="仿宋_GB2312" w:eastAsia="仿宋_GB2312" w:cs="仿宋_GB2312"/>
          <w:color w:val="auto"/>
          <w:kern w:val="0"/>
          <w:sz w:val="32"/>
          <w:szCs w:val="32"/>
        </w:rPr>
        <w:t>获利金额的基础上，综合考察全案</w:t>
      </w:r>
      <w:r>
        <w:rPr>
          <w:rFonts w:hint="eastAsia" w:ascii="仿宋_GB2312" w:hAnsi="仿宋_GB2312" w:eastAsia="仿宋_GB2312" w:cs="仿宋_GB2312"/>
          <w:color w:val="auto"/>
          <w:kern w:val="0"/>
          <w:sz w:val="32"/>
          <w:szCs w:val="32"/>
          <w:lang w:eastAsia="zh-CN"/>
        </w:rPr>
        <w:t>事实正确适用民事证据规则</w:t>
      </w:r>
      <w:r>
        <w:rPr>
          <w:rFonts w:hint="eastAsia" w:ascii="仿宋_GB2312" w:hAnsi="仿宋_GB2312" w:eastAsia="仿宋_GB2312" w:cs="仿宋_GB2312"/>
          <w:color w:val="auto"/>
          <w:kern w:val="0"/>
          <w:sz w:val="32"/>
          <w:szCs w:val="32"/>
        </w:rPr>
        <w:t>对获利金额进行评判与认定。第一，</w:t>
      </w:r>
      <w:r>
        <w:rPr>
          <w:rFonts w:hint="eastAsia" w:ascii="仿宋_GB2312" w:hAnsi="仿宋_GB2312" w:eastAsia="仿宋_GB2312" w:cs="仿宋_GB2312"/>
          <w:color w:val="auto"/>
          <w:kern w:val="0"/>
          <w:sz w:val="32"/>
          <w:szCs w:val="32"/>
          <w:lang w:eastAsia="zh-CN"/>
        </w:rPr>
        <w:t>李某甲</w:t>
      </w:r>
      <w:r>
        <w:rPr>
          <w:rFonts w:hint="eastAsia" w:ascii="仿宋_GB2312" w:hAnsi="仿宋_GB2312" w:eastAsia="仿宋_GB2312" w:cs="仿宋_GB2312"/>
          <w:color w:val="auto"/>
          <w:kern w:val="0"/>
          <w:sz w:val="32"/>
          <w:szCs w:val="32"/>
        </w:rPr>
        <w:t>在</w:t>
      </w:r>
      <w:r>
        <w:rPr>
          <w:rFonts w:hint="eastAsia" w:ascii="仿宋_GB2312" w:hAnsi="仿宋" w:eastAsia="仿宋_GB2312"/>
          <w:color w:val="auto"/>
          <w:sz w:val="32"/>
          <w:szCs w:val="32"/>
        </w:rPr>
        <w:t>2021年3月至2023年3月期间，从案外人</w:t>
      </w:r>
      <w:r>
        <w:rPr>
          <w:rFonts w:hint="eastAsia" w:ascii="仿宋_GB2312" w:hAnsi="仿宋" w:eastAsia="仿宋_GB2312"/>
          <w:color w:val="auto"/>
          <w:sz w:val="32"/>
          <w:szCs w:val="32"/>
          <w:lang w:eastAsia="zh-CN"/>
        </w:rPr>
        <w:t>谭某某</w:t>
      </w:r>
      <w:r>
        <w:rPr>
          <w:rFonts w:hint="eastAsia" w:ascii="仿宋_GB2312" w:hAnsi="仿宋" w:eastAsia="仿宋_GB2312"/>
          <w:color w:val="auto"/>
          <w:sz w:val="32"/>
          <w:szCs w:val="32"/>
        </w:rPr>
        <w:t>处</w:t>
      </w:r>
      <w:r>
        <w:rPr>
          <w:rFonts w:hint="eastAsia" w:ascii="仿宋_GB2312" w:hAnsi="仿宋_GB2312" w:eastAsia="仿宋_GB2312" w:cs="仿宋_GB2312"/>
          <w:color w:val="auto"/>
          <w:kern w:val="0"/>
          <w:sz w:val="32"/>
          <w:szCs w:val="32"/>
        </w:rPr>
        <w:t>购进</w:t>
      </w:r>
      <w:r>
        <w:rPr>
          <w:rFonts w:hint="eastAsia" w:ascii="仿宋_GB2312" w:hAnsi="仿宋_GB2312" w:eastAsia="仿宋_GB2312" w:cs="仿宋_GB2312"/>
          <w:color w:val="auto"/>
          <w:kern w:val="0"/>
          <w:sz w:val="32"/>
          <w:szCs w:val="32"/>
          <w:lang w:eastAsia="zh-CN"/>
        </w:rPr>
        <w:t>白某边</w:t>
      </w:r>
      <w:r>
        <w:rPr>
          <w:rFonts w:hint="eastAsia" w:ascii="仿宋_GB2312" w:hAnsi="仿宋_GB2312" w:eastAsia="仿宋_GB2312" w:cs="仿宋_GB2312"/>
          <w:color w:val="auto"/>
          <w:kern w:val="0"/>
          <w:sz w:val="32"/>
          <w:szCs w:val="32"/>
        </w:rPr>
        <w:t>系列酒共计418箱，而公安机关在案发后仅查获侵权商品43瓶（7箱零1瓶）</w:t>
      </w:r>
      <w:r>
        <w:rPr>
          <w:rFonts w:hint="eastAsia" w:ascii="仿宋_GB2312" w:hAnsi="仿宋" w:eastAsia="仿宋_GB2312"/>
          <w:color w:val="auto"/>
          <w:sz w:val="32"/>
          <w:szCs w:val="32"/>
        </w:rPr>
        <w:t>。</w:t>
      </w:r>
      <w:r>
        <w:rPr>
          <w:rFonts w:hint="eastAsia" w:ascii="仿宋_GB2312" w:hAnsi="仿宋_GB2312" w:eastAsia="仿宋_GB2312" w:cs="仿宋_GB2312"/>
          <w:color w:val="auto"/>
          <w:kern w:val="0"/>
          <w:sz w:val="32"/>
          <w:szCs w:val="32"/>
        </w:rPr>
        <w:t>刑事判决书所认定的事实系</w:t>
      </w:r>
      <w:r>
        <w:rPr>
          <w:rFonts w:hint="eastAsia" w:ascii="仿宋_GB2312" w:hAnsi="仿宋_GB2312" w:eastAsia="仿宋_GB2312" w:cs="仿宋_GB2312"/>
          <w:color w:val="auto"/>
          <w:kern w:val="0"/>
          <w:sz w:val="32"/>
          <w:szCs w:val="32"/>
          <w:lang w:eastAsia="zh-CN"/>
        </w:rPr>
        <w:t>李某甲</w:t>
      </w:r>
      <w:r>
        <w:rPr>
          <w:rFonts w:hint="eastAsia" w:ascii="仿宋_GB2312" w:hAnsi="仿宋_GB2312" w:eastAsia="仿宋_GB2312" w:cs="仿宋_GB2312"/>
          <w:color w:val="auto"/>
          <w:kern w:val="0"/>
          <w:sz w:val="32"/>
          <w:szCs w:val="32"/>
        </w:rPr>
        <w:t>向</w:t>
      </w:r>
      <w:r>
        <w:rPr>
          <w:rFonts w:hint="eastAsia" w:ascii="仿宋_GB2312" w:hAnsi="仿宋" w:eastAsia="仿宋_GB2312"/>
          <w:color w:val="auto"/>
          <w:sz w:val="32"/>
          <w:szCs w:val="32"/>
          <w:lang w:eastAsia="zh-CN"/>
        </w:rPr>
        <w:t>李某乙</w:t>
      </w:r>
      <w:r>
        <w:rPr>
          <w:rFonts w:hint="eastAsia" w:ascii="仿宋_GB2312" w:hAnsi="仿宋" w:eastAsia="仿宋_GB2312"/>
          <w:color w:val="auto"/>
          <w:sz w:val="32"/>
          <w:szCs w:val="32"/>
        </w:rPr>
        <w:t>、张</w:t>
      </w:r>
      <w:r>
        <w:rPr>
          <w:rFonts w:hint="eastAsia" w:ascii="仿宋_GB2312" w:hAnsi="仿宋" w:eastAsia="仿宋_GB2312"/>
          <w:color w:val="auto"/>
          <w:sz w:val="32"/>
          <w:szCs w:val="32"/>
          <w:lang w:eastAsia="zh-CN"/>
        </w:rPr>
        <w:t>某</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王某某</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杨某甲</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李某丙</w:t>
      </w:r>
      <w:r>
        <w:rPr>
          <w:rFonts w:hint="eastAsia" w:ascii="仿宋_GB2312" w:hAnsi="仿宋" w:eastAsia="仿宋_GB2312"/>
          <w:color w:val="auto"/>
          <w:sz w:val="32"/>
          <w:szCs w:val="32"/>
        </w:rPr>
        <w:t>等人销售假酒的获利，剩余白酒的销售去向</w:t>
      </w:r>
      <w:r>
        <w:rPr>
          <w:rFonts w:hint="eastAsia" w:ascii="仿宋_GB2312" w:hAnsi="仿宋" w:eastAsia="仿宋_GB2312"/>
          <w:color w:val="auto"/>
          <w:sz w:val="32"/>
          <w:szCs w:val="32"/>
          <w:lang w:eastAsia="zh-CN"/>
        </w:rPr>
        <w:t>未能</w:t>
      </w:r>
      <w:r>
        <w:rPr>
          <w:rFonts w:hint="eastAsia" w:ascii="仿宋_GB2312" w:hAnsi="仿宋" w:eastAsia="仿宋_GB2312"/>
          <w:color w:val="auto"/>
          <w:sz w:val="32"/>
          <w:szCs w:val="32"/>
        </w:rPr>
        <w:t>确定。</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在公安机关多次供述其销售</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系列酒远超38箱，销售对象亦不仅限于前述人群，还包括其他亲友和酒店散客等不特定群体</w:t>
      </w:r>
      <w:r>
        <w:rPr>
          <w:rFonts w:hint="eastAsia" w:ascii="仿宋_GB2312" w:hAnsi="仿宋_GB2312" w:eastAsia="仿宋_GB2312" w:cs="仿宋_GB2312"/>
          <w:color w:val="auto"/>
          <w:kern w:val="0"/>
          <w:sz w:val="32"/>
          <w:szCs w:val="32"/>
        </w:rPr>
        <w:t>，足以证实</w:t>
      </w:r>
      <w:r>
        <w:rPr>
          <w:rFonts w:hint="eastAsia" w:ascii="仿宋_GB2312" w:hAnsi="仿宋_GB2312" w:eastAsia="仿宋_GB2312" w:cs="仿宋_GB2312"/>
          <w:color w:val="auto"/>
          <w:kern w:val="0"/>
          <w:sz w:val="32"/>
          <w:szCs w:val="32"/>
          <w:lang w:eastAsia="zh-CN"/>
        </w:rPr>
        <w:t>李某甲</w:t>
      </w:r>
      <w:r>
        <w:rPr>
          <w:rFonts w:hint="eastAsia" w:ascii="仿宋_GB2312" w:hAnsi="仿宋_GB2312" w:eastAsia="仿宋_GB2312" w:cs="仿宋_GB2312"/>
          <w:color w:val="auto"/>
          <w:kern w:val="0"/>
          <w:sz w:val="32"/>
          <w:szCs w:val="32"/>
        </w:rPr>
        <w:t>实际获利情况远大于刑事判决所认定的范畴。第二，从刑民案件的证明标准及裁判</w:t>
      </w:r>
      <w:r>
        <w:rPr>
          <w:rFonts w:hint="eastAsia" w:ascii="仿宋_GB2312" w:hAnsi="仿宋_GB2312" w:eastAsia="仿宋_GB2312" w:cs="仿宋_GB2312"/>
          <w:color w:val="auto"/>
          <w:kern w:val="0"/>
          <w:sz w:val="32"/>
          <w:szCs w:val="32"/>
          <w:lang w:eastAsia="zh-CN"/>
        </w:rPr>
        <w:t>规则</w:t>
      </w:r>
      <w:r>
        <w:rPr>
          <w:rFonts w:hint="eastAsia" w:ascii="仿宋_GB2312" w:hAnsi="仿宋_GB2312" w:eastAsia="仿宋_GB2312" w:cs="仿宋_GB2312"/>
          <w:color w:val="auto"/>
          <w:kern w:val="0"/>
          <w:sz w:val="32"/>
          <w:szCs w:val="32"/>
        </w:rPr>
        <w:t>来看，刑事案件和民事案件的事实认定规则</w:t>
      </w:r>
      <w:r>
        <w:rPr>
          <w:rFonts w:hint="eastAsia" w:ascii="仿宋_GB2312" w:hAnsi="仿宋_GB2312" w:eastAsia="仿宋_GB2312" w:cs="仿宋_GB2312"/>
          <w:color w:val="auto"/>
          <w:kern w:val="0"/>
          <w:sz w:val="32"/>
          <w:szCs w:val="32"/>
          <w:lang w:eastAsia="zh-CN"/>
        </w:rPr>
        <w:t>和</w:t>
      </w:r>
      <w:r>
        <w:rPr>
          <w:rFonts w:hint="eastAsia" w:ascii="仿宋_GB2312" w:hAnsi="仿宋_GB2312" w:eastAsia="仿宋_GB2312" w:cs="仿宋_GB2312"/>
          <w:color w:val="auto"/>
          <w:kern w:val="0"/>
          <w:sz w:val="32"/>
          <w:szCs w:val="32"/>
        </w:rPr>
        <w:t>证明标准</w:t>
      </w:r>
      <w:r>
        <w:rPr>
          <w:rFonts w:hint="eastAsia" w:ascii="仿宋_GB2312" w:hAnsi="仿宋_GB2312" w:eastAsia="仿宋_GB2312" w:cs="仿宋_GB2312"/>
          <w:color w:val="auto"/>
          <w:kern w:val="0"/>
          <w:sz w:val="32"/>
          <w:szCs w:val="32"/>
          <w:lang w:eastAsia="zh-CN"/>
        </w:rPr>
        <w:t>不同</w:t>
      </w:r>
      <w:r>
        <w:rPr>
          <w:rFonts w:hint="eastAsia" w:ascii="仿宋_GB2312" w:hAnsi="仿宋_GB2312" w:eastAsia="仿宋_GB2312" w:cs="仿宋_GB2312"/>
          <w:color w:val="auto"/>
          <w:kern w:val="0"/>
          <w:sz w:val="32"/>
          <w:szCs w:val="32"/>
        </w:rPr>
        <w:t>，</w:t>
      </w:r>
      <w:r>
        <w:rPr>
          <w:rFonts w:hint="eastAsia" w:ascii="仿宋_GB2312" w:hAnsi="仿宋_GB2312" w:eastAsia="仿宋_GB2312" w:cs="仿宋_GB2312"/>
          <w:color w:val="auto"/>
          <w:kern w:val="0"/>
          <w:sz w:val="32"/>
          <w:szCs w:val="32"/>
          <w:lang w:eastAsia="zh-CN"/>
        </w:rPr>
        <w:t>刑事案件受限于“证据确实充分”“排除合理怀疑”这一极高的证明标准，若相关事实和证据符合民事诉讼证据规则和证明标准，则在民事案件中可以作为侵权事实认定</w:t>
      </w:r>
      <w:r>
        <w:rPr>
          <w:rFonts w:hint="eastAsia" w:ascii="仿宋_GB2312" w:hAnsi="仿宋_GB2312" w:eastAsia="仿宋_GB2312" w:cs="仿宋_GB2312"/>
          <w:color w:val="auto"/>
          <w:kern w:val="0"/>
          <w:sz w:val="32"/>
          <w:szCs w:val="32"/>
        </w:rPr>
        <w:t>。</w:t>
      </w:r>
      <w:r>
        <w:rPr>
          <w:rFonts w:hint="eastAsia" w:ascii="仿宋_GB2312" w:hAnsi="仿宋" w:eastAsia="仿宋_GB2312"/>
          <w:color w:val="auto"/>
          <w:sz w:val="32"/>
          <w:szCs w:val="32"/>
        </w:rPr>
        <w:t>具体到本案，</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已就</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从</w:t>
      </w:r>
      <w:r>
        <w:rPr>
          <w:rFonts w:hint="eastAsia" w:ascii="仿宋_GB2312" w:hAnsi="仿宋" w:eastAsia="仿宋_GB2312"/>
          <w:color w:val="auto"/>
          <w:sz w:val="32"/>
          <w:szCs w:val="32"/>
          <w:lang w:eastAsia="zh-CN"/>
        </w:rPr>
        <w:t>谭某某</w:t>
      </w:r>
      <w:r>
        <w:rPr>
          <w:rFonts w:hint="eastAsia" w:ascii="仿宋_GB2312" w:hAnsi="仿宋" w:eastAsia="仿宋_GB2312"/>
          <w:color w:val="auto"/>
          <w:sz w:val="32"/>
          <w:szCs w:val="32"/>
        </w:rPr>
        <w:t>处购进418箱假冒</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酒和公安机关查获侵权商品数量完成举证，</w:t>
      </w:r>
      <w:r>
        <w:rPr>
          <w:rFonts w:hint="eastAsia" w:ascii="仿宋_GB2312" w:hAnsi="仿宋" w:eastAsia="仿宋_GB2312"/>
          <w:color w:val="auto"/>
          <w:sz w:val="32"/>
          <w:szCs w:val="32"/>
          <w:lang w:eastAsia="zh-CN"/>
        </w:rPr>
        <w:t>形成较强的证据优势，</w:t>
      </w:r>
      <w:r>
        <w:rPr>
          <w:rFonts w:hint="eastAsia" w:ascii="仿宋_GB2312" w:hAnsi="仿宋" w:eastAsia="仿宋_GB2312"/>
          <w:color w:val="auto"/>
          <w:sz w:val="32"/>
          <w:szCs w:val="32"/>
        </w:rPr>
        <w:t>在此情况下，案涉418箱假冒</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酒扣除查获数量后剩余部分的去向，依法应当由</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承担举证责任</w:t>
      </w:r>
      <w:r>
        <w:rPr>
          <w:rFonts w:hint="eastAsia" w:ascii="仿宋_GB2312" w:hAnsi="仿宋" w:eastAsia="仿宋_GB2312"/>
          <w:color w:val="auto"/>
          <w:sz w:val="32"/>
          <w:szCs w:val="32"/>
          <w:lang w:eastAsia="zh-CN"/>
        </w:rPr>
        <w:t>，若其举证不能，应当承担不利的法律后果。</w:t>
      </w:r>
    </w:p>
    <w:p w14:paraId="6211B765">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庭审中，</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辩称</w:t>
      </w:r>
      <w:r>
        <w:rPr>
          <w:rFonts w:hint="eastAsia" w:ascii="仿宋_GB2312" w:hAnsi="仿宋" w:eastAsia="仿宋_GB2312"/>
          <w:color w:val="auto"/>
          <w:sz w:val="32"/>
          <w:szCs w:val="32"/>
          <w:lang w:eastAsia="zh-CN"/>
        </w:rPr>
        <w:t>其</w:t>
      </w:r>
      <w:r>
        <w:rPr>
          <w:rFonts w:hint="eastAsia" w:ascii="仿宋_GB2312" w:hAnsi="仿宋" w:eastAsia="仿宋_GB2312"/>
          <w:color w:val="auto"/>
          <w:sz w:val="32"/>
          <w:szCs w:val="32"/>
        </w:rPr>
        <w:t>仅销售38箱，剩余酒都用于自己家过事、家人亲戚朋友过事时饮用，给亲戚朋友是按成本价，其未从中获利。对</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该抗辩，本院依法不予</w:t>
      </w:r>
      <w:r>
        <w:rPr>
          <w:rFonts w:hint="eastAsia" w:ascii="仿宋_GB2312" w:hAnsi="仿宋" w:eastAsia="仿宋_GB2312"/>
          <w:color w:val="auto"/>
          <w:sz w:val="32"/>
          <w:szCs w:val="32"/>
          <w:lang w:eastAsia="zh-CN"/>
        </w:rPr>
        <w:t>采纳</w:t>
      </w:r>
      <w:r>
        <w:rPr>
          <w:rFonts w:hint="eastAsia" w:ascii="仿宋_GB2312" w:hAnsi="仿宋" w:eastAsia="仿宋_GB2312"/>
          <w:color w:val="auto"/>
          <w:sz w:val="32"/>
          <w:szCs w:val="32"/>
        </w:rPr>
        <w:t>，理由如下：第一，</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明知案涉</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酒系侵权商品，且此前曾因侵害商标权受到行政处罚，其在明知侵权的情况下，仍持续性从同一来源大量低价购入案涉假酒，其行为难谓善意；第二，</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作为酒店经营者，购进418箱侵权商品，仅自认销售38箱，剩余酒全部用于自家及亲友办事饮用，该辩解明显不符合一般社会公众生活经验与正常商业逻辑，且与正常家庭、亲友间红白喜事酒水用量相差甚远，缺乏合理性；第三，</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在2023年3月16日</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17日公安机关</w:t>
      </w:r>
      <w:r>
        <w:rPr>
          <w:rFonts w:hint="eastAsia" w:ascii="仿宋_GB2312" w:hAnsi="仿宋" w:eastAsia="仿宋_GB2312"/>
          <w:color w:val="auto"/>
          <w:sz w:val="32"/>
          <w:szCs w:val="32"/>
          <w:lang w:eastAsia="zh-CN"/>
        </w:rPr>
        <w:t>的三次</w:t>
      </w:r>
      <w:r>
        <w:rPr>
          <w:rFonts w:hint="eastAsia" w:ascii="仿宋_GB2312" w:hAnsi="仿宋" w:eastAsia="仿宋_GB2312"/>
          <w:color w:val="auto"/>
          <w:sz w:val="32"/>
          <w:szCs w:val="32"/>
        </w:rPr>
        <w:t>讯问中</w:t>
      </w:r>
      <w:r>
        <w:rPr>
          <w:rFonts w:hint="eastAsia" w:ascii="仿宋_GB2312" w:hAnsi="仿宋" w:eastAsia="仿宋_GB2312"/>
          <w:color w:val="auto"/>
          <w:sz w:val="32"/>
          <w:szCs w:val="32"/>
          <w:lang w:eastAsia="zh-CN"/>
        </w:rPr>
        <w:t>所</w:t>
      </w:r>
      <w:r>
        <w:rPr>
          <w:rFonts w:hint="eastAsia" w:ascii="仿宋_GB2312" w:hAnsi="仿宋" w:eastAsia="仿宋_GB2312"/>
          <w:color w:val="auto"/>
          <w:sz w:val="32"/>
          <w:szCs w:val="32"/>
        </w:rPr>
        <w:t>供述销售</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系列酒</w:t>
      </w:r>
      <w:r>
        <w:rPr>
          <w:rFonts w:hint="eastAsia" w:ascii="仿宋_GB2312" w:hAnsi="仿宋" w:eastAsia="仿宋_GB2312"/>
          <w:color w:val="auto"/>
          <w:sz w:val="32"/>
          <w:szCs w:val="32"/>
          <w:lang w:eastAsia="zh-CN"/>
        </w:rPr>
        <w:t>的箱数，</w:t>
      </w:r>
      <w:r>
        <w:rPr>
          <w:rFonts w:hint="eastAsia" w:ascii="仿宋_GB2312" w:hAnsi="仿宋" w:eastAsia="仿宋_GB2312"/>
          <w:color w:val="auto"/>
          <w:sz w:val="32"/>
          <w:szCs w:val="32"/>
        </w:rPr>
        <w:t>与其当庭</w:t>
      </w:r>
      <w:r>
        <w:rPr>
          <w:rFonts w:hint="eastAsia" w:ascii="仿宋_GB2312" w:hAnsi="仿宋" w:eastAsia="仿宋_GB2312"/>
          <w:color w:val="auto"/>
          <w:sz w:val="32"/>
          <w:szCs w:val="32"/>
          <w:lang w:eastAsia="zh-CN"/>
        </w:rPr>
        <w:t>所作</w:t>
      </w:r>
      <w:r>
        <w:rPr>
          <w:rFonts w:hint="eastAsia" w:ascii="仿宋_GB2312" w:hAnsi="仿宋" w:eastAsia="仿宋_GB2312"/>
          <w:color w:val="auto"/>
          <w:sz w:val="32"/>
          <w:szCs w:val="32"/>
        </w:rPr>
        <w:t>仅销售38箱的陈述</w:t>
      </w:r>
      <w:r>
        <w:rPr>
          <w:rFonts w:hint="eastAsia" w:ascii="仿宋_GB2312" w:hAnsi="仿宋" w:eastAsia="仿宋_GB2312"/>
          <w:color w:val="auto"/>
          <w:sz w:val="32"/>
          <w:szCs w:val="32"/>
          <w:lang w:eastAsia="zh-CN"/>
        </w:rPr>
        <w:t>前后不一致；</w:t>
      </w:r>
      <w:r>
        <w:rPr>
          <w:rFonts w:hint="eastAsia" w:ascii="仿宋_GB2312" w:hAnsi="仿宋" w:eastAsia="仿宋_GB2312"/>
          <w:color w:val="auto"/>
          <w:sz w:val="32"/>
          <w:szCs w:val="32"/>
        </w:rPr>
        <w:t>第四，</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当庭陈述向亲友按成本价提供酒水且未获利，未提供任何证据予以佐证。</w:t>
      </w:r>
      <w:r>
        <w:rPr>
          <w:rFonts w:hint="eastAsia" w:ascii="仿宋_GB2312" w:hAnsi="仿宋" w:eastAsia="仿宋_GB2312"/>
          <w:color w:val="auto"/>
          <w:sz w:val="32"/>
          <w:szCs w:val="32"/>
          <w:lang w:eastAsia="zh-CN"/>
        </w:rPr>
        <w:t>综上，李某甲对</w:t>
      </w:r>
      <w:r>
        <w:rPr>
          <w:rFonts w:hint="eastAsia" w:ascii="仿宋_GB2312" w:hAnsi="仿宋" w:eastAsia="仿宋_GB2312"/>
          <w:color w:val="auto"/>
          <w:sz w:val="32"/>
          <w:szCs w:val="32"/>
        </w:rPr>
        <w:t>案涉418箱假冒</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酒扣除查获数量后剩余部分的去向</w:t>
      </w:r>
      <w:r>
        <w:rPr>
          <w:rFonts w:hint="eastAsia" w:ascii="仿宋_GB2312" w:hAnsi="仿宋" w:eastAsia="仿宋_GB2312"/>
          <w:color w:val="auto"/>
          <w:sz w:val="32"/>
          <w:szCs w:val="32"/>
          <w:lang w:eastAsia="zh-CN"/>
        </w:rPr>
        <w:t>未提交证据证明，且其辩解前后矛盾，不合常理，</w:t>
      </w:r>
      <w:r>
        <w:rPr>
          <w:rFonts w:hint="eastAsia" w:ascii="仿宋_GB2312" w:hAnsi="仿宋" w:eastAsia="仿宋_GB2312"/>
          <w:color w:val="auto"/>
          <w:sz w:val="32"/>
          <w:szCs w:val="32"/>
        </w:rPr>
        <w:t>应承担举证不能的法律后果，本院对</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主张</w:t>
      </w:r>
      <w:r>
        <w:rPr>
          <w:rFonts w:hint="eastAsia" w:ascii="仿宋_GB2312" w:hAnsi="仿宋" w:eastAsia="仿宋_GB2312"/>
          <w:color w:val="auto"/>
          <w:sz w:val="32"/>
          <w:szCs w:val="32"/>
          <w:lang w:eastAsia="zh-CN"/>
        </w:rPr>
        <w:t>的李某甲</w:t>
      </w:r>
      <w:r>
        <w:rPr>
          <w:rFonts w:hint="eastAsia" w:ascii="仿宋_GB2312" w:hAnsi="仿宋" w:eastAsia="仿宋_GB2312"/>
          <w:color w:val="auto"/>
          <w:sz w:val="32"/>
          <w:szCs w:val="32"/>
        </w:rPr>
        <w:t>销售假冒</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系列酒410箱的侵权数量，予以</w:t>
      </w:r>
      <w:r>
        <w:rPr>
          <w:rFonts w:hint="eastAsia" w:ascii="仿宋_GB2312" w:hAnsi="仿宋" w:eastAsia="仿宋_GB2312"/>
          <w:color w:val="auto"/>
          <w:sz w:val="32"/>
          <w:szCs w:val="32"/>
          <w:lang w:eastAsia="zh-CN"/>
        </w:rPr>
        <w:t>认定</w:t>
      </w:r>
      <w:r>
        <w:rPr>
          <w:rFonts w:hint="eastAsia" w:ascii="仿宋_GB2312" w:hAnsi="仿宋" w:eastAsia="仿宋_GB2312"/>
          <w:color w:val="auto"/>
          <w:sz w:val="32"/>
          <w:szCs w:val="32"/>
        </w:rPr>
        <w:t>。</w:t>
      </w:r>
    </w:p>
    <w:p w14:paraId="59B52955">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关于侵权商品的单位利润，</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自认12年</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酒每箱加价180元进行销售，15年</w:t>
      </w:r>
      <w:r>
        <w:rPr>
          <w:rFonts w:hint="eastAsia" w:ascii="仿宋_GB2312" w:hAnsi="仿宋" w:eastAsia="仿宋_GB2312"/>
          <w:color w:val="auto"/>
          <w:sz w:val="32"/>
          <w:szCs w:val="32"/>
          <w:lang w:eastAsia="zh-CN"/>
        </w:rPr>
        <w:t>白某边</w:t>
      </w:r>
      <w:r>
        <w:rPr>
          <w:rFonts w:hint="eastAsia" w:ascii="仿宋_GB2312" w:hAnsi="仿宋" w:eastAsia="仿宋_GB2312"/>
          <w:color w:val="auto"/>
          <w:sz w:val="32"/>
          <w:szCs w:val="32"/>
        </w:rPr>
        <w:t>酒每箱加价300元进行销售，</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主张按照每箱180元计算，该计算标准未超出合理范畴，本院予以</w:t>
      </w:r>
      <w:r>
        <w:rPr>
          <w:rFonts w:hint="eastAsia" w:ascii="仿宋_GB2312" w:hAnsi="仿宋" w:eastAsia="仿宋_GB2312"/>
          <w:color w:val="auto"/>
          <w:sz w:val="32"/>
          <w:szCs w:val="32"/>
          <w:lang w:eastAsia="zh-CN"/>
        </w:rPr>
        <w:t>支持</w:t>
      </w:r>
      <w:r>
        <w:rPr>
          <w:rFonts w:hint="eastAsia" w:ascii="仿宋_GB2312" w:hAnsi="仿宋" w:eastAsia="仿宋_GB2312"/>
          <w:color w:val="auto"/>
          <w:sz w:val="32"/>
          <w:szCs w:val="32"/>
        </w:rPr>
        <w:t>。关于惩罚性赔偿的倍数，</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主张在侵权获利基数的基础上适用1倍惩罚性赔偿，综合</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主观过错程度、侵权行为的严重程度</w:t>
      </w:r>
      <w:r>
        <w:rPr>
          <w:rFonts w:hint="eastAsia" w:ascii="仿宋_GB2312" w:hAnsi="仿宋" w:eastAsia="仿宋_GB2312"/>
          <w:color w:val="auto"/>
          <w:sz w:val="32"/>
          <w:szCs w:val="32"/>
          <w:lang w:eastAsia="zh-CN"/>
        </w:rPr>
        <w:t>、李某甲已受刑事处罚并处罚金</w:t>
      </w:r>
      <w:r>
        <w:rPr>
          <w:rFonts w:hint="eastAsia" w:ascii="仿宋_GB2312" w:hAnsi="仿宋" w:eastAsia="仿宋_GB2312"/>
          <w:color w:val="auto"/>
          <w:sz w:val="32"/>
          <w:szCs w:val="32"/>
        </w:rPr>
        <w:t>等因素，</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主张的该倍数合理，本院予以支持。关于</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主张的维权合理开支2400元，考虑到本案确有律师出庭参加诉讼，综合考虑案件的繁复程度、实际判赔额与诉请赔偿额的比例、</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批量维权诉讼等因素，</w:t>
      </w:r>
      <w:r>
        <w:rPr>
          <w:rFonts w:hint="eastAsia" w:ascii="仿宋_GB2312" w:hAnsi="仿宋" w:eastAsia="仿宋_GB2312"/>
          <w:color w:val="auto"/>
          <w:sz w:val="32"/>
          <w:szCs w:val="32"/>
          <w:lang w:eastAsia="zh-CN"/>
        </w:rPr>
        <w:t>白某边公司</w:t>
      </w:r>
      <w:r>
        <w:rPr>
          <w:rFonts w:hint="eastAsia" w:ascii="仿宋_GB2312" w:hAnsi="仿宋" w:eastAsia="仿宋_GB2312"/>
          <w:color w:val="auto"/>
          <w:sz w:val="32"/>
          <w:szCs w:val="32"/>
        </w:rPr>
        <w:t>主张的合理开支2400元合理，本院予以支持。综上，本院</w:t>
      </w:r>
      <w:r>
        <w:rPr>
          <w:rFonts w:hint="eastAsia" w:ascii="仿宋_GB2312" w:hAnsi="仿宋" w:eastAsia="仿宋_GB2312"/>
          <w:color w:val="auto"/>
          <w:sz w:val="32"/>
          <w:szCs w:val="32"/>
          <w:lang w:eastAsia="zh-CN"/>
        </w:rPr>
        <w:t>对白某边公司诉请的赔偿金额予以支持，即李某甲赔偿白某边公司</w:t>
      </w:r>
      <w:r>
        <w:rPr>
          <w:rFonts w:hint="eastAsia" w:ascii="仿宋_GB2312" w:hAnsi="仿宋" w:eastAsia="仿宋_GB2312"/>
          <w:color w:val="auto"/>
          <w:sz w:val="32"/>
          <w:szCs w:val="32"/>
        </w:rPr>
        <w:t>经济损失147600元（侵权商品销售量410箱×单位利润180元×2倍）</w:t>
      </w:r>
      <w:r>
        <w:rPr>
          <w:rFonts w:hint="eastAsia" w:ascii="仿宋_GB2312" w:hAnsi="仿宋" w:eastAsia="仿宋_GB2312"/>
          <w:color w:val="auto"/>
          <w:sz w:val="32"/>
          <w:szCs w:val="32"/>
          <w:lang w:eastAsia="zh-CN"/>
        </w:rPr>
        <w:t>及维权</w:t>
      </w:r>
      <w:r>
        <w:rPr>
          <w:rFonts w:hint="eastAsia" w:ascii="仿宋_GB2312" w:hAnsi="仿宋" w:eastAsia="仿宋_GB2312"/>
          <w:color w:val="auto"/>
          <w:sz w:val="32"/>
          <w:szCs w:val="32"/>
        </w:rPr>
        <w:t>合理开支2400元，</w:t>
      </w:r>
      <w:r>
        <w:rPr>
          <w:rFonts w:hint="eastAsia" w:ascii="仿宋_GB2312" w:hAnsi="仿宋" w:eastAsia="仿宋_GB2312"/>
          <w:color w:val="auto"/>
          <w:sz w:val="32"/>
          <w:szCs w:val="32"/>
          <w:lang w:eastAsia="zh-CN"/>
        </w:rPr>
        <w:t>两项</w:t>
      </w:r>
      <w:r>
        <w:rPr>
          <w:rFonts w:hint="eastAsia" w:ascii="仿宋_GB2312" w:hAnsi="仿宋" w:eastAsia="仿宋_GB2312"/>
          <w:color w:val="auto"/>
          <w:sz w:val="32"/>
          <w:szCs w:val="32"/>
        </w:rPr>
        <w:t>合计150000元</w:t>
      </w:r>
      <w:r>
        <w:rPr>
          <w:rFonts w:hint="eastAsia" w:ascii="仿宋_GB2312" w:hAnsi="仿宋" w:eastAsia="仿宋_GB2312"/>
          <w:color w:val="auto"/>
          <w:sz w:val="32"/>
          <w:szCs w:val="32"/>
          <w:lang w:eastAsia="zh-CN"/>
        </w:rPr>
        <w:t>。</w:t>
      </w:r>
    </w:p>
    <w:p w14:paraId="7D757A2C">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依照《中华人民共和国商标法》第四十八条、第五十六条、第五十七条、第六十三条</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《中华人民共和国民事诉讼法》第六十七条第一款</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《最高人民法院关于审理商标民事纠纷案件适用法律若干问题的解释》第九条第一款、第十三条、第十七条，《最高人民法院关于审理侵害知识产权民事案件适用惩罚性赔偿的解释》第一条</w:t>
      </w:r>
      <w:r>
        <w:rPr>
          <w:rFonts w:hint="eastAsia" w:ascii="仿宋_GB2312" w:hAnsi="仿宋" w:eastAsia="仿宋_GB2312"/>
          <w:color w:val="auto"/>
          <w:sz w:val="32"/>
          <w:szCs w:val="32"/>
          <w:lang w:eastAsia="zh-CN"/>
        </w:rPr>
        <w:t>、第二条、第三条、第四条、第五条、</w:t>
      </w:r>
      <w:r>
        <w:rPr>
          <w:rFonts w:hint="eastAsia" w:ascii="仿宋_GB2312" w:hAnsi="仿宋" w:eastAsia="仿宋_GB2312"/>
          <w:color w:val="auto"/>
          <w:sz w:val="32"/>
          <w:szCs w:val="32"/>
        </w:rPr>
        <w:t>第六条及《最高人民法院关于适用&lt;中华人民共和国民事诉讼法&gt;的解释》第九十条的规定</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判决如下</w:t>
      </w:r>
      <w:r>
        <w:rPr>
          <w:rFonts w:hint="eastAsia" w:ascii="仿宋_GB2312" w:hAnsi="仿宋" w:eastAsia="仿宋_GB2312"/>
          <w:color w:val="auto"/>
          <w:sz w:val="32"/>
          <w:szCs w:val="32"/>
          <w:lang w:eastAsia="zh-CN"/>
        </w:rPr>
        <w:t>：</w:t>
      </w:r>
    </w:p>
    <w:p w14:paraId="0DBBBFC9">
      <w:pPr>
        <w:keepNext w:val="0"/>
        <w:keepLines w:val="0"/>
        <w:pageBreakBefore w:val="0"/>
        <w:kinsoku/>
        <w:overflowPunct/>
        <w:topLinePunct w:val="0"/>
        <w:autoSpaceDE/>
        <w:autoSpaceDN/>
        <w:bidi w:val="0"/>
        <w:adjustRightInd/>
        <w:snapToGrid/>
        <w:spacing w:line="640" w:lineRule="exact"/>
        <w:ind w:firstLine="640" w:firstLineChars="200"/>
        <w:contextualSpacing/>
        <w:textAlignment w:val="auto"/>
        <w:rPr>
          <w:rFonts w:hint="default" w:ascii="仿宋_GB2312" w:hAnsi="仿宋" w:eastAsia="仿宋_GB2312"/>
          <w:color w:val="auto"/>
          <w:sz w:val="32"/>
          <w:szCs w:val="32"/>
          <w:lang w:val="en-US" w:eastAsia="zh-CN"/>
        </w:rPr>
      </w:pPr>
      <w:r>
        <w:rPr>
          <w:rFonts w:hint="eastAsia" w:ascii="仿宋_GB2312" w:hAnsi="仿宋" w:eastAsia="仿宋_GB2312"/>
          <w:color w:val="auto"/>
          <w:sz w:val="32"/>
          <w:szCs w:val="32"/>
          <w:lang w:eastAsia="zh-CN"/>
        </w:rPr>
        <w:t>一、被告李某甲立即停止侵害</w:t>
      </w:r>
      <w:r>
        <w:rPr>
          <w:rFonts w:hint="eastAsia" w:ascii="仿宋_GB2312" w:hAnsi="仿宋" w:eastAsia="仿宋_GB2312"/>
          <w:color w:val="auto"/>
          <w:sz w:val="32"/>
          <w:szCs w:val="32"/>
        </w:rPr>
        <w:t>第5576721号</w:t>
      </w:r>
      <w:r>
        <w:rPr>
          <w:rFonts w:hint="eastAsia" w:ascii="仿宋_GB2312" w:hAnsi="仿宋" w:eastAsia="仿宋_GB2312"/>
          <w:color w:val="auto"/>
          <w:sz w:val="32"/>
          <w:szCs w:val="32"/>
          <w:lang w:eastAsia="zh-CN"/>
        </w:rPr>
        <w:t>注册商标专用权的行为；</w:t>
      </w:r>
    </w:p>
    <w:p w14:paraId="23B9ECA2">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lang w:eastAsia="zh-CN"/>
        </w:rPr>
      </w:pPr>
      <w:r>
        <w:rPr>
          <w:rFonts w:hint="eastAsia" w:ascii="仿宋_GB2312" w:hAnsi="仿宋" w:eastAsia="仿宋_GB2312"/>
          <w:color w:val="auto"/>
          <w:sz w:val="32"/>
          <w:szCs w:val="32"/>
          <w:lang w:eastAsia="zh-CN"/>
        </w:rPr>
        <w:t>二</w:t>
      </w:r>
      <w:r>
        <w:rPr>
          <w:rFonts w:hint="eastAsia" w:ascii="仿宋_GB2312" w:hAnsi="仿宋" w:eastAsia="仿宋_GB2312"/>
          <w:color w:val="auto"/>
          <w:sz w:val="32"/>
          <w:szCs w:val="32"/>
        </w:rPr>
        <w:t>、</w:t>
      </w:r>
      <w:r>
        <w:rPr>
          <w:rFonts w:hint="eastAsia" w:ascii="仿宋_GB2312" w:hAnsi="仿宋" w:eastAsia="仿宋_GB2312"/>
          <w:color w:val="auto"/>
          <w:sz w:val="32"/>
          <w:szCs w:val="32"/>
          <w:lang w:eastAsia="zh-CN"/>
        </w:rPr>
        <w:t>被告李某甲</w:t>
      </w:r>
      <w:r>
        <w:rPr>
          <w:rFonts w:hint="eastAsia" w:ascii="仿宋_GB2312" w:hAnsi="仿宋" w:eastAsia="仿宋_GB2312"/>
          <w:color w:val="auto"/>
          <w:sz w:val="32"/>
          <w:szCs w:val="32"/>
        </w:rPr>
        <w:t>于本判决生效之日起十日内，赔偿原告湖北</w:t>
      </w:r>
      <w:r>
        <w:rPr>
          <w:rFonts w:hint="eastAsia" w:ascii="仿宋_GB2312" w:hAnsi="仿宋" w:eastAsia="仿宋_GB2312"/>
          <w:color w:val="auto"/>
          <w:sz w:val="32"/>
          <w:szCs w:val="32"/>
          <w:lang w:eastAsia="zh-CN"/>
        </w:rPr>
        <w:t>某某某</w:t>
      </w:r>
      <w:r>
        <w:rPr>
          <w:rFonts w:hint="eastAsia" w:ascii="仿宋_GB2312" w:hAnsi="仿宋" w:eastAsia="仿宋_GB2312"/>
          <w:color w:val="auto"/>
          <w:sz w:val="32"/>
          <w:szCs w:val="32"/>
        </w:rPr>
        <w:t>酒业股份有限公司经济损失（含为制止侵权支付的合理开支）</w:t>
      </w:r>
      <w:r>
        <w:rPr>
          <w:rFonts w:hint="eastAsia" w:ascii="仿宋_GB2312" w:hAnsi="仿宋" w:eastAsia="仿宋_GB2312"/>
          <w:color w:val="auto"/>
          <w:sz w:val="32"/>
          <w:szCs w:val="32"/>
          <w:lang w:eastAsia="zh-CN"/>
        </w:rPr>
        <w:t>共计</w:t>
      </w:r>
      <w:r>
        <w:rPr>
          <w:rFonts w:hint="eastAsia" w:ascii="仿宋_GB2312" w:hAnsi="仿宋" w:eastAsia="仿宋_GB2312"/>
          <w:color w:val="auto"/>
          <w:sz w:val="32"/>
          <w:szCs w:val="32"/>
        </w:rPr>
        <w:t>150000元</w:t>
      </w:r>
      <w:r>
        <w:rPr>
          <w:rFonts w:hint="eastAsia" w:ascii="仿宋_GB2312" w:hAnsi="仿宋" w:eastAsia="仿宋_GB2312"/>
          <w:color w:val="auto"/>
          <w:sz w:val="32"/>
          <w:szCs w:val="32"/>
          <w:lang w:eastAsia="zh-CN"/>
        </w:rPr>
        <w:t>。</w:t>
      </w:r>
    </w:p>
    <w:p w14:paraId="2CFD942D">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olor w:val="auto"/>
          <w:sz w:val="32"/>
          <w:szCs w:val="32"/>
        </w:rPr>
      </w:pPr>
      <w:r>
        <w:rPr>
          <w:rFonts w:hint="eastAsia" w:ascii="仿宋_GB2312" w:hAnsi="仿宋" w:eastAsia="仿宋_GB2312"/>
          <w:color w:val="auto"/>
          <w:sz w:val="32"/>
          <w:szCs w:val="32"/>
        </w:rPr>
        <w:t>如果未按本判决指定的期间履行给付金钱义务，应当依照《中华人民共和国民事诉讼法》第二百六十四条规定，加倍支付迟延履行期间的债务利息。</w:t>
      </w:r>
    </w:p>
    <w:p w14:paraId="09299AEB">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ascii="仿宋_GB2312" w:hAnsi="仿宋" w:eastAsia="仿宋_GB2312"/>
          <w:color w:val="auto"/>
          <w:sz w:val="32"/>
          <w:szCs w:val="32"/>
        </w:rPr>
      </w:pPr>
      <w:r>
        <w:rPr>
          <w:rFonts w:hint="eastAsia" w:ascii="仿宋_GB2312" w:hAnsi="仿宋" w:eastAsia="仿宋_GB2312"/>
          <w:color w:val="auto"/>
          <w:sz w:val="32"/>
          <w:szCs w:val="32"/>
        </w:rPr>
        <w:t>案件受理费3300</w:t>
      </w:r>
      <w:r>
        <w:rPr>
          <w:rFonts w:ascii="仿宋_GB2312" w:hAnsi="仿宋" w:eastAsia="仿宋_GB2312"/>
          <w:color w:val="auto"/>
          <w:sz w:val="32"/>
          <w:szCs w:val="32"/>
        </w:rPr>
        <w:t>元，</w:t>
      </w:r>
      <w:r>
        <w:rPr>
          <w:rFonts w:hint="eastAsia" w:ascii="仿宋_GB2312" w:hAnsi="仿宋" w:eastAsia="仿宋_GB2312"/>
          <w:color w:val="auto"/>
          <w:sz w:val="32"/>
          <w:szCs w:val="32"/>
        </w:rPr>
        <w:t>由</w:t>
      </w:r>
      <w:r>
        <w:rPr>
          <w:rFonts w:hint="eastAsia" w:ascii="仿宋_GB2312" w:hAnsi="仿宋" w:eastAsia="仿宋_GB2312"/>
          <w:color w:val="auto"/>
          <w:sz w:val="32"/>
          <w:szCs w:val="32"/>
          <w:lang w:eastAsia="zh-CN"/>
        </w:rPr>
        <w:t>李某甲</w:t>
      </w:r>
      <w:r>
        <w:rPr>
          <w:rFonts w:hint="eastAsia" w:ascii="仿宋_GB2312" w:hAnsi="仿宋" w:eastAsia="仿宋_GB2312"/>
          <w:color w:val="auto"/>
          <w:sz w:val="32"/>
          <w:szCs w:val="32"/>
        </w:rPr>
        <w:t>负担（于本判决生效之日起七日内交纳）。</w:t>
      </w:r>
    </w:p>
    <w:p w14:paraId="2EE05DF4">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s="仿宋_GB2312"/>
          <w:color w:val="auto"/>
          <w:sz w:val="32"/>
          <w:szCs w:val="32"/>
        </w:rPr>
      </w:pPr>
      <w:r>
        <w:rPr>
          <w:rFonts w:hint="eastAsia" w:ascii="仿宋_GB2312" w:hAnsi="仿宋" w:eastAsia="仿宋_GB2312" w:cs="仿宋_GB2312"/>
          <w:color w:val="auto"/>
          <w:sz w:val="32"/>
          <w:szCs w:val="32"/>
        </w:rPr>
        <w:t>如不服本判决，可在判决书送达之日起十五日内向本院递交上诉状，并按对方当事人的人数提出副本，上诉于湖北省襄阳市中级人民法院。</w:t>
      </w:r>
    </w:p>
    <w:p w14:paraId="7F8846E5">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s="仿宋_GB2312"/>
          <w:color w:val="auto"/>
          <w:sz w:val="32"/>
          <w:szCs w:val="32"/>
        </w:rPr>
      </w:pPr>
    </w:p>
    <w:p w14:paraId="66C8619F">
      <w:pPr>
        <w:keepNext w:val="0"/>
        <w:keepLines w:val="0"/>
        <w:pageBreakBefore w:val="0"/>
        <w:kinsoku/>
        <w:overflowPunct/>
        <w:topLinePunct w:val="0"/>
        <w:autoSpaceDE/>
        <w:autoSpaceDN/>
        <w:bidi w:val="0"/>
        <w:adjustRightInd/>
        <w:snapToGrid/>
        <w:spacing w:line="640" w:lineRule="exact"/>
        <w:ind w:firstLine="640" w:firstLineChars="200"/>
        <w:textAlignment w:val="auto"/>
        <w:rPr>
          <w:rFonts w:hint="eastAsia" w:ascii="仿宋_GB2312" w:hAnsi="仿宋" w:eastAsia="仿宋_GB2312" w:cs="仿宋_GB2312"/>
          <w:color w:val="auto"/>
          <w:sz w:val="32"/>
          <w:szCs w:val="32"/>
        </w:rPr>
      </w:pPr>
    </w:p>
    <w:p w14:paraId="3C848A79">
      <w:pPr>
        <w:keepNext w:val="0"/>
        <w:keepLines w:val="0"/>
        <w:pageBreakBefore w:val="0"/>
        <w:kinsoku/>
        <w:overflowPunct/>
        <w:topLinePunct w:val="0"/>
        <w:autoSpaceDE/>
        <w:autoSpaceDN/>
        <w:bidi w:val="0"/>
        <w:adjustRightInd/>
        <w:snapToGrid/>
        <w:spacing w:line="640" w:lineRule="exact"/>
        <w:ind w:right="630" w:rightChars="300" w:firstLine="640" w:firstLineChars="200"/>
        <w:jc w:val="right"/>
        <w:textAlignment w:val="auto"/>
        <w:rPr>
          <w:rFonts w:hint="eastAsia" w:ascii="仿宋_GB2312" w:hAnsi="宋体" w:eastAsia="仿宋_GB2312"/>
          <w:color w:val="auto"/>
          <w:kern w:val="0"/>
          <w:sz w:val="32"/>
        </w:rPr>
      </w:pPr>
      <w:r>
        <w:rPr>
          <w:rFonts w:hint="eastAsia" w:ascii="仿宋_GB2312" w:hAnsi="宋体" w:eastAsia="仿宋_GB2312"/>
          <w:color w:val="auto"/>
          <w:kern w:val="0"/>
          <w:sz w:val="32"/>
        </w:rPr>
        <w:t>审　判　长　　　陈　    涛</w:t>
      </w:r>
      <w:r>
        <w:rPr>
          <w:rFonts w:ascii="仿宋_GB2312" w:hAnsi="宋体" w:eastAsia="仿宋_GB2312"/>
          <w:color w:val="auto"/>
          <w:kern w:val="0"/>
          <w:sz w:val="32"/>
        </w:rPr>
        <w:br w:type="textWrapping"/>
      </w:r>
      <w:r>
        <w:rPr>
          <w:rFonts w:ascii="仿宋_GB2312" w:hAnsi="宋体" w:eastAsia="仿宋_GB2312"/>
          <w:color w:val="auto"/>
          <w:kern w:val="0"/>
          <w:sz w:val="32"/>
        </w:rPr>
        <w:t>审　判　员　　　</w:t>
      </w:r>
      <w:r>
        <w:rPr>
          <w:rFonts w:hint="eastAsia" w:ascii="仿宋_GB2312" w:hAnsi="宋体" w:eastAsia="仿宋_GB2312"/>
          <w:color w:val="auto"/>
          <w:kern w:val="0"/>
          <w:sz w:val="32"/>
        </w:rPr>
        <w:t>赵  晓  楠</w:t>
      </w:r>
      <w:r>
        <w:rPr>
          <w:rFonts w:ascii="仿宋_GB2312" w:hAnsi="宋体" w:eastAsia="仿宋_GB2312"/>
          <w:color w:val="auto"/>
          <w:kern w:val="0"/>
          <w:sz w:val="32"/>
        </w:rPr>
        <w:br w:type="textWrapping"/>
      </w:r>
      <w:r>
        <w:rPr>
          <w:rFonts w:ascii="仿宋_GB2312" w:hAnsi="宋体" w:eastAsia="仿宋_GB2312"/>
          <w:color w:val="auto"/>
          <w:kern w:val="0"/>
          <w:sz w:val="32"/>
        </w:rPr>
        <w:t>审　判　员　　　</w:t>
      </w:r>
      <w:r>
        <w:rPr>
          <w:rFonts w:hint="eastAsia" w:ascii="仿宋_GB2312" w:hAnsi="宋体" w:eastAsia="仿宋_GB2312"/>
          <w:color w:val="auto"/>
          <w:kern w:val="0"/>
          <w:sz w:val="32"/>
        </w:rPr>
        <w:t>王      淼</w:t>
      </w:r>
    </w:p>
    <w:p w14:paraId="7D8DEE56">
      <w:pPr>
        <w:keepNext w:val="0"/>
        <w:keepLines w:val="0"/>
        <w:pageBreakBefore w:val="0"/>
        <w:kinsoku/>
        <w:overflowPunct/>
        <w:topLinePunct w:val="0"/>
        <w:autoSpaceDE/>
        <w:autoSpaceDN/>
        <w:bidi w:val="0"/>
        <w:adjustRightInd/>
        <w:snapToGrid/>
        <w:spacing w:line="640" w:lineRule="exact"/>
        <w:ind w:right="630" w:rightChars="300" w:firstLine="420" w:firstLineChars="200"/>
        <w:jc w:val="right"/>
        <w:textAlignment w:val="auto"/>
        <w:rPr>
          <w:color w:val="auto"/>
          <w:kern w:val="0"/>
        </w:rPr>
      </w:pPr>
    </w:p>
    <w:p w14:paraId="6CC16A9E">
      <w:pPr>
        <w:keepNext w:val="0"/>
        <w:keepLines w:val="0"/>
        <w:pageBreakBefore w:val="0"/>
        <w:kinsoku/>
        <w:overflowPunct/>
        <w:topLinePunct w:val="0"/>
        <w:autoSpaceDE/>
        <w:autoSpaceDN/>
        <w:bidi w:val="0"/>
        <w:adjustRightInd/>
        <w:snapToGrid/>
        <w:spacing w:line="640" w:lineRule="exact"/>
        <w:ind w:right="630" w:rightChars="300" w:firstLine="640" w:firstLineChars="200"/>
        <w:jc w:val="center"/>
        <w:textAlignment w:val="auto"/>
        <w:rPr>
          <w:rFonts w:ascii="仿宋_GB2312" w:hAnsi="宋体" w:eastAsia="仿宋_GB2312"/>
          <w:color w:val="auto"/>
          <w:kern w:val="0"/>
          <w:sz w:val="32"/>
        </w:rPr>
      </w:pPr>
      <w:r>
        <w:rPr>
          <w:rFonts w:hint="eastAsia" w:ascii="仿宋_GB2312" w:hAnsi="宋体" w:eastAsia="仿宋_GB2312"/>
          <w:color w:val="auto"/>
          <w:kern w:val="0"/>
          <w:sz w:val="32"/>
        </w:rPr>
        <w:t xml:space="preserve">                      二</w:t>
      </w:r>
      <w:r>
        <w:rPr>
          <w:rFonts w:hint="eastAsia" w:ascii="宋体" w:hAnsi="宋体" w:cs="宋体"/>
          <w:color w:val="auto"/>
          <w:kern w:val="0"/>
          <w:sz w:val="32"/>
        </w:rPr>
        <w:t>〇</w:t>
      </w:r>
      <w:r>
        <w:rPr>
          <w:rFonts w:hint="eastAsia" w:ascii="仿宋_GB2312" w:hAnsi="宋体" w:eastAsia="仿宋_GB2312"/>
          <w:color w:val="auto"/>
          <w:kern w:val="0"/>
          <w:sz w:val="32"/>
        </w:rPr>
        <w:t>二五年十二月三十日</w:t>
      </w:r>
    </w:p>
    <w:p w14:paraId="09394EF5">
      <w:pPr>
        <w:keepNext w:val="0"/>
        <w:keepLines w:val="0"/>
        <w:pageBreakBefore w:val="0"/>
        <w:kinsoku/>
        <w:wordWrap w:val="0"/>
        <w:overflowPunct/>
        <w:topLinePunct w:val="0"/>
        <w:autoSpaceDE/>
        <w:autoSpaceDN/>
        <w:bidi w:val="0"/>
        <w:adjustRightInd/>
        <w:snapToGrid/>
        <w:spacing w:line="640" w:lineRule="exact"/>
        <w:ind w:right="630" w:rightChars="300" w:firstLine="640" w:firstLineChars="200"/>
        <w:jc w:val="right"/>
        <w:textAlignment w:val="auto"/>
        <w:rPr>
          <w:rFonts w:ascii="仿宋_GB2312" w:hAnsi="宋体" w:eastAsia="仿宋_GB2312"/>
          <w:color w:val="auto"/>
          <w:kern w:val="0"/>
          <w:sz w:val="32"/>
        </w:rPr>
      </w:pPr>
      <w:r>
        <w:rPr>
          <w:rFonts w:hint="eastAsia" w:ascii="仿宋_GB2312" w:hAnsi="宋体" w:eastAsia="仿宋_GB2312"/>
          <w:color w:val="auto"/>
          <w:kern w:val="0"/>
          <w:sz w:val="32"/>
        </w:rPr>
        <w:t>法 官 助 理     谢  小  伟</w:t>
      </w:r>
    </w:p>
    <w:p w14:paraId="23D07126">
      <w:pPr>
        <w:keepNext w:val="0"/>
        <w:keepLines w:val="0"/>
        <w:pageBreakBefore w:val="0"/>
        <w:widowControl/>
        <w:kinsoku/>
        <w:overflowPunct/>
        <w:topLinePunct w:val="0"/>
        <w:autoSpaceDE/>
        <w:autoSpaceDN/>
        <w:bidi w:val="0"/>
        <w:adjustRightInd/>
        <w:snapToGrid/>
        <w:spacing w:line="640" w:lineRule="exact"/>
        <w:ind w:right="630" w:rightChars="300" w:firstLine="640" w:firstLineChars="200"/>
        <w:jc w:val="right"/>
        <w:textAlignment w:val="auto"/>
        <w:rPr>
          <w:rFonts w:hint="eastAsia" w:ascii="仿宋" w:hAnsi="仿宋" w:eastAsia="仿宋" w:cs="仿宋_GB2312"/>
          <w:color w:val="auto"/>
          <w:sz w:val="32"/>
          <w:szCs w:val="32"/>
        </w:rPr>
      </w:pPr>
      <w:r>
        <w:rPr>
          <w:rFonts w:hint="eastAsia" w:ascii="仿宋_GB2312" w:hAnsi="宋体" w:eastAsia="仿宋_GB2312"/>
          <w:color w:val="auto"/>
          <w:kern w:val="0"/>
          <w:sz w:val="32"/>
        </w:rPr>
        <w:t>书　记　员　　　邹  诗  瑶</w:t>
      </w:r>
    </w:p>
    <w:p w14:paraId="4F7A03F7">
      <w:pPr>
        <w:spacing w:line="540" w:lineRule="exact"/>
        <w:jc w:val="left"/>
        <w:rPr>
          <w:rFonts w:ascii="仿宋_GB2312" w:hAnsi="仿宋" w:eastAsia="仿宋_GB2312"/>
          <w:color w:val="auto"/>
          <w:sz w:val="32"/>
          <w:szCs w:val="32"/>
        </w:rPr>
      </w:pPr>
    </w:p>
    <w:sectPr>
      <w:headerReference r:id="rId3" w:type="default"/>
      <w:footerReference r:id="rId5" w:type="default"/>
      <w:headerReference r:id="rId4" w:type="even"/>
      <w:footerReference r:id="rId6" w:type="even"/>
      <w:pgSz w:w="11906" w:h="16838"/>
      <w:pgMar w:top="1701" w:right="1531" w:bottom="1701"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Noto Music"/>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C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Noto Music">
    <w:panose1 w:val="020B0502040504020204"/>
    <w:charset w:val="00"/>
    <w:family w:val="auto"/>
    <w:pitch w:val="default"/>
    <w:sig w:usb0="00000003" w:usb1="02006000" w:usb2="01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34834">
    <w:pPr>
      <w:pStyle w:val="4"/>
      <w:jc w:val="right"/>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w:t>
    </w:r>
    <w:r>
      <w:rPr>
        <w:rFonts w:hint="eastAsia" w:ascii="宋体" w:hAnsi="宋体" w:eastAsia="宋体" w:cs="宋体"/>
        <w:sz w:val="24"/>
        <w:szCs w:val="24"/>
      </w:rPr>
      <w:t xml:space="preserve"> 11 -</w:t>
    </w:r>
    <w:r>
      <w:rPr>
        <w:rFonts w:hint="eastAsia" w:ascii="宋体" w:hAnsi="宋体" w:eastAsia="宋体" w:cs="宋体"/>
        <w:sz w:val="24"/>
        <w:szCs w:val="24"/>
      </w:rPr>
      <w:fldChar w:fldCharType="end"/>
    </w:r>
  </w:p>
  <w:p w14:paraId="1F669E14">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B6C62">
    <w:pPr>
      <w:pStyle w:val="4"/>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w:t>
    </w:r>
    <w:r>
      <w:rPr>
        <w:rFonts w:hint="eastAsia" w:ascii="宋体" w:hAnsi="宋体" w:eastAsia="宋体" w:cs="宋体"/>
        <w:sz w:val="24"/>
        <w:szCs w:val="24"/>
      </w:rPr>
      <w:t xml:space="preserve"> 12 -</w:t>
    </w:r>
    <w:r>
      <w:rPr>
        <w:rFonts w:hint="eastAsia" w:ascii="宋体" w:hAnsi="宋体" w:eastAsia="宋体" w:cs="宋体"/>
        <w:sz w:val="24"/>
        <w:szCs w:val="24"/>
      </w:rPr>
      <w:fldChar w:fldCharType="end"/>
    </w:r>
  </w:p>
  <w:p w14:paraId="2AC5DDDD">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FBDBF">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370">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F8616A"/>
    <w:multiLevelType w:val="singleLevel"/>
    <w:tmpl w:val="FDF8616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hyphenationZone w:val="360"/>
  <w:evenAndOddHeaders w:val="1"/>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144.2.224.40:8039/jzlyFlow/OfficeServer"/>
  </w:docVars>
  <w:rsids>
    <w:rsidRoot w:val="00DB635A"/>
    <w:rsid w:val="0002198A"/>
    <w:rsid w:val="0005478A"/>
    <w:rsid w:val="00135304"/>
    <w:rsid w:val="002C1788"/>
    <w:rsid w:val="00455FC0"/>
    <w:rsid w:val="005D2C3F"/>
    <w:rsid w:val="006B3683"/>
    <w:rsid w:val="00A26EAE"/>
    <w:rsid w:val="00A859A2"/>
    <w:rsid w:val="00C32707"/>
    <w:rsid w:val="00C763B1"/>
    <w:rsid w:val="00C7750C"/>
    <w:rsid w:val="00D33244"/>
    <w:rsid w:val="00DB635A"/>
    <w:rsid w:val="00EB3182"/>
    <w:rsid w:val="00F965E7"/>
    <w:rsid w:val="0B596884"/>
    <w:rsid w:val="0F3F7380"/>
    <w:rsid w:val="0FFFC1F8"/>
    <w:rsid w:val="1DDDC174"/>
    <w:rsid w:val="1DF73DD6"/>
    <w:rsid w:val="23067FA0"/>
    <w:rsid w:val="24F008A5"/>
    <w:rsid w:val="288B747D"/>
    <w:rsid w:val="2ADF5080"/>
    <w:rsid w:val="2C8C0490"/>
    <w:rsid w:val="2DBFA04B"/>
    <w:rsid w:val="2EECA468"/>
    <w:rsid w:val="3069FA5A"/>
    <w:rsid w:val="33FF4CB4"/>
    <w:rsid w:val="36900DFE"/>
    <w:rsid w:val="3B5D802F"/>
    <w:rsid w:val="3B7E8BB3"/>
    <w:rsid w:val="3BDB0DA2"/>
    <w:rsid w:val="3C3F755B"/>
    <w:rsid w:val="3CC34222"/>
    <w:rsid w:val="3DCF4961"/>
    <w:rsid w:val="3DF74B4A"/>
    <w:rsid w:val="3DFD4573"/>
    <w:rsid w:val="3F3BCF4C"/>
    <w:rsid w:val="3FFBFC7A"/>
    <w:rsid w:val="41C64044"/>
    <w:rsid w:val="44C931DF"/>
    <w:rsid w:val="47714570"/>
    <w:rsid w:val="47E6A5ED"/>
    <w:rsid w:val="4DFF997A"/>
    <w:rsid w:val="50EF3406"/>
    <w:rsid w:val="539C26A0"/>
    <w:rsid w:val="544C0C9D"/>
    <w:rsid w:val="54FABF60"/>
    <w:rsid w:val="54FB6AB1"/>
    <w:rsid w:val="57FBF2D8"/>
    <w:rsid w:val="59DF7A42"/>
    <w:rsid w:val="5B6B4155"/>
    <w:rsid w:val="5D7FA7C9"/>
    <w:rsid w:val="5DFE0EEA"/>
    <w:rsid w:val="5ED7BD0D"/>
    <w:rsid w:val="5F7F38FC"/>
    <w:rsid w:val="5FBC7FC1"/>
    <w:rsid w:val="63942239"/>
    <w:rsid w:val="66F0D477"/>
    <w:rsid w:val="6B6F73FF"/>
    <w:rsid w:val="6BE75821"/>
    <w:rsid w:val="6D359F75"/>
    <w:rsid w:val="6EDD16BF"/>
    <w:rsid w:val="6EF65806"/>
    <w:rsid w:val="6F9F0C2E"/>
    <w:rsid w:val="71F957F7"/>
    <w:rsid w:val="726ED972"/>
    <w:rsid w:val="73DF19B9"/>
    <w:rsid w:val="775F992C"/>
    <w:rsid w:val="777F2E87"/>
    <w:rsid w:val="79E9BD75"/>
    <w:rsid w:val="79EBD10C"/>
    <w:rsid w:val="7B074EEB"/>
    <w:rsid w:val="7BB77B60"/>
    <w:rsid w:val="7BFD6E4D"/>
    <w:rsid w:val="7C3C609E"/>
    <w:rsid w:val="7CBDF59A"/>
    <w:rsid w:val="7CBE0F94"/>
    <w:rsid w:val="7CF691C9"/>
    <w:rsid w:val="7D5BC51F"/>
    <w:rsid w:val="7D80BF87"/>
    <w:rsid w:val="7DDB1C0A"/>
    <w:rsid w:val="7DDC3497"/>
    <w:rsid w:val="7DED4CD0"/>
    <w:rsid w:val="7EF7B54C"/>
    <w:rsid w:val="7EFD105F"/>
    <w:rsid w:val="7F77426F"/>
    <w:rsid w:val="7F77ED49"/>
    <w:rsid w:val="7FBF9EA4"/>
    <w:rsid w:val="7FDB2AF9"/>
    <w:rsid w:val="7FFF4D2E"/>
    <w:rsid w:val="98E5E815"/>
    <w:rsid w:val="9D3F717F"/>
    <w:rsid w:val="ADFF74EB"/>
    <w:rsid w:val="AEF0666A"/>
    <w:rsid w:val="B12BD599"/>
    <w:rsid w:val="B6C76C04"/>
    <w:rsid w:val="B7AF63C0"/>
    <w:rsid w:val="B7BD1FCA"/>
    <w:rsid w:val="B9BF9EB3"/>
    <w:rsid w:val="BCF58EE0"/>
    <w:rsid w:val="BDB7BD79"/>
    <w:rsid w:val="BDE961E8"/>
    <w:rsid w:val="BDF381E8"/>
    <w:rsid w:val="BDF998E9"/>
    <w:rsid w:val="BEAFAF20"/>
    <w:rsid w:val="BFBF8406"/>
    <w:rsid w:val="BFD66411"/>
    <w:rsid w:val="BFDFA348"/>
    <w:rsid w:val="BFF676E1"/>
    <w:rsid w:val="BFFA331C"/>
    <w:rsid w:val="C3EF1F25"/>
    <w:rsid w:val="CFEB4939"/>
    <w:rsid w:val="D5E52F1B"/>
    <w:rsid w:val="D6EDEAC2"/>
    <w:rsid w:val="DB8F8A15"/>
    <w:rsid w:val="DBFD5F99"/>
    <w:rsid w:val="DECC7ED5"/>
    <w:rsid w:val="DEDF77C8"/>
    <w:rsid w:val="DFDF87C8"/>
    <w:rsid w:val="E2BFCB75"/>
    <w:rsid w:val="E3FFDBD7"/>
    <w:rsid w:val="E5CF2852"/>
    <w:rsid w:val="EB9CE5C2"/>
    <w:rsid w:val="ECFFDB76"/>
    <w:rsid w:val="EEE61FC6"/>
    <w:rsid w:val="EEEBAD6B"/>
    <w:rsid w:val="EFFFB595"/>
    <w:rsid w:val="F1BEF576"/>
    <w:rsid w:val="F5FF5508"/>
    <w:rsid w:val="F6FE84BE"/>
    <w:rsid w:val="F7FFD082"/>
    <w:rsid w:val="FBFF9DA5"/>
    <w:rsid w:val="FD73E210"/>
    <w:rsid w:val="FDFB9D50"/>
    <w:rsid w:val="FE7F4C07"/>
    <w:rsid w:val="FE875015"/>
    <w:rsid w:val="FEBD521D"/>
    <w:rsid w:val="FEFDDC0F"/>
    <w:rsid w:val="FF334342"/>
    <w:rsid w:val="FF83DA50"/>
    <w:rsid w:val="FFCF8305"/>
    <w:rsid w:val="FFDFB527"/>
    <w:rsid w:val="FFEF8CAA"/>
    <w:rsid w:val="FFF72267"/>
    <w:rsid w:val="FFF7CFC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Date"/>
    <w:basedOn w:val="1"/>
    <w:next w:val="1"/>
    <w:link w:val="10"/>
    <w:unhideWhenUsed/>
    <w:qFormat/>
    <w:uiPriority w:val="99"/>
    <w:pPr>
      <w:ind w:left="100" w:leftChars="2500"/>
    </w:pPr>
  </w:style>
  <w:style w:type="paragraph" w:styleId="3">
    <w:name w:val="Balloon Text"/>
    <w:basedOn w:val="1"/>
    <w:link w:val="11"/>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6">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character" w:styleId="9">
    <w:name w:val="page number"/>
    <w:basedOn w:val="8"/>
    <w:unhideWhenUsed/>
    <w:qFormat/>
    <w:uiPriority w:val="99"/>
  </w:style>
  <w:style w:type="character" w:customStyle="1" w:styleId="10">
    <w:name w:val="日期 Char"/>
    <w:basedOn w:val="8"/>
    <w:link w:val="2"/>
    <w:semiHidden/>
    <w:qFormat/>
    <w:uiPriority w:val="99"/>
    <w:rPr>
      <w:rFonts w:ascii="Times New Roman" w:hAnsi="Times New Roman" w:eastAsia="宋体" w:cs="Times New Roman"/>
      <w:szCs w:val="20"/>
    </w:rPr>
  </w:style>
  <w:style w:type="character" w:customStyle="1" w:styleId="11">
    <w:name w:val="批注框文本 Char"/>
    <w:basedOn w:val="8"/>
    <w:link w:val="3"/>
    <w:semiHidden/>
    <w:qFormat/>
    <w:uiPriority w:val="99"/>
    <w:rPr>
      <w:rFonts w:ascii="Times New Roman" w:hAnsi="Times New Roman" w:eastAsia="宋体" w:cs="Times New Roman"/>
      <w:sz w:val="18"/>
      <w:szCs w:val="18"/>
    </w:rPr>
  </w:style>
  <w:style w:type="character" w:customStyle="1" w:styleId="12">
    <w:name w:val="页脚 Char"/>
    <w:basedOn w:val="8"/>
    <w:link w:val="4"/>
    <w:qFormat/>
    <w:uiPriority w:val="99"/>
    <w:rPr>
      <w:sz w:val="18"/>
      <w:szCs w:val="18"/>
    </w:rPr>
  </w:style>
  <w:style w:type="character" w:customStyle="1" w:styleId="13">
    <w:name w:val="页眉 Char"/>
    <w:basedOn w:val="8"/>
    <w:link w:val="5"/>
    <w:semiHidden/>
    <w:qFormat/>
    <w:uiPriority w:val="99"/>
    <w:rPr>
      <w:sz w:val="18"/>
      <w:szCs w:val="18"/>
    </w:rPr>
  </w:style>
  <w:style w:type="paragraph"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1092</Words>
  <Characters>6231</Characters>
  <Lines>51</Lines>
  <Paragraphs>14</Paragraphs>
  <TotalTime>38</TotalTime>
  <ScaleCrop>false</ScaleCrop>
  <LinksUpToDate>false</LinksUpToDate>
  <CharactersWithSpaces>7309</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2026-01-08T03:08:00Z</dcterms:created>
  <dc:creator>未定义</dc:creator>
  <cp:lastModifiedBy>wangmiao</cp:lastModifiedBy>
  <cp:lastPrinted>2026-01-07T20:00:00Z</cp:lastPrinted>
  <dcterms:modified xsi:type="dcterms:W3CDTF">2026-04-16T17:35:23Z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1E4138FA65DA040ABE305B6951FF1032_43</vt:lpwstr>
  </property>
</Properties>
</file>